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82b07eaa0cdff4668ffae69f4dd9d8ad8579d4"/>
    <w:p>
      <w:pPr>
        <w:pStyle w:val="Heading1"/>
      </w:pPr>
      <w:r>
        <w:t xml:space="preserve">Конституционно-правовые гарантии защиты персональных и биометрических данных в условиях цифровой идентификации</w:t>
      </w:r>
    </w:p>
    <w:p>
      <w:pPr>
        <w:pStyle w:val="FirstParagraph"/>
      </w:pPr>
      <w:r>
        <w:t xml:space="preserve">Рабочий полный черновик дипломной работы.</w:t>
      </w:r>
    </w:p>
    <w:p>
      <w:pPr>
        <w:pStyle w:val="Compact"/>
        <w:numPr>
          <w:ilvl w:val="0"/>
          <w:numId w:val="1001"/>
        </w:numPr>
      </w:pPr>
      <w:r>
        <w:t xml:space="preserve">Вуз: ФГБОУ ВО «Северо-Осетинский государственный университет имени Коста Левановича Хетагурова»</w:t>
      </w:r>
    </w:p>
    <w:p>
      <w:pPr>
        <w:pStyle w:val="Compact"/>
        <w:numPr>
          <w:ilvl w:val="0"/>
          <w:numId w:val="1001"/>
        </w:numPr>
      </w:pPr>
      <w:r>
        <w:t xml:space="preserve">Программа: уточняется</w:t>
      </w:r>
    </w:p>
    <w:p>
      <w:pPr>
        <w:pStyle w:val="Compact"/>
        <w:numPr>
          <w:ilvl w:val="0"/>
          <w:numId w:val="1001"/>
        </w:numPr>
      </w:pPr>
      <w:r>
        <w:t xml:space="preserve">Научный руководитель: уточняется</w:t>
      </w:r>
    </w:p>
    <w:p>
      <w:pPr>
        <w:pStyle w:val="Compact"/>
        <w:numPr>
          <w:ilvl w:val="0"/>
          <w:numId w:val="1001"/>
        </w:numPr>
      </w:pPr>
      <w:r>
        <w:t xml:space="preserve">Дата сборки: обновляется автоматически при пересборке полного документа</w:t>
      </w:r>
    </w:p>
    <w:bookmarkEnd w:id="9"/>
    <w:bookmarkStart w:id="15" w:name="введение"/>
    <w:p>
      <w:pPr>
        <w:pStyle w:val="Heading1"/>
      </w:pPr>
      <w:r>
        <w:t xml:space="preserve">ВВЕДЕНИЕ</w:t>
      </w:r>
    </w:p>
    <w:p>
      <w:pPr>
        <w:pStyle w:val="FirstParagraph"/>
      </w:pPr>
      <w:r>
        <w:t xml:space="preserve">Вопрос о защите персональных и биометрических данных в последние годы перестал быть узкоспециальной темой информационного права и превратился в одну из центральных проблем конституционного статуса личности в цифровой среде. Это связано не только с ростом объемов обработки данных, но и с изменением самой функции идентификации. Если ранее подтверждение личности было преимущественно эпизодической юридической процедурой, то в условиях платформенной экономики и цифрового государства оно постепенно становится постоянной инфраструктурой доступа к услугам, платежам, перемещению и иным социально значимым действиям. В этой логике особенно заметно меняется правовое значение биометрии: биометрические данные используются уже не как вспомогательный атрибут отдельных сервисов, а как универсальный ключ допуска, соединяющий человека с государственными и частными цифровыми системами.</w:t>
      </w:r>
      <w:r>
        <w:rPr>
          <w:rStyle w:val="FootnoteReference"/>
        </w:rPr>
        <w:footnoteReference w:id="10"/>
      </w:r>
    </w:p>
    <w:p>
      <w:pPr>
        <w:pStyle w:val="BodyText"/>
      </w:pPr>
      <w:r>
        <w:t xml:space="preserve">Актуальность темы исследования определяется и тем, что в 2025-2026 годах российская модель биометрической идентификации перешла в новую стадию развития. Банк России в официальных материалах по итогам 2025 года прямо указал, что с 1 марта 2026 года микрофинансовые компании должны применять биометрию при дистанционном обслуживании клиентов, а сама Единая биометрическая система и связанные с ней сервисы рассматриваются как элемент долгосрочной цифровой инфраструктуры финансового рынка. Правительство Российской Федерации, в свою очередь, зафиксировало расширение сервисных сценариев ЕБС: от сервисов самообслуживания в МФЦ и экспериментов по посадке на поезд по биометрии до новых решений в гостиничной сфере и внесения 24 января 2026 года законопроекта N 1131094-8 о биометрии в системах управления доступом. Это означает, что предмет исследования имеет не только теоретическое, но и очевидное практическое значение: речь идет уже не о локальном технологическом эксперименте, а о формировании среды, в которой биометрическая идентификация становится повседневным механизмом участия человека в общественных отношениях.</w:t>
      </w:r>
      <w:r>
        <w:rPr>
          <w:rStyle w:val="FootnoteReference"/>
        </w:rPr>
        <w:footnoteReference w:id="11"/>
      </w:r>
    </w:p>
    <w:p>
      <w:pPr>
        <w:pStyle w:val="BodyText"/>
      </w:pPr>
      <w:r>
        <w:t xml:space="preserve">При этом именно биометрические данные порождают наиболее сложные конституционно-правовые риски. В отличие от большинства иных персональных данных, они непосредственно связаны с физической и поведенческой идентичностью человека, трудно заменимы в случае компрометации, допускают скрытый сбор и последующее повторное использование в новых целях. Поэтому вопрос об их защите не может сводиться лишь к технике информационной безопасности или к формальному оформлению согласия. Он затрагивает более широкий круг ценностей: неприкосновенность частной жизни, личную автономию, свободу передвижения, свободу собраний, достоинство личности и пределы допустимого цифрового контроля со стороны государства и крупных инфраструктурных операторов.</w:t>
      </w:r>
    </w:p>
    <w:p>
      <w:pPr>
        <w:pStyle w:val="BodyText"/>
      </w:pPr>
      <w:r>
        <w:t xml:space="preserve">Степень научной разработанности темы следует признать неоднородной. В российской науке достаточно глубоко исследованы общие вопросы права на неприкосновенность частной жизни, цифровых прав, защиты персональных данных и правового значения цифровых платформ. Существенный вклад в разработку этих вопросов внесли Э. В. Талапина, А. А. Антопольский, В. Н. Монахова, Г. Е. Волкова, А. Н. Мочалов. Отдельные аспекты правового режима биометрических данных, функционирования ЕБС и развития специального регулирования проанализированы в работах Р. Р. Насырова, Р. Р. Ибрагимова, Д. О. Хандрыги, Д. А. Петровой, В. А. Папковой, З. О. Митянова. Сравнительно-правовые и технологически чувствительные вопросы распознавания лиц и риск-ориентированного регулирования разработаны, в частности, Д. Утегеном и Б. Ж. Рахметовым.</w:t>
      </w:r>
      <w:r>
        <w:rPr>
          <w:rStyle w:val="FootnoteReference"/>
        </w:rPr>
        <w:footnoteReference w:id="12"/>
      </w:r>
      <w:r>
        <w:t xml:space="preserve"> </w:t>
      </w:r>
      <w:r>
        <w:t xml:space="preserve">Вместе с тем комплексный конституционно-правовой анализ защиты персональных и биометрических данных именно в условиях цифровой идентификации, с одновременным учетом статей 23, 24 и 55 Конституции Российской Федерации, специального российского регулирования ЕБС, новейшей регуляторной практики 2025-2026 годов и международных ориентиров пропорциональности, в отечественной литературе пока представлен недостаточно полно. В этом состоит исследовательская ниша настоящей работы.</w:t>
      </w:r>
    </w:p>
    <w:p>
      <w:pPr>
        <w:pStyle w:val="BodyText"/>
      </w:pPr>
      <w:r>
        <w:rPr>
          <w:b/>
          <w:bCs/>
        </w:rPr>
        <w:t xml:space="preserve">Проблема исследования</w:t>
      </w:r>
      <w:r>
        <w:t xml:space="preserve"> </w:t>
      </w:r>
      <w:r>
        <w:t xml:space="preserve">заключается в том, что развитие цифровой идентификации и расширение использования биометрических технологий в России опережают формирование целостной системы конституционно-правовых гарантий, которая могла бы обеспечить устойчивый баланс между публичными интересами, технологическим развитием и правом личности на частную жизнь.</w:t>
      </w:r>
    </w:p>
    <w:p>
      <w:pPr>
        <w:pStyle w:val="BodyText"/>
      </w:pPr>
      <w:r>
        <w:rPr>
          <w:b/>
          <w:bCs/>
        </w:rPr>
        <w:t xml:space="preserve">Цель исследования</w:t>
      </w:r>
      <w:r>
        <w:t xml:space="preserve"> </w:t>
      </w:r>
      <w:r>
        <w:t xml:space="preserve">состоит в выявлении содержания и пределов конституционно-правовых гарантий защиты персональных и биометрических данных в условиях цифровой идентификации, оценке достаточности действующего российского регулирования и формулировании предложений по его совершенствованию.</w:t>
      </w:r>
    </w:p>
    <w:p>
      <w:pPr>
        <w:pStyle w:val="BodyText"/>
      </w:pPr>
      <w:r>
        <w:t xml:space="preserve">Для достижения поставленной цели в работе решаются следующие</w:t>
      </w:r>
      <w:r>
        <w:t xml:space="preserve"> </w:t>
      </w:r>
      <w:r>
        <w:rPr>
          <w:b/>
          <w:bCs/>
        </w:rPr>
        <w:t xml:space="preserve">задачи</w:t>
      </w:r>
      <w:r>
        <w:t xml:space="preserve">:</w:t>
      </w:r>
    </w:p>
    <w:p>
      <w:pPr>
        <w:pStyle w:val="Compact"/>
        <w:numPr>
          <w:ilvl w:val="0"/>
          <w:numId w:val="1002"/>
        </w:numPr>
      </w:pPr>
      <w:r>
        <w:t xml:space="preserve">Раскрыть конституционную природу защиты персональных данных в системе прав и свобод человека и гражданина.</w:t>
      </w:r>
    </w:p>
    <w:p>
      <w:pPr>
        <w:pStyle w:val="Compact"/>
        <w:numPr>
          <w:ilvl w:val="0"/>
          <w:numId w:val="1002"/>
        </w:numPr>
      </w:pPr>
      <w:r>
        <w:t xml:space="preserve">Определить правовую специфику биометрических данных как объекта усиленной правовой охраны.</w:t>
      </w:r>
    </w:p>
    <w:p>
      <w:pPr>
        <w:pStyle w:val="Compact"/>
        <w:numPr>
          <w:ilvl w:val="0"/>
          <w:numId w:val="1002"/>
        </w:numPr>
      </w:pPr>
      <w:r>
        <w:t xml:space="preserve">Проанализировать действующее российское регулирование персональных и биометрических данных в условиях цифровой идентификации, включая Закон N 152-ФЗ, Закон N 572-ФЗ и подзаконные акты, регулирующие ЕБС.</w:t>
      </w:r>
    </w:p>
    <w:p>
      <w:pPr>
        <w:pStyle w:val="Compact"/>
        <w:numPr>
          <w:ilvl w:val="0"/>
          <w:numId w:val="1002"/>
        </w:numPr>
      </w:pPr>
      <w:r>
        <w:t xml:space="preserve">Исследовать правовое значение Единой биометрической системы и связанных с ней механизмов цифровой идентификации в финансовой, сервисной и инфраструктурной среде.</w:t>
      </w:r>
    </w:p>
    <w:p>
      <w:pPr>
        <w:pStyle w:val="Compact"/>
        <w:numPr>
          <w:ilvl w:val="0"/>
          <w:numId w:val="1002"/>
        </w:numPr>
      </w:pPr>
      <w:r>
        <w:t xml:space="preserve">Оценить подходы российской судебной практики и международных стандартов к допустимости вмешательства в частную жизнь при использовании биометрии.</w:t>
      </w:r>
    </w:p>
    <w:p>
      <w:pPr>
        <w:pStyle w:val="Compact"/>
        <w:numPr>
          <w:ilvl w:val="0"/>
          <w:numId w:val="1002"/>
        </w:numPr>
      </w:pPr>
      <w:r>
        <w:t xml:space="preserve">Выявить пробелы действующего законодательства и практики правоприменения с точки зрения конституционного баланса прав и публичных интересов.</w:t>
      </w:r>
    </w:p>
    <w:p>
      <w:pPr>
        <w:pStyle w:val="Compact"/>
        <w:numPr>
          <w:ilvl w:val="0"/>
          <w:numId w:val="1002"/>
        </w:numPr>
      </w:pPr>
      <w:r>
        <w:t xml:space="preserve">Сформулировать предложения по укреплению конституционно-правовых гарантий защиты персональных и биометрических данных.</w:t>
      </w:r>
    </w:p>
    <w:p>
      <w:pPr>
        <w:pStyle w:val="FirstParagraph"/>
      </w:pPr>
      <w:r>
        <w:rPr>
          <w:b/>
          <w:bCs/>
        </w:rPr>
        <w:t xml:space="preserve">Объектом исследования</w:t>
      </w:r>
      <w:r>
        <w:t xml:space="preserve"> </w:t>
      </w:r>
      <w:r>
        <w:t xml:space="preserve">выступают общественные отношения, возникающие в связи с защитой персональных и биометрических данных при цифровой идентификации.</w:t>
      </w:r>
    </w:p>
    <w:p>
      <w:pPr>
        <w:pStyle w:val="BodyText"/>
      </w:pPr>
      <w:r>
        <w:rPr>
          <w:b/>
          <w:bCs/>
        </w:rPr>
        <w:t xml:space="preserve">Предмет исследования</w:t>
      </w:r>
      <w:r>
        <w:t xml:space="preserve"> </w:t>
      </w:r>
      <w:r>
        <w:t xml:space="preserve">составляют конституционные нормы, федеральное законодательство, подзаконные нормативные акты, судебная практика, международные стандарты и доктринальные подходы, определяющие пределы и гарантии обращения с персональными и биометрическими данными.</w:t>
      </w:r>
    </w:p>
    <w:p>
      <w:pPr>
        <w:pStyle w:val="BodyText"/>
      </w:pPr>
      <w:r>
        <w:rPr>
          <w:b/>
          <w:bCs/>
        </w:rPr>
        <w:t xml:space="preserve">Рабочая гипотеза исследования</w:t>
      </w:r>
      <w:r>
        <w:t xml:space="preserve"> </w:t>
      </w:r>
      <w:r>
        <w:t xml:space="preserve">состоит в том, что действующая российская модель защиты персональных и биометрических данных в условиях цифровой идентификации обеспечивает лишь частичное и несистемное гарантирование прав личности. Усиление такой защиты возможно не через простое увеличение числа технических процедур или форм согласия, а через развитие конституционного толкования статей 23, 24 и 55 Конституции Российской Федерации, внедрение критериев строгой необходимости и пропорциональности для высокоинвазивных биометрических практик, а также через совершенствование специального регулирования ЕБС и смежных механизмов цифровой идентификации.</w:t>
      </w:r>
    </w:p>
    <w:p>
      <w:pPr>
        <w:pStyle w:val="BodyText"/>
      </w:pPr>
      <w:r>
        <w:rPr>
          <w:b/>
          <w:bCs/>
        </w:rPr>
        <w:t xml:space="preserve">Методологическую основу исследования</w:t>
      </w:r>
      <w:r>
        <w:t xml:space="preserve"> </w:t>
      </w:r>
      <w:r>
        <w:t xml:space="preserve">составили формально-юридический, системный, сравнительно-правовой и формально-логический методы, а также методы толкования правовых норм, анализа судебной практики и доктринального синтеза. Формально-юридический метод позволил раскрыть содержание действующих нормативных конструкций, системный метод - выявить взаимосвязь конституционных, законодательных и подзаконных гарантий, а сравнительно-правовой метод - соотнести российскую модель с европейскими стандартами защиты биометрических данных и риск-ориентированного регулирования.</w:t>
      </w:r>
    </w:p>
    <w:p>
      <w:pPr>
        <w:pStyle w:val="BodyText"/>
      </w:pPr>
      <w:r>
        <w:rPr>
          <w:b/>
          <w:bCs/>
        </w:rPr>
        <w:t xml:space="preserve">Теоретическую основу исследования</w:t>
      </w:r>
      <w:r>
        <w:t xml:space="preserve"> </w:t>
      </w:r>
      <w:r>
        <w:t xml:space="preserve">составили труды российских и зарубежных авторов, посвященные конституционной защите частной жизни, правовому режиму персональных данных, цифровой идентификации, профилированию и правовому регулированию биометрии. Особое значение для настоящей работы имели исследования, в которых защита данных рассматривается не как частный технический институт, а как способ обеспечения автономии личности в цифровой среде.</w:t>
      </w:r>
      <w:r>
        <w:rPr>
          <w:rStyle w:val="FootnoteReference"/>
        </w:rPr>
        <w:footnoteReference w:id="13"/>
      </w:r>
    </w:p>
    <w:p>
      <w:pPr>
        <w:pStyle w:val="BodyText"/>
      </w:pPr>
      <w:r>
        <w:rPr>
          <w:b/>
          <w:bCs/>
        </w:rPr>
        <w:t xml:space="preserve">Нормативную и эмпирическую базу исследования</w:t>
      </w:r>
      <w:r>
        <w:t xml:space="preserve"> </w:t>
      </w:r>
      <w:r>
        <w:t xml:space="preserve">образуют Конституция Российской Федерации, Федеральный закон от 27.07.2006 N 152-ФЗ</w:t>
      </w:r>
      <w:r>
        <w:t xml:space="preserve"> </w:t>
      </w:r>
      <w:r>
        <w:t xml:space="preserve">“О персональных данных”</w:t>
      </w:r>
      <w:r>
        <w:t xml:space="preserve">, Федеральный закон от 29.12.2022 N 572-ФЗ, иные федеральные законы и подзаконные акты, регулирующие использование биометрии и функционирование ЕБС, практика Конституционного Суда Российской Федерации, практика Европейского суда по правам человека и Суда Европейского союза, акты европейского права о защите данных и высокорисковых биометрических систем, а также официальные материалы Правительства Российской Федерации и Банка России, отражающие фактическое расширение сферы цифровой идентификации в 2025-2026 годах.</w:t>
      </w:r>
      <w:r>
        <w:rPr>
          <w:rStyle w:val="FootnoteReference"/>
        </w:rPr>
        <w:footnoteReference w:id="14"/>
      </w:r>
    </w:p>
    <w:p>
      <w:pPr>
        <w:pStyle w:val="BodyText"/>
      </w:pPr>
      <w:r>
        <w:rPr>
          <w:b/>
          <w:bCs/>
        </w:rPr>
        <w:t xml:space="preserve">Научная новизна исследования</w:t>
      </w:r>
      <w:r>
        <w:t xml:space="preserve"> </w:t>
      </w:r>
      <w:r>
        <w:t xml:space="preserve">состоит в том, что в нем защита персональных и биометрических данных рассматривается именно как конституционно-правовая проблема цифровой идентификации, а не только как сегмент информационного или отраслевого регулирования. В работе обосновывается, что биометрические данные требуют усиленной правовой охраны в силу их неизменяемости, устойчивой связи с личностью, возможности скрытого сбора и повторного использования в иных контекстах. Дополнительно предлагается оценивать российскую модель не только через формальные гарантии добровольности, но и через вопрос о том, в какой мере она содержит материальные критерии допустимости вмешательства, архитектурные ограничения и механизмы предварительной оценки риска для прав и свобод.</w:t>
      </w:r>
    </w:p>
    <w:p>
      <w:pPr>
        <w:pStyle w:val="BodyText"/>
      </w:pPr>
      <w:r>
        <w:rPr>
          <w:b/>
          <w:bCs/>
        </w:rPr>
        <w:t xml:space="preserve">Теоретическая значимость исследования</w:t>
      </w:r>
      <w:r>
        <w:t xml:space="preserve"> </w:t>
      </w:r>
      <w:r>
        <w:t xml:space="preserve">заключается в уточнении содержания конституционно-правовых гарантий защиты данных в цифровой среде и в развитии представления о цифровой идентификации как о новой среде реализации и ограничения прав личности.</w:t>
      </w:r>
      <w:r>
        <w:t xml:space="preserve"> </w:t>
      </w:r>
      <w:r>
        <w:rPr>
          <w:b/>
          <w:bCs/>
        </w:rPr>
        <w:t xml:space="preserve">Практическая значимость исследования</w:t>
      </w:r>
      <w:r>
        <w:t xml:space="preserve"> </w:t>
      </w:r>
      <w:r>
        <w:t xml:space="preserve">определяется возможностью использования его выводов при совершенствовании законодательства о персональных данных и биометрии, в правоприменительной деятельности, при разработке гарантий функционирования ЕБС, а также в учебном процессе по дисциплинам конституционного и информационного права.</w:t>
      </w:r>
    </w:p>
    <w:p>
      <w:pPr>
        <w:pStyle w:val="BodyText"/>
      </w:pPr>
      <w:r>
        <w:t xml:space="preserve">На защиту выносятся следующие</w:t>
      </w:r>
      <w:r>
        <w:t xml:space="preserve"> </w:t>
      </w:r>
      <w:r>
        <w:rPr>
          <w:b/>
          <w:bCs/>
        </w:rPr>
        <w:t xml:space="preserve">положения</w:t>
      </w:r>
      <w:r>
        <w:t xml:space="preserve">:</w:t>
      </w:r>
    </w:p>
    <w:p>
      <w:pPr>
        <w:pStyle w:val="Compact"/>
        <w:numPr>
          <w:ilvl w:val="0"/>
          <w:numId w:val="1003"/>
        </w:numPr>
      </w:pPr>
      <w:r>
        <w:t xml:space="preserve">Защита персональных и биометрических данных в российской правовой системе выводится из статей 23, 24 и 55 Конституции Российской Федерации и должна рассматриваться как элемент конституционного статуса личности в цифровой среде, а не как сугубо технический институт обращения с информацией.</w:t>
      </w:r>
    </w:p>
    <w:p>
      <w:pPr>
        <w:pStyle w:val="Compact"/>
        <w:numPr>
          <w:ilvl w:val="0"/>
          <w:numId w:val="1003"/>
        </w:numPr>
      </w:pPr>
      <w:r>
        <w:t xml:space="preserve">Биометрические данные являются объектом усиленной правовой охраны, поскольку их компрометация в большей степени, чем при обычных персональных данных, затрагивает идентичность человека, создает риск скрытого наблюдения и не может быть нейтрализована простой заменой идентификатора.</w:t>
      </w:r>
    </w:p>
    <w:p>
      <w:pPr>
        <w:pStyle w:val="Compact"/>
        <w:numPr>
          <w:ilvl w:val="0"/>
          <w:numId w:val="1003"/>
        </w:numPr>
      </w:pPr>
      <w:r>
        <w:t xml:space="preserve">Действующее российское регулирование содержит значимые гарантии добровольности и субъектного контроля над биометрией, однако сохраняет фрагментарный характер и не вырабатывает целостной методологии проверки пропорциональности высокоинвазивных биометрических практик.</w:t>
      </w:r>
    </w:p>
    <w:p>
      <w:pPr>
        <w:pStyle w:val="Compact"/>
        <w:numPr>
          <w:ilvl w:val="0"/>
          <w:numId w:val="1003"/>
        </w:numPr>
      </w:pPr>
      <w:r>
        <w:t xml:space="preserve">Ключевым дефицитом российской модели остается недостаточная дифференциация между пользовательской аутентификацией и идентификацией по массиву данных, а также отсутствие специальных правил для скрытого и публичного использования технологий распознавания лиц, оценки воздействия на права и свободы и правового режима производных биометрических идентификаторов.</w:t>
      </w:r>
    </w:p>
    <w:p>
      <w:pPr>
        <w:pStyle w:val="Compact"/>
        <w:numPr>
          <w:ilvl w:val="0"/>
          <w:numId w:val="1003"/>
        </w:numPr>
      </w:pPr>
      <w:r>
        <w:t xml:space="preserve">Усиление конституционно-правовых гарантий требует перехода от инфраструктурного описания цифровой идентификации к нормативному описанию пределов допустимой власти над личностью, включая закрепление критериев необходимости, специальных запретов для наиболее инвазивных практик и равноценной небиометрической альтернативы при получении социально значимых услуг.</w:t>
      </w:r>
    </w:p>
    <w:p>
      <w:pPr>
        <w:pStyle w:val="FirstParagraph"/>
      </w:pPr>
      <w:r>
        <w:rPr>
          <w:b/>
          <w:bCs/>
        </w:rPr>
        <w:t xml:space="preserve">Структура работы</w:t>
      </w:r>
      <w:r>
        <w:t xml:space="preserve"> </w:t>
      </w:r>
      <w:r>
        <w:t xml:space="preserve">обусловлена целью и задачами исследования. Работа состоит из введения, трех глав, объединяющих теоретико-конституционный, нормативно-практический и проблемно-реформаторский блоки, заключения и списка использованной литературы. В первой главе раскрывается конституционная природа защиты персональных и биометрических данных и показывается, почему цифровая идентификация должна оцениваться как новая среда реализации и ограничения прав личности. Во второй главе анализируется действующее российское регулирование и практика применения ЕБС. В третьей главе формулируются сравнительно-правовые ориентиры, выявляются основные дефициты российской модели и предлагаются направления совершенствования законодательства.</w:t>
      </w:r>
    </w:p>
    <w:bookmarkEnd w:id="15"/>
    <w:bookmarkStart w:id="70" w:name="X505178d553a8a7467fb62e0c37a014efa78e020"/>
    <w:p>
      <w:pPr>
        <w:pStyle w:val="Heading1"/>
      </w:pPr>
      <w:r>
        <w:t xml:space="preserve">ГЛАВА 1. ТЕОРЕТИКО-КОНСТИТУЦИОННЫЕ ОСНОВЫ ЗАЩИТЫ ПЕРСОНАЛЬНЫХ И БИОМЕТРИЧЕСКИХ ДАННЫХ В УСЛОВИЯХ ЦИФРОВОЙ ИДЕНТИФИКАЦИИ</w:t>
      </w:r>
    </w:p>
    <w:bookmarkStart w:id="30" w:name="Xb975700546d511e21d9cdfbca2df4d175487f32"/>
    <w:p>
      <w:pPr>
        <w:pStyle w:val="Heading2"/>
      </w:pPr>
      <w:r>
        <w:t xml:space="preserve">1.1. Конституционная природа защиты персональных данных</w:t>
      </w:r>
    </w:p>
    <w:p>
      <w:pPr>
        <w:pStyle w:val="FirstParagraph"/>
      </w:pPr>
      <w:r>
        <w:t xml:space="preserve">Защита персональных данных в современном праве уже не может рассматриваться как сугубо технический институт, связанный лишь с конфиденциальностью или информационной безопасностью.</w:t>
      </w:r>
      <w:r>
        <w:rPr>
          <w:rStyle w:val="FootnoteReference"/>
        </w:rPr>
        <w:footnoteReference w:id="16"/>
      </w:r>
      <w:r>
        <w:t xml:space="preserve"> </w:t>
      </w:r>
      <w:r>
        <w:t xml:space="preserve">В условиях цифровизации персональные данные стали одним из основных способов опосредования личности: через них человек идентифицируется в информационных системах, получает доступ к услугам, оценивается с точки зрения благонадежности, платежеспособности и социального статуса. Поэтому вопрос об их охране имеет прежде всего конституционно-правовое измерение. Конституция Российской Федерации не закрепляет специального, автономного права на защиту персональных данных, однако это не означает отсутствия конституционной основы их охраны. Такая основа выводится прежде всего из статей 23, 24 и 55 Конституции РФ, которые в единстве задают пределы допустимого обращения с информацией о личности.</w:t>
      </w:r>
      <w:r>
        <w:rPr>
          <w:rStyle w:val="FootnoteReference"/>
        </w:rPr>
        <w:footnoteReference w:id="17"/>
      </w:r>
    </w:p>
    <w:p>
      <w:pPr>
        <w:pStyle w:val="BodyText"/>
      </w:pPr>
      <w:r>
        <w:t xml:space="preserve">Конституционная природа защиты персональных данных проявляется в том, что объектом охраны выступает не информация сама по себе, а личность в ее автономии, достоинстве и свободе самоопределения. Персональные данные приобретают правовое значение постольку, поскольку позволяют идентифицировать человека, связать с ним действия, свойства и оценки и тем самым влиять на его положение в отношениях с государством и иными субъектами. Поэтому защита данных в конституционном смысле является конкретизацией права на неприкосновенность частной жизни. В цифровой среде это особенно заметно: даже разрозненные и внешне нейтральные сведения при автоматизированном сопоставлении способны раскрыть привычки, круг общения, маршруты передвижения и иные аспекты приватной сферы. Следовательно, конституционная охрана направлена не только против разглашения тайны, но и против системного вмешательства в пространство личной свободы.</w:t>
      </w:r>
    </w:p>
    <w:p>
      <w:pPr>
        <w:pStyle w:val="BodyText"/>
      </w:pPr>
      <w:r>
        <w:t xml:space="preserve">Первой опорной нормой выступает статья 23 Конституции РФ. В части 1 этой статьи закреплено право каждого на неприкосновенность частной жизни, личную и семейную тайну, защиту чести и доброго имени. Конституция охраняет не отдельный информационный фрагмент, а целостную сферу человеческого существования, в пределах которой личность вправе рассчитывать на самостоятельное определение того, какие сведения о ней станут доступными другим лицам. В конституционно-правовом смысле неприкосновенность частной жизни означает запрет произвольного вторжения в область жизнедеятельности человека, которая относится к нему самому и не подлежит контролю со стороны общества и государства, если его поведение правомерно. Именно так Конституционный Суд РФ раскрывает понятие частной жизни, не сводя его только к интимной либо семейно-бытовой сфере.</w:t>
      </w:r>
      <w:r>
        <w:rPr>
          <w:rStyle w:val="FootnoteReference"/>
        </w:rPr>
        <w:footnoteReference w:id="18"/>
      </w:r>
    </w:p>
    <w:p>
      <w:pPr>
        <w:pStyle w:val="BodyText"/>
      </w:pPr>
      <w:r>
        <w:t xml:space="preserve">В контексте защиты персональных данных статья 23 Конституции РФ имеет несколько измерений. Она утверждает ценность приватности как самостоятельного конституционного блага, не позволяя рассматривать сведения о человеке лишь как ресурс оборота или технический материал для работы платформ. Одновременно защита чести и доброго имени связывает обращение с данными не только с тайной, но и с риском искажения социального образа личности: устаревшие, неточные или вырванные из контекста данные способны причинить не меньший вред, чем их разглашение. В цифровую эпоху статья 23 распространяется и на формирование цифрового следа человека, поскольку именно через него возникают наблюдение, профилирование и поведенческое воздействие на субъекта.</w:t>
      </w:r>
    </w:p>
    <w:p>
      <w:pPr>
        <w:pStyle w:val="BodyText"/>
      </w:pPr>
      <w:r>
        <w:t xml:space="preserve">Особого внимания заслуживает часть 2 статьи 23 Конституции РФ, гарантирующая каждому тайну переписки, телефонных переговоров, почтовых, телеграфных и иных сообщений; ограничение этого права допускается только на основании судебного решения. Хотя данная норма прямо касается коммуникационной сферы, она имеет принципиальное значение и для общего понимания защиты данных. Конституция исходит из того, что каналы общения человека и сведения, возникающие в ходе коммуникации, обладают повышенной чувствительностью и потому требуют не только материально-правовых, но и процессуальных гарантий. В цифровой среде эта идея распространяется на электронную переписку, сведения о фактах коммуникации и иные данные, позволяющие реконструировать частную жизнь.</w:t>
      </w:r>
      <w:r>
        <w:rPr>
          <w:rStyle w:val="FootnoteReference"/>
        </w:rPr>
        <w:footnoteReference w:id="19"/>
      </w:r>
    </w:p>
    <w:p>
      <w:pPr>
        <w:pStyle w:val="BodyText"/>
      </w:pPr>
      <w:r>
        <w:t xml:space="preserve">Промежуточный вывод здесь состоит в том, что статья 23 Конституции РФ формирует ценностный фундамент защиты персональных данных. Она не употребляет термин</w:t>
      </w:r>
      <w:r>
        <w:t xml:space="preserve"> </w:t>
      </w:r>
      <w:r>
        <w:t xml:space="preserve">“персональные данные”</w:t>
      </w:r>
      <w:r>
        <w:t xml:space="preserve">, но именно из нее вытекает требование оберегать информационную автономию личности, ее право не быть объектом произвольного наблюдения и право на сохранение контроля над социально значимыми сведениями о себе. Поэтому любая последующая законодательная конкретизация защиты данных должна оцениваться с точки зрения того, насколько она реально обеспечивает неприкосновенность частной жизни, а не подменяет ее формальными процедурами согласия.</w:t>
      </w:r>
    </w:p>
    <w:p>
      <w:pPr>
        <w:pStyle w:val="BodyText"/>
      </w:pPr>
      <w:r>
        <w:t xml:space="preserve">Если статья 23 задает общий ценностный контур, то статья 24 Конституции РФ содержит прямую конституционную формулу обращения с информацией о частной жизни лица. В части 1 закреплено, что сбор, хранение, использование и распространение такой информации без согласия лица не допускаются. Конституция не ограничивается запретом на разглашение сведений, а перечисляет основные операции с информацией, тем самым фактически предвосхищая современную логику регулирования обработки персональных данных.</w:t>
      </w:r>
      <w:r>
        <w:rPr>
          <w:rStyle w:val="FootnoteReference"/>
        </w:rPr>
        <w:footnoteReference w:id="20"/>
      </w:r>
    </w:p>
    <w:p>
      <w:pPr>
        <w:pStyle w:val="BodyText"/>
      </w:pPr>
      <w:r>
        <w:t xml:space="preserve">Часть 1 статьи 24 Конституции РФ одновременно закрепляет и базовый принцип согласия. Однако согласие в конституционном смысле нельзя сводить к формальному нажатию кнопки или подписанию шаблонного документа. Оно предполагает свободное и осознанное волеизъявление лица, понимающего, какие сведения собираются, для какой цели и кем будут использоваться. В противном случае согласие превращается в фикцию, а гарантия статьи 24 утрачивает реальное содержание. В цифровой среде эта проблема особенно остра из-за неравенства между субъектом данных и оператором, сложности информационных экосистем и зависимости от базовых цифровых услуг.</w:t>
      </w:r>
    </w:p>
    <w:p>
      <w:pPr>
        <w:pStyle w:val="BodyText"/>
      </w:pPr>
      <w:r>
        <w:t xml:space="preserve">Не менее важна часть 2 статьи 24 Конституции РФ, обязывающая органы государственной власти и местного самоуправления обеспечить каждому возможность ознакомления с документами и материалами, непосредственно затрагивающими его права и свободы, если иное не предусмотрено законом. Ее значение шире обычной административной открытости. Норма закрепляет позитивную обязанность публичной власти обеспечивать прозрачность тех решений и массивов сведений, которые способны повлиять на правовое положение человека. Применительно к персональным данным это означает право знать, какие сведения собираются о лице, в каких системах они содержатся и какие правовые последствия влекут.</w:t>
      </w:r>
      <w:r>
        <w:rPr>
          <w:rStyle w:val="FootnoteReference"/>
        </w:rPr>
        <w:footnoteReference w:id="21"/>
      </w:r>
    </w:p>
    <w:p>
      <w:pPr>
        <w:pStyle w:val="BodyText"/>
      </w:pPr>
      <w:r>
        <w:t xml:space="preserve">В этом проявляется двусторонняя структура конституционной гарантии защиты данных. С одной стороны, частная жизнь охраняется от неправомерного вторжения; с другой стороны, личность наделяется правом требовать прозрачности тех информационных процессов, которые непосредственно влияют на ее права и свободы. Для цифровой идентификации это особенно важно, поскольку современные системы способны предопределять юридически значимые решения на основании сведений, недоступных непосредственному восприятию субъекта. Следовательно, статья 24 Конституции РФ служит источником не только принципа согласия, но и принципов информированности и подотчетности.</w:t>
      </w:r>
    </w:p>
    <w:p>
      <w:pPr>
        <w:pStyle w:val="BodyText"/>
      </w:pPr>
      <w:r>
        <w:t xml:space="preserve">Промежуточный вывод по статье 24 Конституции РФ заключается в том, что именно она задает наиболее близкую к современному праву персональных данных нормативную матрицу. Из нее выводятся требования законности операций с данными, необходимости согласия как общего правила, прозрачности публичных информационных решений и права субъекта на ознакомление с относящимися к нему материалами. Поэтому конституционная охрана данных не сводится к запрету разглашения: она включает контроль над жизненным циклом информации о личности.</w:t>
      </w:r>
    </w:p>
    <w:p>
      <w:pPr>
        <w:pStyle w:val="BodyText"/>
      </w:pPr>
      <w:r>
        <w:t xml:space="preserve">Завершающим элементом рассматриваемой конституционной конструкции выступает статья 55 Конституции РФ. Ее значение для защиты персональных данных определяется всеми тремя частями. Часть 1 закрепляет, что перечисление в Конституции основных прав и свобод не должно толковаться как отрицание или умаление других общепризнанных прав и свобод человека и гражданина. Тем самым статья 55 подтверждает открытый характер системы основных прав и допускает выведение из уже закрепленных свобод более конкретных гарантий, отвечающих современным условиям общественного развития. Часть 2 статьи 55 запрещает издавать законы, отменяющие или умаляющие права и свободы человека и гражданина. Наконец, часть 3 статьи 55 устанавливает стандарт: права и свободы могут быть ограничены только федеральным законом, только в конституционно значимых целях и только в той мере, в какой это необходимо.</w:t>
      </w:r>
      <w:r>
        <w:rPr>
          <w:rStyle w:val="FootnoteReference"/>
        </w:rPr>
        <w:footnoteReference w:id="22"/>
      </w:r>
    </w:p>
    <w:p>
      <w:pPr>
        <w:pStyle w:val="BodyText"/>
      </w:pPr>
      <w:r>
        <w:t xml:space="preserve">Для сферы персональных данных статья 55 Конституции РФ имеет значение универсального критерия допустимости вмешательства. Любая обработка сведений о частной жизни без согласия лица, любое обязательное раскрытие информации, любая государственная система идентификации либо мониторинга должны отвечать трем группам требований. Во-первых, должен существовать достаточно определенный федеральный закон, а не ведомственная практика, фактически подменяющая законодательное решение. Во-вторых, вмешательство должно преследовать легитимную конституционную цель. В-третьих, избранные средства должны быть необходимыми и соразмерными.</w:t>
      </w:r>
    </w:p>
    <w:p>
      <w:pPr>
        <w:pStyle w:val="BodyText"/>
      </w:pPr>
      <w:r>
        <w:t xml:space="preserve">Указанный стандарт особенно важен применительно к биометрическим данным и системам цифровой идентификации, хотя детальный анализ этих институтов будет дан далее. Уже на данном этапе необходимо отметить, что действующая редакция статьи 11 Федерального закона от 27.07.2006 N 152-ФЗ</w:t>
      </w:r>
      <w:r>
        <w:t xml:space="preserve"> </w:t>
      </w:r>
      <w:r>
        <w:t xml:space="preserve">“О персональных данных”</w:t>
      </w:r>
      <w:r>
        <w:t xml:space="preserve"> </w:t>
      </w:r>
      <w:r>
        <w:t xml:space="preserve">сохраняет письменное согласие как общее правило обработки биометрических персональных данных; без такого согласия обработка допускается лишь в случаях, прямо перечисленных в части 2 данной статьи, включая реализацию международных договоров о реадмиссии, осуществление правосудия и исполнение судебных актов, обязательную государственную дактилоскопическую и геномную регистрацию, а также случаи, предусмотренные законодательством об обороне, безопасности, противодействии терроризму, транспортной безопасности, оперативно-разыскной деятельности, миграционном учете и нотариате. Важно, что базовой нормой о биометрических персональных данных остается именно статья 11, тогда как статья 10.1 регулирует обработку персональных данных, разрешенных субъектом для распространения.</w:t>
      </w:r>
      <w:r>
        <w:rPr>
          <w:rStyle w:val="FootnoteReference"/>
        </w:rPr>
        <w:footnoteReference w:id="23"/>
      </w:r>
      <w:r>
        <w:t xml:space="preserve"> </w:t>
      </w:r>
      <w:r>
        <w:t xml:space="preserve">Специальный режим, установленный Федеральным законом от 29.12.2022 N 572-ФЗ в пределах его предмета регулирования для идентификации и аутентификации с использованием биометрических данных, не создает новую конституционную основу, а лишь конкретизирует уже существующие требования статей 23, 24 и 55 Конституции РФ.</w:t>
      </w:r>
      <w:r>
        <w:rPr>
          <w:rStyle w:val="FootnoteReference"/>
        </w:rPr>
        <w:footnoteReference w:id="24"/>
      </w:r>
    </w:p>
    <w:p>
      <w:pPr>
        <w:pStyle w:val="BodyText"/>
      </w:pPr>
      <w:r>
        <w:t xml:space="preserve">Конституционный Суд РФ в своей практике подтверждает именно такое понимание природы защиты данных. Наиболее значимым для настоящего исследования является Постановление от 25.05.2021 N 22-П, принятое по делу о проверке конституционности пункта 8 части 1 статьи 6 Федерального закона</w:t>
      </w:r>
      <w:r>
        <w:t xml:space="preserve"> </w:t>
      </w:r>
      <w:r>
        <w:t xml:space="preserve">“О персональных данных”</w:t>
      </w:r>
      <w:r>
        <w:t xml:space="preserve">. Хотя предметом рассмотрения была обработка персональных данных медицинского работника без его согласия в сетевом издании, правовые позиции Суда имеют более широкое значение. Конституционный Суд прямо указал, что статья 24 Конституции РФ не определяет исчерпывающим образом круг сведений, охватываемых правом на уважение частной жизни. Тем самым был подтвержден динамический характер конституционной охраны. Суд также подчеркнул, что персональные данные как исходное положение относятся к сведениям о частной жизни и подлежат конституционной защите наравне со свободой слова и свободой информации. Между этими правами не существует безусловного приоритета; необходим баланс, достигаемый с учетом общественного интереса, характера сведений, их актуальности и последствий для личности.</w:t>
      </w:r>
      <w:r>
        <w:rPr>
          <w:rStyle w:val="FootnoteReference"/>
        </w:rPr>
        <w:footnoteReference w:id="25"/>
      </w:r>
    </w:p>
    <w:p>
      <w:pPr>
        <w:pStyle w:val="BodyText"/>
      </w:pPr>
      <w:r>
        <w:t xml:space="preserve">Для темы диплома особенно важно, что в Постановлении N 22-П Конституционный Суд РФ фактически сформулировал критерии конституционно допустимого обращения с персональными данными в цифровой среде. Суд исходит из необходимости системной оценки общественного интереса, характера и актуальности сведений, недопустимости злоупотребления правом при их распространении, а также возможности судебного вмешательства в случаях систематического нарушения прав субъекта персональных данных. Тем самым Суд показывает, что конституционная защита данных не исчерпывается первоначальным согласием или фактом однократного правомерного раскрытия информации.</w:t>
      </w:r>
      <w:r>
        <w:rPr>
          <w:rStyle w:val="FootnoteReference"/>
        </w:rPr>
        <w:footnoteReference w:id="26"/>
      </w:r>
    </w:p>
    <w:p>
      <w:pPr>
        <w:pStyle w:val="BodyText"/>
      </w:pPr>
      <w:r>
        <w:t xml:space="preserve">Иные правовые позиции Конституционного Суда РФ дополняют эту картину. В ряде решений Суд указывал, что понятие частной жизни включает ту область жизнедеятельности лица, которая касается только его и не подлежит контролю со стороны общества и государства, если не носит противоправного характера. Данная формула выводит проблему персональных данных за пределы узкого вопроса о бытовой тайне: цифровой контроль за перемещениями, коммуникациями и идентификационными признаками может не сопровождаться публичным разглашением, но все равно затрагивать конституционно охраняемую сферу. В Постановлении N 22-П, со ссылкой на Постановление от 09.07.2013 N 18-П, Конституционный Суд указал, что соответствующие конституционные установления в полной мере относятся и к сведениям, размещаемым в сети Интернет.</w:t>
      </w:r>
      <w:r>
        <w:rPr>
          <w:rStyle w:val="FootnoteReference"/>
        </w:rPr>
        <w:footnoteReference w:id="27"/>
      </w:r>
    </w:p>
    <w:p>
      <w:pPr>
        <w:pStyle w:val="BodyText"/>
      </w:pPr>
      <w:r>
        <w:t xml:space="preserve">Доктринальные подходы к защите данных в цифровой среде в целом подтверждают вывод о конституционной природе соответствующих гарантий. Наиболее близкий российской модели подход рассматривает защиту персональных данных как производную от права на неприкосновенность частной жизни. Иная линия, развиваемая под влиянием теории информационного самоопределения, акцентирует право личности контролировать циркуляцию сведений о себе и противостоять цифровому профилированию. Для российского права эта концепция не может быть механически признана самостоятельным конституционным правом, однако она полезна как интерпретационный инструмент для более глубокого раскрытия содержания статей 23 и 24 Конституции РФ. В современной литературе также подчеркивается связь защиты данных с достоинством личности и недопустимостью превращения человека в объект алгоритмического управления.</w:t>
      </w:r>
      <w:r>
        <w:rPr>
          <w:rStyle w:val="FootnoteReference"/>
        </w:rPr>
        <w:footnoteReference w:id="28"/>
      </w:r>
    </w:p>
    <w:p>
      <w:pPr>
        <w:pStyle w:val="BodyText"/>
      </w:pPr>
      <w:r>
        <w:t xml:space="preserve">Для цифровой среды особенно значим тезис о том, что угроза правам личности исходит не только от содержания конкретного набора данных, но и от масштаба и автоматизированного характера их обработки. Традиционное представление о приватности как о защите лишь интимной сферы оказывается недостаточным, когда нейтральные по отдельности сведения при объединении образуют практически исчерпывающий профиль человека. Отсюда доктрина делает важный вывод: конституционная защита данных должна учитывать не только категорию информации, но и архитектуру ее обработки, возможности последующего сопоставления и профилирования.</w:t>
      </w:r>
      <w:r>
        <w:rPr>
          <w:rStyle w:val="FootnoteReference"/>
        </w:rPr>
        <w:footnoteReference w:id="29"/>
      </w:r>
    </w:p>
    <w:p>
      <w:pPr>
        <w:pStyle w:val="BodyText"/>
      </w:pPr>
      <w:r>
        <w:t xml:space="preserve">Таким образом, конституционная природа защиты персональных данных в Российской Федерации выражается в следующем. Во-первых, эта защита выводится из статей 23 и 24 Конституции РФ как из норм, охраняющих частную жизнь, информационную автономию и право лица знать о затрагивающих его материалах. Во-вторых, статья 55 Конституции РФ придает данной защите характер проверяемого стандарта, устанавливая пределы законодательного усмотрения и критерии допустимого ограничения прав. В-третьих, практика Конституционного Суда РФ подтверждает, что персональные данные рассматриваются как часть конституционно охраняемой сферы частной жизни, а исключения из режима согласия и конфиденциальности подлежат узкому и соразмерному толкованию. Наконец, современная доктрина показывает, что в цифровой среде защита данных означает не только охрану тайны, но и защиту личной автономии от непрозрачного накопления и анализа сведений о человеке. Именно на этой конституционной основе далее может быть обоснован тезис о том, что биометрические данные требуют усиленной правовой охраны.</w:t>
      </w:r>
    </w:p>
    <w:bookmarkEnd w:id="30"/>
    <w:bookmarkStart w:id="44" w:name="X8e49b0e09ceee890eec5f172fa7d1af191e0482"/>
    <w:p>
      <w:pPr>
        <w:pStyle w:val="Heading2"/>
      </w:pPr>
      <w:r>
        <w:t xml:space="preserve">1.2. Биометрические данные как объект усиленной правовой охраны</w:t>
      </w:r>
    </w:p>
    <w:p>
      <w:pPr>
        <w:pStyle w:val="FirstParagraph"/>
      </w:pPr>
      <w:r>
        <w:t xml:space="preserve">После установления конституционной природы защиты персональных данных логично поставить следующий вопрос: достаточно ли для биометрической информации общего режима, предусмотренного законодательством о персональных данных, либо такая информация требует самостоятельного, более строгого правового подхода. Как действующее регулирование, так и сами свойства биометрии склоняют ко второму выводу. Биометрические данные связаны не просто с социальным описанием человека, как, например, сведения о месте работы, номере телефона или семейном положении, а с его телесно-идентификационными характеристиками. По этой причине вмешательство в сферу биометрии означает не только обработку сведений о лице, но и обращение к тем признакам, через которые это лицо распознается в юридическом и технологическом смысле. Отсюда вытекает главный тезис настоящего подпункта: биометрические данные являются объектом усиленной правовой охраны потому, что их обработка затрагивает наиболее чувствительный уровень информационной идентичности личности и создает более интенсивные риски для частной жизни, автономии и безопасности человека, чем обработка большинства иных персональных данных.</w:t>
      </w:r>
    </w:p>
    <w:p>
      <w:pPr>
        <w:pStyle w:val="BodyText"/>
      </w:pPr>
      <w:r>
        <w:t xml:space="preserve">Отправной точкой анализа выступает часть 1 статьи 11 Федерального закона от 27.07.2006 N 152-ФЗ</w:t>
      </w:r>
      <w:r>
        <w:t xml:space="preserve"> </w:t>
      </w:r>
      <w:r>
        <w:t xml:space="preserve">“О персональных данных”</w:t>
      </w:r>
      <w:r>
        <w:t xml:space="preserve">. Закон определяет биометрические персональные данные как сведения, характеризующие физиологические и биологические особенности человека, на основании которых можно установить его личность, если они используются оператором именно для установления личности субъекта персональных данных.</w:t>
      </w:r>
      <w:r>
        <w:rPr>
          <w:rStyle w:val="FootnoteReference"/>
        </w:rPr>
        <w:footnoteReference w:id="31"/>
      </w:r>
      <w:r>
        <w:t xml:space="preserve"> </w:t>
      </w:r>
      <w:r>
        <w:t xml:space="preserve">Это определение принципиально важно в двух отношениях. Во-первых, законодатель связывает биометрию не с любыми сведениями о теле человека, а только с теми, которые обладают идентификационным потенциалом. Во-вторых, решающее значение имеет не только природа самих данных, но и цель их использования оператором. Из этого следует значимый для правоприменения вывод: не всякая фотография, видеозапись или аудиозапись автоматически становится биометрическими персональными данными. Один и тот же массив информации может выступать обычными персональными данными в кадровом деле, медицинской карте или пропускной системе и одновременно приобретать биометрический статус, если он используется для идентификации или аутентификации конкретного лица. Следовательно, в основе российского подхода лежит функциональный критерий: биометрия определяется не только</w:t>
      </w:r>
      <w:r>
        <w:t xml:space="preserve"> </w:t>
      </w:r>
      <w:r>
        <w:t xml:space="preserve">“по носителю”</w:t>
      </w:r>
      <w:r>
        <w:t xml:space="preserve">, но и по юридически значимому способу обращения с ним.</w:t>
      </w:r>
    </w:p>
    <w:p>
      <w:pPr>
        <w:pStyle w:val="BodyText"/>
      </w:pPr>
      <w:r>
        <w:t xml:space="preserve">Такой подход позволяет избежать чрезмерно широкого толкования статьи 11 152-ФЗ, но одновременно обнаруживает и ограниченность действующей дефиниции. Российский законодатель говорит о физиологических и биологических особенностях, не упоминая прямо поведенческие характеристики, а также связывает биометрию прежде всего с установлением личности. Между тем современные технологии уже давно используют не только статические параметры лица, голоса, отпечатков пальцев или радужной оболочки, но и более сложные паттерны: особенности походки, мимику, микро-движения лица, динамику речи, поведенческие сценарии взаимодействия с устройствами. Европейский подход формулирует это шире: GDPR исходит из того, что биометрические данные возникают в результате специальной технической обработки физических, физиологических или поведенческих характеристик человека и приобретают режим особой защиты, когда применяются для уникальной идентификации.</w:t>
      </w:r>
      <w:r>
        <w:rPr>
          <w:rStyle w:val="FootnoteReference"/>
        </w:rPr>
        <w:footnoteReference w:id="32"/>
      </w:r>
      <w:r>
        <w:t xml:space="preserve"> </w:t>
      </w:r>
      <w:r>
        <w:t xml:space="preserve">В результате российская дефиниция оказывается уже технологической реальности и сосредоточена главным образом на идентификации и аутентификации, тогда как современные системы способны не только</w:t>
      </w:r>
      <w:r>
        <w:t xml:space="preserve"> </w:t>
      </w:r>
      <w:r>
        <w:t xml:space="preserve">“узнавать”</w:t>
      </w:r>
      <w:r>
        <w:t xml:space="preserve"> </w:t>
      </w:r>
      <w:r>
        <w:t xml:space="preserve">человека, но и классифицировать, профилировать и предсказывать его поведение на основе биометрических признаков.</w:t>
      </w:r>
      <w:r>
        <w:rPr>
          <w:rStyle w:val="FootnoteReference"/>
        </w:rPr>
        <w:footnoteReference w:id="33"/>
      </w:r>
    </w:p>
    <w:p>
      <w:pPr>
        <w:pStyle w:val="BodyText"/>
      </w:pPr>
      <w:r>
        <w:t xml:space="preserve">Именно здесь проявляется первая причина усиленной правовой охраны биометрии: ее неразрывная связь с физической индивидуальностью человека. В отличие от большинства иных идентификаторов, биометрические признаки нельзя свободно заменить или вывести из оборота. Паспорт можно переоформить, пароль сменить, банковскую карту перевыпустить, но лицо, голос, папиллярный узор, изображение радужной оболочки или иные устойчивые телесные характеристики не поддаются такой же простой юридической</w:t>
      </w:r>
      <w:r>
        <w:t xml:space="preserve"> </w:t>
      </w:r>
      <w:r>
        <w:t xml:space="preserve">“перезагрузке”</w:t>
      </w:r>
      <w:r>
        <w:t xml:space="preserve">. Конечно, говорить об абсолютной неизменяемости биометрии было бы неточно: возраст, заболевание, травма или внешние изменения могут корректировать отдельные признаки. Однако именно их относительная устойчивость делает биометрию удобным инструментом повторной идентификации, а ее компрометацию - трудно обратимой. Если обычные персональные данные нередко можно заменить функциональным эквивалентом, то утечка биометрического шаблона потенциально создает долгосрочный риск повторного использования и подделки идентификационных процедур. Поэтому усиленная охрана биометрии объясняется не абстрактной</w:t>
      </w:r>
      <w:r>
        <w:t xml:space="preserve"> </w:t>
      </w:r>
      <w:r>
        <w:t xml:space="preserve">“чувствительностью”</w:t>
      </w:r>
      <w:r>
        <w:t xml:space="preserve">, а повышенной необратимостью последствий ее неправомерной обработки.</w:t>
      </w:r>
    </w:p>
    <w:p>
      <w:pPr>
        <w:pStyle w:val="BodyText"/>
      </w:pPr>
      <w:r>
        <w:t xml:space="preserve">Вторая причина состоит в универсальности и массовой собираемости биометрических признаков. Почти каждый человек неизбежно обладает лицом, голосом, особенностями движения, и именно эти характеристики сопровождают его во множестве повседневных взаимодействий. В отличие от документов, которые предъявляются в определенный момент и в определенной процедуре, биометрические данные могут извлекаться из обычной жизнедеятельности: из изображения камеры наблюдения, записи разговора, фотографии, видео в общественном месте, пользовательской сессии в мобильном приложении. Это означает, что биометрия может собираться без активного участия субъекта и зачастую без непосредственного осознания им самого факта идентификационной обработки. Такая возможность скрытого и постоянного сбора радикально усиливает риски для частной жизни. Не случайно в сравнительно-правовой литературе и в практике международных судов именно системы распознавания лиц оцениваются как высокоинвазивные: они меняют не только способ проверки личности, но и масштаб наблюдения за человеком в публичном и цифровом пространстве.</w:t>
      </w:r>
      <w:r>
        <w:rPr>
          <w:rStyle w:val="FootnoteReference"/>
        </w:rPr>
        <w:footnoteReference w:id="34"/>
      </w:r>
    </w:p>
    <w:p>
      <w:pPr>
        <w:pStyle w:val="BodyText"/>
      </w:pPr>
      <w:r>
        <w:t xml:space="preserve">Третья причина усиленной охраны связана с многофункциональностью биометрии. Биометрические данные ценны не только как средство подтверждения личности. В современных цифровых системах одни и те же параметры могут использоваться для разных задач: идентификации, аутентификации, категоризации, оценки эмоционального состояния, прогнозирования поведения, выявления подозрительных паттернов, построения профиля риска. Именно поэтому проблема биометрии не исчерпывается вопросом</w:t>
      </w:r>
      <w:r>
        <w:t xml:space="preserve"> </w:t>
      </w:r>
      <w:r>
        <w:t xml:space="preserve">“можно ли узнать человека по лицу или голосу”</w:t>
      </w:r>
      <w:r>
        <w:t xml:space="preserve">. Речь идет о более глубоком вмешательстве, при котором признаки тела и поведения становятся базой для последующих выводов о человеке. Когда такая информация используется автоматически и в больших массивах, возрастает риск ошибок распознавания, ложных совпадений, дискриминационных эффектов и превращения человека в объект алгоритмической оценки. В российском праве эта проблема пока отражена лишь частично: статья 11 152-ФЗ и 572-ФЗ ориентированы главным образом на идентификацию и аутентификацию, тогда как более сложные режимы биометрической категоризации и скрытого анализа остаются описанными фрагментарно.</w:t>
      </w:r>
      <w:r>
        <w:rPr>
          <w:rStyle w:val="FootnoteReference"/>
        </w:rPr>
        <w:footnoteReference w:id="35"/>
      </w:r>
    </w:p>
    <w:p>
      <w:pPr>
        <w:pStyle w:val="BodyText"/>
      </w:pPr>
      <w:r>
        <w:t xml:space="preserve">Промежуточный вывод на данном этапе состоит в следующем: усиленная правовая охрана биометрических данных обусловлена совокупностью их признаков, а не каким-то одним свойством. Опасность заключается не только в том, что биометрия</w:t>
      </w:r>
      <w:r>
        <w:t xml:space="preserve"> </w:t>
      </w:r>
      <w:r>
        <w:t xml:space="preserve">“особенно личная”</w:t>
      </w:r>
      <w:r>
        <w:t xml:space="preserve">, а в том, что она одновременно телесно привязана к человеку, относительно устойчива во времени, потенциально собираема скрытым образом и пригодна для многократного вторичного использования в целях, выходящих далеко за рамки первоначальной идентификации. Именно эта совокупность признаков отличает биометрию от большинства иных персональных данных и оправдывает более жесткие юридические требования к ее обороту.</w:t>
      </w:r>
    </w:p>
    <w:p>
      <w:pPr>
        <w:pStyle w:val="BodyText"/>
      </w:pPr>
      <w:r>
        <w:t xml:space="preserve">Российский законодатель в определенной степени уже признает такой особый статус биометрии. Часть 1 статьи 11 152-ФЗ устанавливает для нее письменное согласие как общее правило обработки, а часть 3 той же статьи закрепляет, что предоставление биометрических персональных данных не может быть обязательным, если иное не вытекает из федерального закона; оператор также не вправе отказывать в обслуживании из-за отказа субъекта предоставить биометрию или дать согласие на ее обработку в тех случаях, когда закон не делает такую обработку обязательной.</w:t>
      </w:r>
      <w:r>
        <w:rPr>
          <w:rStyle w:val="FootnoteReference"/>
        </w:rPr>
        <w:footnoteReference w:id="36"/>
      </w:r>
      <w:r>
        <w:t xml:space="preserve"> </w:t>
      </w:r>
      <w:r>
        <w:t xml:space="preserve">Даже исторически правовой режим биометрии развивался как более строгий по сравнению с общими правилами работы с персональными данными: еще в 2008 году Правительство РФ утвердило специальные требования к материальным носителям биометрических персональных данных и технологиям их хранения вне информационных систем персональных данных.</w:t>
      </w:r>
      <w:r>
        <w:rPr>
          <w:rStyle w:val="FootnoteReference"/>
        </w:rPr>
        <w:footnoteReference w:id="37"/>
      </w:r>
      <w:r>
        <w:t xml:space="preserve"> </w:t>
      </w:r>
      <w:r>
        <w:t xml:space="preserve">Уже одно это показывает, что российское право достаточно давно воспринимает биометрию как информацию, требующую не обычной, а повышенной организационной и технической защиты.</w:t>
      </w:r>
    </w:p>
    <w:p>
      <w:pPr>
        <w:pStyle w:val="BodyText"/>
      </w:pPr>
      <w:r>
        <w:t xml:space="preserve">Новый этап этого подхода связан с Федеральным законом от 29.12.2022 N 572-ФЗ. Его значение для темы заключается не только в создании Единой биометрической системы, но и в самом способе юридического конструирования биометрического оборота. Закон не ограничивается повторением требования о согласии, а выстраивает специальную инфраструктурную модель: определяет, в каких правоотношениях применяется ЕБС, вводит запрет на обязательность предоставления биометрии, запрещает обусловливать оказание услуг обязательным прохождением биометрической идентификации или аутентификации, закрепляет право на отзыв согласия и на требование об удалении либо блокировании данных.</w:t>
      </w:r>
      <w:r>
        <w:rPr>
          <w:rStyle w:val="FootnoteReference"/>
        </w:rPr>
        <w:footnoteReference w:id="38"/>
      </w:r>
      <w:r>
        <w:t xml:space="preserve"> </w:t>
      </w:r>
      <w:r>
        <w:t xml:space="preserve">Особое значение имеет статья 15 572-ФЗ, которая прямо запрещает организациям вне ЕБС обработку, включая сбор и хранение, биометрических данных, используемых для идентификации, а в части аутентификации допускает только строго ограниченную модель сопоставления с векторами ЕБС и резко сужает сроки хранения исходных данных.</w:t>
      </w:r>
      <w:r>
        <w:rPr>
          <w:rStyle w:val="FootnoteReference"/>
        </w:rPr>
        <w:footnoteReference w:id="39"/>
      </w:r>
      <w:r>
        <w:t xml:space="preserve"> </w:t>
      </w:r>
      <w:r>
        <w:t xml:space="preserve">Иными словами, законодатель исходит из того, что свободная циркуляция первичных биометрических данных по множеству частных систем создает повышенные риски и потому требует архитектурных ограничений, а не только формальных согласий.</w:t>
      </w:r>
    </w:p>
    <w:p>
      <w:pPr>
        <w:pStyle w:val="BodyText"/>
      </w:pPr>
      <w:r>
        <w:t xml:space="preserve">Показательно и то, как в действующем регулировании конкретизируются виды биометрических данных для целей 572-ФЗ. После 1 сентября 2024 года закон больше не закрепляет исчерпывающий перечень таких видов на уровне собственного текста; соответствующую компетенцию получило Правительство РФ. Постановлением Правительства РФ от 01.04.2024 N 408 к видам биометрических персональных данных, на которые распространяется действие 572-ФЗ, отнесены изображение лица, полученное с помощью фото- и видеоустройств, и запись голоса, полученная с помощью звукозаписывающих устройств.</w:t>
      </w:r>
      <w:r>
        <w:rPr>
          <w:rStyle w:val="FootnoteReference"/>
        </w:rPr>
        <w:footnoteReference w:id="40"/>
      </w:r>
      <w:r>
        <w:t xml:space="preserve"> </w:t>
      </w:r>
      <w:r>
        <w:t xml:space="preserve">Этот шаг важен по двум причинам. Во-первых, он показывает, что законодатель сознательно ограничивает предмет специального биометрического регулирования наиболее распространенными и массово применимыми идентификаторами. Во-вторых, сам переход от законодательного перечня к подзаконной конкретизации демонстрирует высокую технологическую изменчивость сферы: виды биометрии, параметры их использования и технические требования нуждаются в более гибкой корректировке, чем это обычно требуется для обычных персональных данных.</w:t>
      </w:r>
    </w:p>
    <w:p>
      <w:pPr>
        <w:pStyle w:val="BodyText"/>
      </w:pPr>
      <w:r>
        <w:t xml:space="preserve">Вместе с тем усиленная охрана биометрии не означает ее полного совпадения со специальными категориями персональных данных, перечисленными в статье 10 152-ФЗ. Это принципиальный момент, который важно зафиксировать без смешения норм. Статья 10 посвящена содержательно чувствительным сведениям - расовой и национальной принадлежности, политическим взглядам, религиозным или философским убеждениям, состоянию здоровья, интимной жизни. Биометрические данные в этот перечень не включены. Их базовой нормой остается статья 11, а статья 10.1, как уже отмечалось в подпункте 1.1, регулирует вовсе не биометрию, а персональные данные, разрешенные субъектом для распространения.</w:t>
      </w:r>
      <w:r>
        <w:rPr>
          <w:rStyle w:val="FootnoteReference"/>
        </w:rPr>
        <w:footnoteReference w:id="41"/>
      </w:r>
      <w:r>
        <w:t xml:space="preserve"> </w:t>
      </w:r>
      <w:r>
        <w:t xml:space="preserve">Следовательно, российский законодатель развел два режима чувствительности: один связан с содержанием информации, другой - с ее идентификационной функцией. С догматической точки зрения это решение последовательно, поскольку биометрия опасна не тем, что обязательно раскрывает политические взгляды или состояние здоровья, а тем, что позволяет постоянно и точно привязывать иные сведения к конкретному телесному носителю.</w:t>
      </w:r>
    </w:p>
    <w:p>
      <w:pPr>
        <w:pStyle w:val="BodyText"/>
      </w:pPr>
      <w:r>
        <w:t xml:space="preserve">Однако на практике такое разведение не устраняет всех проблем. Биометрические данные могут быть не менее чувствительными, чем сведения из статьи 10, а иногда и опаснее их. Сама по себе биометрия может прямо не раскрывать убеждения или диагноз, но она служит универсальным ключом к связке человека с множеством других массивов информации. Через лицо, голос или иные идентификаторы становится возможным соединение разрозненных сведений в единый профиль, а значит, биометрия превращается в инструмент доступа к более широкому кругу чувствительной информации. Европейская модель выражает эту идею более ясно: GDPR относит биометрические данные, используемые для уникальной идентификации, к особым категориям персональных данных, а также специально оговаривает, что фотографии не должны автоматически считаться такой категорией, если они не обрабатываются специальными техническими средствами для идентификации или аутентификации.</w:t>
      </w:r>
      <w:r>
        <w:rPr>
          <w:rStyle w:val="FootnoteReference"/>
        </w:rPr>
        <w:footnoteReference w:id="42"/>
      </w:r>
      <w:r>
        <w:t xml:space="preserve"> </w:t>
      </w:r>
      <w:r>
        <w:t xml:space="preserve">Сравнение с GDPR показывает, что российское право фактически признает высокую чувствительность биометрии, но делает это через особый, отдельный режим, а не через включение ее в состав специальных категорий.</w:t>
      </w:r>
    </w:p>
    <w:p>
      <w:pPr>
        <w:pStyle w:val="BodyText"/>
      </w:pPr>
      <w:r>
        <w:t xml:space="preserve">Отдельного рассмотрения требует разграничение биометрических и генетических данных. Эти категории близки по своей биологической природе, но не совпадают юридически и функционально. Биометрические данные в статье 11 152-ФЗ определяются через способность и использование для установления личности. Генетическая же информация связана с наследственными или приобретенными генетическими характеристиками лица и несет существенно более широкий объем выводов - о происхождении, родстве, предрасположенности к заболеваниям, иных глубинных свойствах организма. Уже поэтому смешение этих категорий методологически неверно. Российский законодатель прямо подтверждает такое разграничение: часть 8 статьи 3 572-ФЗ запрещает в ЕБС и связанных с ней аккредитованных системах обработку, включая сбор и хранение, геномной информации.</w:t>
      </w:r>
      <w:r>
        <w:rPr>
          <w:rStyle w:val="FootnoteReference"/>
        </w:rPr>
        <w:footnoteReference w:id="43"/>
      </w:r>
      <w:r>
        <w:t xml:space="preserve"> </w:t>
      </w:r>
      <w:r>
        <w:t xml:space="preserve">Тем самым закон показывает, что даже внутри</w:t>
      </w:r>
      <w:r>
        <w:t xml:space="preserve"> </w:t>
      </w:r>
      <w:r>
        <w:t xml:space="preserve">“телесно ориентированных”</w:t>
      </w:r>
      <w:r>
        <w:t xml:space="preserve"> </w:t>
      </w:r>
      <w:r>
        <w:t xml:space="preserve">данных существует дополнительная шкала чувствительности, и генетическая информация занимает в ней еще более защищенную позицию.</w:t>
      </w:r>
    </w:p>
    <w:p>
      <w:pPr>
        <w:pStyle w:val="BodyText"/>
      </w:pPr>
      <w:r>
        <w:t xml:space="preserve">В то же время само наличие такого запрета не должно создавать ложное впечатление, будто биометрия представляет собой менее значимую категорию и потому не требует специального конституционно-правового внимания. Напротив, разграничение биометрических и генетических данных важно именно для точной настройки усиленной охраны. Геномная информация отличается более высоким потенциалом вторичных выводов, но и биометрия уже сегодня позволяет осуществлять непрерывное наблюдение, массовую идентификацию, связывание человека с цифровым профилем и принятие решений на основе автоматизированного анализа. Следовательно, различие между биометрическими и генетическими данными не отменяет необходимости усиленного режима биометрии; оно лишь показывает, что внутри общей сферы данных, связанных с телесной индивидуальностью человека, правовая дифференциация должна быть особенно точной.</w:t>
      </w:r>
    </w:p>
    <w:p>
      <w:pPr>
        <w:pStyle w:val="BodyText"/>
      </w:pPr>
      <w:r>
        <w:t xml:space="preserve">Таким образом, биометрические данные в российской правовой системе обоснованно рассматриваются как объект усиленной правовой охраны. Такой вывод вытекает, во-первых, из особой правовой природы этих данных, определяемой через идентификационную функцию и телесную привязку к личности; во-вторых, из их фактических свойств - относительной устойчивости, трудной заменимости, скрытой собираемости и высокой пригодности к повторному использованию; в-третьих, из самой структуры законодательства, которое для биометрии устанавливает отдельные требования о письменном согласии, добровольности предоставления, технической защите, архитектурных ограничениях обращения вне ЕБС и специальных запретах. При этом усиленная охрана биометрии не означает признания за ней полностью автономного конституционного статуса, но означает необходимость более строгого стандарта правовой оценки любых практик ее сбора и использования. Именно поэтому анализ цифровой идентификации в следующем подпункте должен вестись уже с учетом того, что биометрия является не обычным</w:t>
      </w:r>
      <w:r>
        <w:t xml:space="preserve"> </w:t>
      </w:r>
      <w:r>
        <w:t xml:space="preserve">“видом данных”</w:t>
      </w:r>
      <w:r>
        <w:t xml:space="preserve">, а чувствительным идентификационным ресурсом, способным качественно изменить масштаб вмешательства в частную жизнь.</w:t>
      </w:r>
    </w:p>
    <w:bookmarkEnd w:id="44"/>
    <w:bookmarkStart w:id="69" w:name="X0fa12046f1a47ae72dd31327d29dc68a2bd2b4e"/>
    <w:p>
      <w:pPr>
        <w:pStyle w:val="Heading2"/>
      </w:pPr>
      <w:r>
        <w:t xml:space="preserve">1.3. Цифровая идентификация как новая среда реализации и ограничения прав личности</w:t>
      </w:r>
    </w:p>
    <w:p>
      <w:pPr>
        <w:pStyle w:val="FirstParagraph"/>
      </w:pPr>
      <w:r>
        <w:t xml:space="preserve">Цифровая идентификация в современном правовом порядке представляет собой уже не частную техническую процедуру подтверждения личности, а особую институциональную среду, в которой осуществляется значительная часть юридически значимых действий. Если традиционная идентификация была ситуативной и обычно происходила в момент личного предъявления документа, то цифровая идентификация строится иначе: она опирается на заранее сформированную инфраструктуру данных, на постоянную связку учетной записи, идентификаторов, способов аутентификации и каналов доступа к услугам. В результате меняется не только техника установления личности, но и сама конфигурация отношений между гражданином, государством и организациями, предоставляющими публично значимые и коммерческие сервисы.</w:t>
      </w:r>
      <w:r>
        <w:rPr>
          <w:rStyle w:val="FootnoteReference"/>
        </w:rPr>
        <w:footnoteReference w:id="45"/>
      </w:r>
    </w:p>
    <w:p>
      <w:pPr>
        <w:pStyle w:val="BodyText"/>
      </w:pPr>
      <w:r>
        <w:t xml:space="preserve">Именно поэтому цифровая идентификация должна рассматриваться в конституционно-правовом измерении не как нейтральный технологический сервис, а как новая среда реализации и одновременно ограничения прав личности. Через нее человек получает доступ к банковским услугам, государственным сервисам, транспортной инфраструктуре, гостиничному обслуживанию, отдельным режимным территориям и информационным платформам. Иначе говоря, идентификация постепенно становится не внешним этапом перед оказанием услуги, а встроенным фильтром допуска к ней. В такой конструкции вопрос о защите персональных и биометрических данных приобретает дополнительную остроту: речь идет уже не только о том, какие сведения собираются о человеке, но и о том, на каких условиях они начинают выполнять функцию</w:t>
      </w:r>
      <w:r>
        <w:t xml:space="preserve"> </w:t>
      </w:r>
      <w:r>
        <w:t xml:space="preserve">“пропуска”</w:t>
      </w:r>
      <w:r>
        <w:t xml:space="preserve"> </w:t>
      </w:r>
      <w:r>
        <w:t xml:space="preserve">в цифровую и офлайн-инфраструктуру.</w:t>
      </w:r>
      <w:r>
        <w:rPr>
          <w:rStyle w:val="FootnoteReference"/>
        </w:rPr>
        <w:footnoteReference w:id="46"/>
      </w:r>
    </w:p>
    <w:p>
      <w:pPr>
        <w:pStyle w:val="BodyText"/>
      </w:pPr>
      <w:r>
        <w:t xml:space="preserve">Юридическая база этой трансформации в российском праве концентрируется прежде всего в 572-ФЗ. Закон различает идентификацию и аутентификацию, закрепляет механизмы размещения сведений в ЕБС и ЕСИА, а также связывает использование биометрии с определенной системой согласий, отказов, отзывов и технических процедур проверки соответствия.</w:t>
      </w:r>
      <w:r>
        <w:rPr>
          <w:rStyle w:val="FootnoteReference"/>
        </w:rPr>
        <w:footnoteReference w:id="47"/>
      </w:r>
      <w:r>
        <w:t xml:space="preserve"> </w:t>
      </w:r>
      <w:r>
        <w:t xml:space="preserve">Однако в социально-правовом смысле цифровая идентификация уже шире легальных дефиниций. Она включает весь цикл обращения с идентификационным ресурсом: от первоначального размещения биометрии и ее преобразования в технологически пригодную форму до дальнейшего использования при обращении за услугой, проходе на территорию, доступе к приложению или дистанционном совершении юридически значимого действия. Подзаконное регулирование 2025 года дополнительно подтверждает эту мысль: параметры изображения лица и записи голоса для целей ЕБС, а также порядок их периодической проверки были вновь уточнены, что показывает зависимость юридического доступа к услугам от постоянно обновляемых технических стандартов.</w:t>
      </w:r>
      <w:r>
        <w:rPr>
          <w:rStyle w:val="FootnoteReference"/>
        </w:rPr>
        <w:footnoteReference w:id="48"/>
      </w:r>
    </w:p>
    <w:p>
      <w:pPr>
        <w:pStyle w:val="BodyText"/>
      </w:pPr>
      <w:r>
        <w:t xml:space="preserve">На этом фоне особенно важным становится связь цифровой идентификации с цифровым профилем личности. В доктрине справедливо подчеркивается, что опасность несет не только наличие отдельного массива данных, но и возможность связать разрозненные сведения в единую траекторию поведения человека.</w:t>
      </w:r>
      <w:r>
        <w:rPr>
          <w:rStyle w:val="FootnoteReference"/>
        </w:rPr>
        <w:footnoteReference w:id="49"/>
      </w:r>
      <w:r>
        <w:t xml:space="preserve"> </w:t>
      </w:r>
      <w:r>
        <w:t xml:space="preserve">Биометрия в такой системе выступает особенно мощным соединительным элементом, поскольку она позволяет надежно привязывать к конкретному субъекту иные сведения из государственных и коммерческих информационных систем. Тем самым цифровая идентификация усиливает эффект профилирования: человек становится не просто носителем разрозненных персональных данных, а объектом сквозного сопоставления, верификации и допуска в различные социальные и экономические контуры.</w:t>
      </w:r>
    </w:p>
    <w:p>
      <w:pPr>
        <w:pStyle w:val="BodyText"/>
      </w:pPr>
      <w:r>
        <w:t xml:space="preserve">Промежуточный вывод на данном этапе состоит в том, что цифровая идентификация меняет сам масштаб вмешательства в частную жизнь. Вмешательство перестает быть однократным актом сбора либо передачи информации. Оно приобретает инфраструктурный характер: однажды созданный идентификационный контур способен многократно использоваться в различных правоотношениях, причем для самого субъекта такая повторная эксплуатация часто оказывается менее заметной, чем при традиционной документарной модели. Соответственно, конституционно-правовой анализ должен быть обращен не только к моменту получения согласия, но и к архитектуре дальнейшего обращения идентификационных данных.</w:t>
      </w:r>
    </w:p>
    <w:p>
      <w:pPr>
        <w:pStyle w:val="BodyText"/>
      </w:pPr>
      <w:r>
        <w:t xml:space="preserve">Свежие официальные материалы 2025-2026 годов наглядно показывают, что российская модель цифровой идентификации находится в стадии ускоренного расширения сфер применения. Существенное значение в этом отношении имеют постановление Правительства РФ от 15.06.2022 N 1067 и последующие изменения, внесенные постановлением Правительства РФ от 07.08.2025 N 1183. В обновленной модели существенно расширены случаи использования биометрических персональных данных, размещенных через мобильное приложение ЕБС. Речь идет не только об оплате проезда и отдельных сценариях дополнительной аутентификации, но и о более широком включении биометрии в повседневную инфраструктуру допуска, включая доступ на территории и объекты отдельных организаций, а также использование в отношении ряда социальных и сервисных сценариев.</w:t>
      </w:r>
      <w:r>
        <w:rPr>
          <w:rStyle w:val="FootnoteReference"/>
        </w:rPr>
        <w:footnoteReference w:id="50"/>
      </w:r>
      <w:r>
        <w:t xml:space="preserve"> </w:t>
      </w:r>
      <w:r>
        <w:t xml:space="preserve">Для темы диплома это важно потому, что переход от</w:t>
      </w:r>
      <w:r>
        <w:t xml:space="preserve"> </w:t>
      </w:r>
      <w:r>
        <w:t xml:space="preserve">“дистанционного банковского инструмента”</w:t>
      </w:r>
      <w:r>
        <w:t xml:space="preserve"> </w:t>
      </w:r>
      <w:r>
        <w:t xml:space="preserve">к более широкой модели жизненных сценариев качественно меняет правовое значение идентификации. Чем больше сфер повседневной жизни опирается на единую идентификационную инфраструктуру, тем выше риск ее превращения в фактический универсальный канал допуска.</w:t>
      </w:r>
    </w:p>
    <w:p>
      <w:pPr>
        <w:pStyle w:val="BodyText"/>
      </w:pPr>
      <w:r>
        <w:t xml:space="preserve">Еще более показателен новейший вектор 2026 года. 24 января 2026 года Правительство РФ внесло в Государственную Думу законопроект о биометрии в системах управления доступом. В официальном сообщении прямо указано, что предполагается расширение возможностей использования биометрии для прохода в государственные учреждения, корпорации и отдельные учебные заведения, при сохранении альтернативных способов прохода и добровольного характера выбора для граждан.</w:t>
      </w:r>
      <w:r>
        <w:rPr>
          <w:rStyle w:val="FootnoteReference"/>
        </w:rPr>
        <w:footnoteReference w:id="51"/>
      </w:r>
      <w:r>
        <w:t xml:space="preserve"> </w:t>
      </w:r>
      <w:r>
        <w:t xml:space="preserve">Уже сама постановка вопроса демонстрирует существенный сдвиг: цифровая идентификация начинает пониматься не только как способ удаленного получения услуги, но и как элемент физического пропускного режима. Иначе говоря, биометрическая идентификация выходит за пределы чисто</w:t>
      </w:r>
      <w:r>
        <w:t xml:space="preserve"> </w:t>
      </w:r>
      <w:r>
        <w:t xml:space="preserve">“цифрового кабинета”</w:t>
      </w:r>
      <w:r>
        <w:t xml:space="preserve"> </w:t>
      </w:r>
      <w:r>
        <w:t xml:space="preserve">и входит в пространство офлайн-доступа к социально значимым объектам. Для конституционного анализа это означает резкое усиление связи между данными о личности и фактической свободой перемещения, доступа к образованию, труду и иным сферам жизнедеятельности.</w:t>
      </w:r>
    </w:p>
    <w:p>
      <w:pPr>
        <w:pStyle w:val="BodyText"/>
      </w:pPr>
      <w:r>
        <w:t xml:space="preserve">Отдельного внимания заслуживает финансовый сектор, где квазиобязательный потенциал цифровой идентификации проявляется особенно отчетливо. Федеральный закон от 01.04.2025 N 41-ФЗ, принятый в рамках антифрод-реформы, расширил значение ЕБС для дистанционного финансового обслуживания.</w:t>
      </w:r>
      <w:r>
        <w:rPr>
          <w:rStyle w:val="FootnoteReference"/>
        </w:rPr>
        <w:footnoteReference w:id="52"/>
      </w:r>
      <w:r>
        <w:t xml:space="preserve"> </w:t>
      </w:r>
      <w:r>
        <w:t xml:space="preserve">Наиболее яркий пример связан с микрофинансовыми организациями: с 1 марта 2026 года для микрофинансовых компаний стало обязательным использование ЕСИА и ЕБС при дистанционном приеме на обслуживание клиента - физического лица и дистанционном заключении каждого договора потребительского займа; для микрокредитных компаний аналогичный переходный период продлен до 1 марта 2027 года.</w:t>
      </w:r>
      <w:r>
        <w:rPr>
          <w:rStyle w:val="FootnoteReference"/>
        </w:rPr>
        <w:footnoteReference w:id="53"/>
      </w:r>
      <w:r>
        <w:t xml:space="preserve"> </w:t>
      </w:r>
      <w:r>
        <w:t xml:space="preserve">Формально такая модель мотивируется борьбой с мошенничеством и защитой заемщика от подмены личности. Однако с конституционно-правовой точки зрения здесь особенно заметно, как цифровая идентификация превращается из дополнительной опции в обязательный элемент определенного вида экономических отношений.</w:t>
      </w:r>
    </w:p>
    <w:p>
      <w:pPr>
        <w:pStyle w:val="BodyText"/>
      </w:pPr>
      <w:r>
        <w:t xml:space="preserve">Практика начала 2026 года подтверждает, что речь идет не о декларативной норме, а о реально воздействующем регуляторном механизме. По официальной аналитике Банка России, именно внедрение обязательной биометрической проверки для МФК с 1 марта 2026 года уже повлияло на рынок: часть организаций столкнулась с адаптационными трудностями, а десять микрофинансовых компаний в начале 2026 года были преобразованы в микрокредитные компании, для которых обязательность ЕБС наступит позже.</w:t>
      </w:r>
      <w:r>
        <w:rPr>
          <w:rStyle w:val="FootnoteReference"/>
        </w:rPr>
        <w:footnoteReference w:id="54"/>
      </w:r>
      <w:r>
        <w:t xml:space="preserve"> </w:t>
      </w:r>
      <w:r>
        <w:t xml:space="preserve">Этот пример особенно важен для диплома, потому что показывает подлинный масштаб правового эффекта. Даже там, где норма формально адресована организациям, она изменяет модель доступа граждан к услуге, стоимость соблюдения требований для участников рынка и структуру самого рынка. Следовательно, цифровая идентификация выступает не только средством защиты, но и фактором институционального перераспределения возможностей.</w:t>
      </w:r>
    </w:p>
    <w:p>
      <w:pPr>
        <w:pStyle w:val="BodyText"/>
      </w:pPr>
      <w:r>
        <w:t xml:space="preserve">Наряду с этим Банк России в материалах 2026 года фиксирует и более широкую тенденцию: ЕБС перестает быть единым по содержанию инструментом и становится многоуровневой инфраструктурой. В официальных документах различаются стандартная, упрощенная и подтвержденная биометрия; объем доступных гражданину сценариев зависит от способа регистрации и уровня подтверждения личности.</w:t>
      </w:r>
      <w:r>
        <w:rPr>
          <w:rStyle w:val="FootnoteReference"/>
        </w:rPr>
        <w:footnoteReference w:id="55"/>
      </w:r>
      <w:r>
        <w:t xml:space="preserve"> </w:t>
      </w:r>
      <w:r>
        <w:t xml:space="preserve">Так, один уровень биометрии ориентирован на ограниченный круг повседневных сервисов, тогда как подтвержденная биометрия открывает доступ к более чувствительным сценариям, включая дистанционное банковское обслуживание и гостиничное заселение.</w:t>
      </w:r>
      <w:r>
        <w:rPr>
          <w:rStyle w:val="FootnoteReference"/>
        </w:rPr>
        <w:footnoteReference w:id="56"/>
      </w:r>
      <w:r>
        <w:t xml:space="preserve"> </w:t>
      </w:r>
      <w:r>
        <w:t xml:space="preserve">С конституционной точки зрения это означает появление новой формы технологически опосредованной стратификации доступа: фактически не только наличие биометрии, но и способ ее получения начинает влиять на объем доступных возможностей в цифровой среде.</w:t>
      </w:r>
    </w:p>
    <w:p>
      <w:pPr>
        <w:pStyle w:val="BodyText"/>
      </w:pPr>
      <w:r>
        <w:t xml:space="preserve">Регуляторные разъяснения также подтверждают, что идентификационная инфраструктура становится постоянным элементом финансового и сервисного контуров. По состоянию на 18 февраля 2026 года Банк России в официальных ответах на вопросы прямо указывает на использование ЕБС и приложения</w:t>
      </w:r>
      <w:r>
        <w:t xml:space="preserve"> </w:t>
      </w:r>
      <w:r>
        <w:t xml:space="preserve">“Госуслуги.Биометрия”</w:t>
      </w:r>
      <w:r>
        <w:t xml:space="preserve"> </w:t>
      </w:r>
      <w:r>
        <w:t xml:space="preserve">как устойчивого канала подтверждения личности для взаимодействия с банками.</w:t>
      </w:r>
      <w:r>
        <w:rPr>
          <w:rStyle w:val="FootnoteReference"/>
        </w:rPr>
        <w:footnoteReference w:id="57"/>
      </w:r>
      <w:r>
        <w:t xml:space="preserve"> </w:t>
      </w:r>
      <w:r>
        <w:t xml:space="preserve">В материалах Банка России о развитии финансового рынка на 2026-2028 годы цифровая инфраструктура, включающая ЕБС, рассматривается уже как системный компонент развития удаленных финансовых услуг. Более того, Банк России прямо связывает дальнейшее развитие сервисов с использованием биометрии с расширением цифровой инфраструктуры рынка и отмечает дифференциацию биометрических сценариев по уровню подтверждения.</w:t>
      </w:r>
      <w:r>
        <w:rPr>
          <w:rStyle w:val="FootnoteReference"/>
        </w:rPr>
        <w:footnoteReference w:id="58"/>
      </w:r>
    </w:p>
    <w:p>
      <w:pPr>
        <w:pStyle w:val="BodyText"/>
      </w:pPr>
      <w:r>
        <w:t xml:space="preserve">Не менее показательно, что расширение идентификационной инфраструктуры происходит не только через нормы, но и через последовательно масштабируемую практику. Правительство в официальных сообщениях конца 2025 года зафиксировало развитие сервиса самообслуживания в МФЦ без предъявления паспорта на базе ЕБС, а также успешные испытания сервиса быстрой посадки на поезд по биометрии.</w:t>
      </w:r>
      <w:r>
        <w:rPr>
          <w:rStyle w:val="FootnoteReference"/>
        </w:rPr>
        <w:footnoteReference w:id="59"/>
      </w:r>
      <w:r>
        <w:t xml:space="preserve"> </w:t>
      </w:r>
      <w:r>
        <w:t xml:space="preserve">В составе биометрической платформы «Мигом» при этом были названы и иные сценарии: заселение в гостиницу без паспорта, подтверждение возраста при покупке товаров с возрастными ограничениями, безбарьерное прохождение предполетных проверок и ряд других сервисов.</w:t>
      </w:r>
      <w:r>
        <w:rPr>
          <w:rStyle w:val="FootnoteReference"/>
        </w:rPr>
        <w:footnoteReference w:id="60"/>
      </w:r>
      <w:r>
        <w:t xml:space="preserve"> </w:t>
      </w:r>
      <w:r>
        <w:t xml:space="preserve">В совокупности это означает, что цифровая идентификация развивается одновременно в трех плоскостях: как инструмент удаленного доступа к услугам, как инструмент безопасного допуска в физическое пространство и как механизм повседневного клиентского сервиса.</w:t>
      </w:r>
    </w:p>
    <w:p>
      <w:pPr>
        <w:pStyle w:val="BodyText"/>
      </w:pPr>
      <w:r>
        <w:t xml:space="preserve">Отдельно необходимо отметить очень свежие изменения в гостиничной сфере. Постановление Правительства РФ от 21.02.2026 N 174 скорректировало правила регистрации и гостиничного обслуживания таким образом, что с 1 апреля 2026 года регистрация по месту пребывания в гостиницах, санаториях и пансионатах может осуществляться с использованием цифровых инструментов представления сведений о документе, удостоверяющем личность, а правила гостиничных услуг прямо учитывают сценарии использования ЕБС.</w:t>
      </w:r>
      <w:r>
        <w:rPr>
          <w:rStyle w:val="FootnoteReference"/>
        </w:rPr>
        <w:footnoteReference w:id="61"/>
      </w:r>
      <w:r>
        <w:t xml:space="preserve"> </w:t>
      </w:r>
      <w:r>
        <w:t xml:space="preserve">Дополнительно официальный текст правил уже в редакции 2026 года предусматривает специальные положения о заселении в гостиницу несовершеннолетних граждан до 14 лет при использовании ЕБС или многофункционального сервиса обмена информацией.</w:t>
      </w:r>
      <w:r>
        <w:rPr>
          <w:rStyle w:val="FootnoteReference"/>
        </w:rPr>
        <w:footnoteReference w:id="62"/>
      </w:r>
      <w:r>
        <w:t xml:space="preserve"> </w:t>
      </w:r>
      <w:r>
        <w:t xml:space="preserve">Эта сфера важна не только как новый сервисный кейс. Она показывает, что цифровая идентификация затрагивает уже не периферийные, а базовые жизненные ситуации, связанные с перемещением, проживанием и подтверждением личности вне места постоянного нахождения.</w:t>
      </w:r>
    </w:p>
    <w:p>
      <w:pPr>
        <w:pStyle w:val="BodyText"/>
      </w:pPr>
      <w:r>
        <w:t xml:space="preserve">Все это позволяет сделать принципиальный вывод: цифровая идентификация обладает двойственной конституционной природой. С одной стороны, она действительно способна расширять возможности реализации прав. Благодаря ей гражданин может быстрее получать услугу, дистанционно подтверждать свою личность, снижать транзакционные издержки, пользоваться более защищенными от мошенничества каналами взаимодействия с банками и государством. В этом аспекте цифровая идентификация выступает как технологическая форма повышения доступности публичных и частных сервисов.</w:t>
      </w:r>
    </w:p>
    <w:p>
      <w:pPr>
        <w:pStyle w:val="BodyText"/>
      </w:pPr>
      <w:r>
        <w:t xml:space="preserve">С другой стороны, именно цифровая идентификация создает новые формы ограничения прав личности, которые не всегда выглядят как прямой запрет. Риск заключается в постепенном смещении от добровольной биометрической опции к фактической инфраструктурной предпочтительности биометрии. Даже если закон формально сохраняет альтернативу и прямо запрещает отказ в услуге лишь из-за отказа от биометрии, сама организация сервисов, скорость обслуживания, удобство, уровень доступных функций и издержки для участников рынка могут формировать квазиобязательную модель поведения.</w:t>
      </w:r>
      <w:r>
        <w:rPr>
          <w:rStyle w:val="FootnoteReference"/>
        </w:rPr>
        <w:footnoteReference w:id="63"/>
      </w:r>
      <w:r>
        <w:t xml:space="preserve"> </w:t>
      </w:r>
      <w:r>
        <w:t xml:space="preserve">В таких условиях внешне добровольный выбор перестает быть полностью нейтральным. Он начинает зависеть от того, насколько обременительной сделана небиометрическая альтернатива и не превращается ли она в менее удобный, более медленный или менее функциональный канал доступа.</w:t>
      </w:r>
    </w:p>
    <w:p>
      <w:pPr>
        <w:pStyle w:val="BodyText"/>
      </w:pPr>
      <w:r>
        <w:t xml:space="preserve">Конституционно значимым здесь является и еще одно обстоятельство. Чем шире становится диапазон сфер, в которых используется единая идентификационная инфраструктура, тем выше опасность функционального перетекания данных между различными контекстами. Идентификационный ресурс, сформированный для одной цели, постепенно приобретает многоцелевой характер. Это особенно заметно при одновременном развитии ЕБС, цифрового профиля, сервисов</w:t>
      </w:r>
      <w:r>
        <w:t xml:space="preserve"> </w:t>
      </w:r>
      <w:r>
        <w:t xml:space="preserve">“жизненные ситуации”</w:t>
      </w:r>
      <w:r>
        <w:t xml:space="preserve">, платформ противодействия мошенничеству и иных механизмов межсистемного обмена сведениями. При такой архитектуре вопрос о пропорциональности вмешательства в частную жизнь уже нельзя решать отдельно для каждого узкого сервиса. Необходима оценка совокупного эффекта инфраструктуры в целом: насколько она усиливает наблюдаемость человека, делает предсказуемым его поведение и увеличивает у государства и крупных платформ возможность сквозного контроля.</w:t>
      </w:r>
    </w:p>
    <w:p>
      <w:pPr>
        <w:pStyle w:val="BodyText"/>
      </w:pPr>
      <w:r>
        <w:t xml:space="preserve">Промежуточный вывод по данному подпункту состоит в следующем. Цифровая идентификация в России перестала быть только специальной юридической техникой подтверждения личности. Она превращается в универсальную среду доступа к услугам, объектам и цифровым платформам, а потому непосредственно влияет на баланс между удобством, безопасностью и частной жизнью. Свежие материалы 2025-2026 годов показывают, что этот процесс идет одновременно по нескольким направлениям: через расширение разрешенных сценариев ЕБС, через внедрение биометрии в системы физического доступа, через обязательное либо практически неизбежное использование идентификационной инфраструктуры в отдельных сегментах финансового рынка, а также через масштабирование сервисной практики в МФЦ, транспорте и гостиничной сфере.</w:t>
      </w:r>
      <w:r>
        <w:rPr>
          <w:rStyle w:val="FootnoteReference"/>
        </w:rPr>
        <w:footnoteReference w:id="64"/>
      </w:r>
      <w:r>
        <w:rPr>
          <w:rStyle w:val="FootnoteReference"/>
        </w:rPr>
        <w:footnoteReference w:id="65"/>
      </w:r>
      <w:r>
        <w:rPr>
          <w:rStyle w:val="FootnoteReference"/>
        </w:rPr>
        <w:footnoteReference w:id="66"/>
      </w:r>
      <w:r>
        <w:rPr>
          <w:rStyle w:val="FootnoteReference"/>
        </w:rPr>
        <w:footnoteReference w:id="67"/>
      </w:r>
      <w:r>
        <w:rPr>
          <w:rStyle w:val="FootnoteReference"/>
        </w:rPr>
        <w:footnoteReference w:id="68"/>
      </w:r>
    </w:p>
    <w:p>
      <w:pPr>
        <w:pStyle w:val="BodyText"/>
      </w:pPr>
      <w:r>
        <w:t xml:space="preserve">Таким образом, цифровая идентификация должна оцениваться как новая среда реализации и ограничения прав личности потому, что она меняет не отдельный правовой институт, а сам способ участия человека в социально значимых отношениях. В этой среде право на частную жизнь сталкивается уже не только с риском разглашения данных, но и с риском постоянной верификации, инфраструктурной зависимостью от идентификационных систем и постепенным превращением биометрии в универсальный ключ допуска. Именно поэтому дальнейший анализ российского регулирования во второй главе должен строиться не вокруг абстрактного вопроса о</w:t>
      </w:r>
      <w:r>
        <w:t xml:space="preserve"> </w:t>
      </w:r>
      <w:r>
        <w:t xml:space="preserve">“допустимости технологий”</w:t>
      </w:r>
      <w:r>
        <w:t xml:space="preserve">, а вокруг более точной проблемы: достаточны ли действующие конституционно-правовые гарантии для того, чтобы расширение цифровой идентификации не привело к функциональному умалению приватности и свободы личности.</w:t>
      </w:r>
    </w:p>
    <w:bookmarkEnd w:id="69"/>
    <w:bookmarkEnd w:id="70"/>
    <w:bookmarkStart w:id="154" w:name="X9bc834a002be5ae1ded7c322570439bd600cfda"/>
    <w:p>
      <w:pPr>
        <w:pStyle w:val="Heading1"/>
      </w:pPr>
      <w:r>
        <w:t xml:space="preserve">ГЛАВА 2. ДЕЙСТВУЮЩЕЕ РОССИЙСКОЕ РЕГУЛИРОВАНИЕ И ПРАКТИКА ЗАЩИТЫ ПЕРСОНАЛЬНЫХ И БИОМЕТРИЧЕСКИХ ДАННЫХ</w:t>
      </w:r>
    </w:p>
    <w:bookmarkStart w:id="97" w:name="X892f6335622afc0a9f47e923d034da19014aa0c"/>
    <w:p>
      <w:pPr>
        <w:pStyle w:val="Heading2"/>
      </w:pPr>
      <w:r>
        <w:t xml:space="preserve">2.1. Нормативная модель защиты персональных и биометрических данных в российском праве</w:t>
      </w:r>
    </w:p>
    <w:p>
      <w:pPr>
        <w:pStyle w:val="FirstParagraph"/>
      </w:pPr>
      <w:r>
        <w:t xml:space="preserve">Нормативная модель защиты персональных и биометрических данных в современной России устроена как многоуровневая и внутренне неоднородная конструкция. Ее нельзя описать только через Федеральный закон от 27 июля 2006 г. N 152-ФЗ «О персональных данных» либо только через Федеральный закон от 29 декабря 2022 г. N 572-ФЗ о биометрической идентификации и аутентификации. Реально действующий режим складывается из общего закона о персональных данных, специального регулирования Единой биометрической системы, подзаконных актов Правительства и Минцифры, а также из секторальных правил финансового рынка, где защита данных все теснее связывается с антифродом, удаленным обслуживанием и межплатформенным обменом сведениями.</w:t>
      </w:r>
      <w:r>
        <w:rPr>
          <w:rStyle w:val="FootnoteReference"/>
        </w:rPr>
        <w:footnoteReference w:id="71"/>
      </w:r>
    </w:p>
    <w:p>
      <w:pPr>
        <w:pStyle w:val="BodyText"/>
      </w:pPr>
      <w:r>
        <w:t xml:space="preserve">Общий контур этой модели по-прежнему задает Закон N 152-ФЗ. Его назначение сформулировано как обеспечение защиты прав и свобод человека и гражданина при обработке персональных данных, в том числе права на неприкосновенность частной жизни, личную и семейную тайну. Статья 5 закрепляет принципы обработки: законность и справедливость, ограничение обработки заранее определенными и законными целями, недопустимость несовместимой с такими целями обработки, требование достаточности, точности и актуальности данных.</w:t>
      </w:r>
      <w:r>
        <w:rPr>
          <w:rStyle w:val="FootnoteReference"/>
        </w:rPr>
        <w:footnoteReference w:id="72"/>
      </w:r>
      <w:r>
        <w:t xml:space="preserve"> </w:t>
      </w:r>
      <w:r>
        <w:t xml:space="preserve">Важное значение имеет и обновленная в 2025 году статья 9 Закона N 152-ФЗ: теперь согласие должно быть не просто подтверждаемым, но конкретным, предметным, информированным, сознательным и однозначным, а также оформляться отдельно от иных документов и сведений, которые подписывает либо подтверждает субъект. Для темы цифровой идентификации это существенно, поскольку в электронных интерфейсах согласие часто растворяется внутри пользовательского сценария.</w:t>
      </w:r>
      <w:r>
        <w:rPr>
          <w:rStyle w:val="FootnoteReference"/>
        </w:rPr>
        <w:footnoteReference w:id="73"/>
      </w:r>
    </w:p>
    <w:p>
      <w:pPr>
        <w:pStyle w:val="BodyText"/>
      </w:pPr>
      <w:r>
        <w:t xml:space="preserve">Особое место в общем контуре занимает статья 11 Закона N 152-ФЗ. Она определяет биометрические персональные данные функционально: как сведения о физиологических и биологических особенностях человека, на основании которых можно установить его личность, если оператор использует их именно для установления личности. Общее правило здесь строже, чем для обычных персональных данных: обработка допустима только при наличии письменного согласия субъекта, а перечень исключений закреплен прямо в законе. Дополнительно часть 3 статьи 11 закрепляет два принципиальных ограничения: предоставление биометрических данных не может быть обязательным вне прямо названных законом случаев, а оператор не вправе отказывать в обслуживании из-за отказа лица предоставить биометрию либо дать согласие на ее обработку, если федеральный закон не делает такую обработку обязательной.</w:t>
      </w:r>
      <w:r>
        <w:rPr>
          <w:rStyle w:val="FootnoteReference"/>
        </w:rPr>
        <w:footnoteReference w:id="74"/>
      </w:r>
      <w:r>
        <w:t xml:space="preserve"> </w:t>
      </w:r>
      <w:r>
        <w:t xml:space="preserve">Тем самым Закон N 152-ФЗ закладывает исходную презумпцию усиленной охраны биометрии, но сам по себе еще не отвечает на вопрос, как именно должна быть организована удаленная идентификация в условиях централизованной цифровой инфраструктуры.</w:t>
      </w:r>
    </w:p>
    <w:p>
      <w:pPr>
        <w:pStyle w:val="BodyText"/>
      </w:pPr>
      <w:r>
        <w:t xml:space="preserve">Именно этот пробел заполняет Закон N 572-ФЗ, который образует специальный контур регулирования. Он исходит из того, что Единая биометрическая система представляет собой государственную информационную систему, содержащую биометрические персональные данные физических лиц, векторы ЕБС и иную предусмотренную законом информацию; оператором такой системы выступает организация, определенная Правительством Российской Федерации.</w:t>
      </w:r>
      <w:r>
        <w:rPr>
          <w:rStyle w:val="FootnoteReference"/>
        </w:rPr>
        <w:footnoteReference w:id="75"/>
      </w:r>
      <w:r>
        <w:t xml:space="preserve"> </w:t>
      </w:r>
      <w:r>
        <w:t xml:space="preserve">В статье 3 закон очерчивает широкий круг участников, для которых ЕБС может использоваться: от государственных органов и органов местного самоуправления до банков, иных финансовых организаций, индивидуальных предпринимателей и нотариусов. Одновременно прямо допускается использование ЕБС и в иных правоотношениях, если это предусмотрено законодательством Российской Федерации.</w:t>
      </w:r>
      <w:r>
        <w:rPr>
          <w:rStyle w:val="FootnoteReference"/>
        </w:rPr>
        <w:footnoteReference w:id="76"/>
      </w:r>
      <w:r>
        <w:t xml:space="preserve"> </w:t>
      </w:r>
      <w:r>
        <w:t xml:space="preserve">Уже на уровне конструкции закона видно, что биометрическая идентификация рассматривается не как узкобанковский инструмент, а как универсальная инфраструктура доступа к услугам.</w:t>
      </w:r>
    </w:p>
    <w:p>
      <w:pPr>
        <w:pStyle w:val="BodyText"/>
      </w:pPr>
      <w:r>
        <w:t xml:space="preserve">При этом специальный закон заново формулирует базовые гарантии добровольности. Части 11-13 статьи 3 Закона N 572-ФЗ закрепляют, что предоставление физическими лицами своих биометрических персональных данных в целях, предусмотренных этим законом, не может быть обязательным; государственные органы, органы местного самоуправления, Банк России, организации финансового рынка, иные организации, индивидуальные предприниматели и нотариусы не вправе обусловливать оказание услуг, выполнение функций, продажу товаров либо объем соответствующих услуг и работ обязательным прохождением идентификации или аутентификации с применением биометрии; наконец, отказ лица от такой идентификации не может служить основанием для отказа в услуге или приеме на обслуживание.</w:t>
      </w:r>
      <w:r>
        <w:rPr>
          <w:rStyle w:val="FootnoteReference"/>
        </w:rPr>
        <w:footnoteReference w:id="77"/>
      </w:r>
    </w:p>
    <w:p>
      <w:pPr>
        <w:pStyle w:val="BodyText"/>
      </w:pPr>
      <w:r>
        <w:t xml:space="preserve">Специальный закон одновременно пытается институционализировать и субъектный контроль над биометрией. В той же статье 3 предусмотрено, что зарегистрированное в ЕСИА лицо через портал госуслуг вправе предоставить согласие на размещение и обработку биометрических данных в ЕБС, ознакомиться со сведениями о ранее данных согласиях, отозвать их, направить требование о блокировании, удалении либо уничтожении биометрических данных и векторов ЕБС, а также получить сведения о собственном отказе от сбора и размещения биометрии. Дополнительно закон сохраняет офлайн-гарантию: при личном присутствии в МФЦ гражданин вправе подать письменный отказ от сбора и размещения своих биометрических данных, а до момента отзыва такого отказа их сбор и размещение в ЕБС запрещены.</w:t>
      </w:r>
      <w:r>
        <w:rPr>
          <w:rStyle w:val="FootnoteReference"/>
        </w:rPr>
        <w:footnoteReference w:id="78"/>
      </w:r>
      <w:r>
        <w:t xml:space="preserve"> </w:t>
      </w:r>
      <w:r>
        <w:t xml:space="preserve">Эта часть нормативной модели принципиальна: субъекту предоставляется не только право «согласиться или не согласиться», но и набор процедур управления уже размещенными данными.</w:t>
      </w:r>
    </w:p>
    <w:p>
      <w:pPr>
        <w:pStyle w:val="BodyText"/>
      </w:pPr>
      <w:r>
        <w:t xml:space="preserve">Не менее важно, что Закон N 572-ФЗ связывает гарантии не только с согласием, но и с архитектурой допустимой обработки. Часть 8 статьи 3 прямо запрещает в ЕБС, в ее региональных сегментах и в аккредитованных системах обработку для целей идентификации и аутентификации геномной информации, сведений, отнесенных к государственной тайне, а также данных о ряде специальных категорий лиц, участие которых регулируется законодательством о полиции, ФСБ, оперативно-разыскной деятельности, государственной охране и иных силовых режимах.</w:t>
      </w:r>
      <w:r>
        <w:rPr>
          <w:rStyle w:val="FootnoteReference"/>
        </w:rPr>
        <w:footnoteReference w:id="79"/>
      </w:r>
      <w:r>
        <w:t xml:space="preserve"> </w:t>
      </w:r>
      <w:r>
        <w:t xml:space="preserve">Тем самым законодатель проводит границу не только по линии «есть согласие или нет», но и по линии допустимого предмета самой биометрической инфраструктуры.</w:t>
      </w:r>
    </w:p>
    <w:p>
      <w:pPr>
        <w:pStyle w:val="BodyText"/>
      </w:pPr>
      <w:r>
        <w:t xml:space="preserve">Внутренняя логика специального закона во многом строится на разграничении трех разных блоков согласия. Во-первых, статья 4 регулирует согласие на размещение биометрических данных в ЕБС и ЕСИА. После идентификации при личном присутствии банки, МФЦ и иные организации в предусмотренных законом случаях размещают биометрию и сопутствующие сведения на безвозмездной основе; при этом само лицо может размещать биометрические данные и через мобильное приложение ЕБС, а также через региональное мобильное приложение с последующей передачей данных в ЕБС. Во-вторых, статья 9 отдельно регулирует согласие на обработку персональных и биометрических данных для целей идентификации. В-третьих, статья 10 устанавливает самостоятельное согласие для целей аутентификации, то есть для подтверждения уже известной личности, волеизъявления либо полномочия на совершение действия.</w:t>
      </w:r>
      <w:r>
        <w:rPr>
          <w:rStyle w:val="FootnoteReference"/>
        </w:rPr>
        <w:footnoteReference w:id="80"/>
      </w:r>
      <w:r>
        <w:t xml:space="preserve"> </w:t>
      </w:r>
      <w:r>
        <w:t xml:space="preserve">Для практики это означает, что российское право не знает одного универсального «согласия на биометрию»: оно дробит его по стадиям жизненного цикла данных и по юридической функции процедуры.</w:t>
      </w:r>
    </w:p>
    <w:p>
      <w:pPr>
        <w:pStyle w:val="BodyText"/>
      </w:pPr>
      <w:r>
        <w:t xml:space="preserve">С этим связана и неоднородность правил электронной подписи. Согласие на размещение данных по статье 4 может быть подписано усиленной неквалифицированной электронной подписью, а в ряде случаев — простой электронной подписью, создаваемой оператором ЕБС; согласие на идентификацию по статье 9 может быть подписано усиленной неквалифицированной электронной подписью; согласие на аутентификацию по статье 10 может быть подписано как усиленной неквалифицированной подписью, так и простой электронной подписью, ключ которой создает соответствующий орган, банк, организация финансового рынка либо иной участник системы. Кроме того, статья 26 закрепляет переходное правило: до 1 января 2027 года физическое лицо вправе подписывать ряд согласий простой электронной подписью, ключ которой получен при личной явке в порядке, установленном Правительством РФ.</w:t>
      </w:r>
      <w:r>
        <w:rPr>
          <w:rStyle w:val="FootnoteReference"/>
        </w:rPr>
        <w:footnoteReference w:id="81"/>
      </w:r>
      <w:r>
        <w:t xml:space="preserve"> </w:t>
      </w:r>
      <w:r>
        <w:t xml:space="preserve">Такая модель повышает гибкость сервисов, но делает режим согласия менее интуитивным для гражданина.</w:t>
      </w:r>
    </w:p>
    <w:p>
      <w:pPr>
        <w:pStyle w:val="BodyText"/>
      </w:pPr>
      <w:r>
        <w:t xml:space="preserve">Законодательный контур дополняется рядом ключевых подзаконных актов. После 1 сентября 2024 года сам Закон N 572-ФЗ больше не фиксирует исчерпывающий перечень видов биометрических данных в тексте статьи 3; он отсылает к Правительству Российской Федерации, а Постановление от 1 апреля 2024 г. N 408 определяет, что действие закона распространяется на изображение лица и запись голоса.</w:t>
      </w:r>
      <w:r>
        <w:rPr>
          <w:rStyle w:val="FootnoteReference"/>
        </w:rPr>
        <w:footnoteReference w:id="82"/>
      </w:r>
      <w:r>
        <w:t xml:space="preserve"> </w:t>
      </w:r>
      <w:r>
        <w:t xml:space="preserve">Постановление Правительства РФ от 17 марта 2023 г. N 405, в свою очередь, утверждает правила получения согласия, указанного в пункте 6 части 5 статьи 26 Закона N 572-ФЗ, и форму согласия на размещение биометрических персональных данных в региональном сегменте ЕБС.</w:t>
      </w:r>
      <w:r>
        <w:rPr>
          <w:rStyle w:val="FootnoteReference"/>
        </w:rPr>
        <w:footnoteReference w:id="83"/>
      </w:r>
      <w:r>
        <w:t xml:space="preserve"> </w:t>
      </w:r>
      <w:r>
        <w:t xml:space="preserve">Для анализа нормативной модели это важное уточнение: акт N 405 регулирует не весь массив «согласий на биометрию», а специальный переходный режим регионального сегмента, поэтому подмена им общего порядка была бы методологически ошибочной.</w:t>
      </w:r>
    </w:p>
    <w:p>
      <w:pPr>
        <w:pStyle w:val="BodyText"/>
      </w:pPr>
      <w:r>
        <w:t xml:space="preserve">Другие подзаконные акты отвечают уже за институциональную и техническую сборку системы. Постановлением Правительства РФ от 31 мая 2023 г. N 883 утверждено Положение о ЕБС, в том числе о ее региональных сегментах, а Постановлением Правительства РФ от 21 июня 2024 г. N 834 функции оператора ЕБС возложены на АО «Центр Биометрических Технологий».</w:t>
      </w:r>
      <w:r>
        <w:rPr>
          <w:rStyle w:val="FootnoteReference"/>
        </w:rPr>
        <w:footnoteReference w:id="84"/>
      </w:r>
      <w:r>
        <w:t xml:space="preserve"> </w:t>
      </w:r>
      <w:r>
        <w:t xml:space="preserve">Приказ Минцифры России от 19 июня 2025 г. N 553 внес изменения в приложения N N 1, 2 и 5 к приказу N 453, то есть скорректировал технически значимый массив правил, определяющих параметры обработки биометрических данных в ЕБС; опубликованные разъяснительные материалы прямо связывают этот приказ с уточнением требований к параметрам изображения лица и записи голоса, а также с проверкой таких параметров в ЕБС.</w:t>
      </w:r>
      <w:r>
        <w:rPr>
          <w:rStyle w:val="FootnoteReference"/>
        </w:rPr>
        <w:footnoteReference w:id="85"/>
      </w:r>
      <w:r>
        <w:t xml:space="preserve"> </w:t>
      </w:r>
      <w:r>
        <w:t xml:space="preserve">Наконец, Постановление Правительства РФ от 7 августа 2025 г. N 1183 изменило действующие правительственные акты по вопросам использования биометрических данных, размещенных через мобильное приложение ЕБС, и дополнительно затронуло механизм подтверждения данных, размещенных в региональном сегменте, банками при наличии технической возможности.</w:t>
      </w:r>
      <w:r>
        <w:rPr>
          <w:rStyle w:val="FootnoteReference"/>
        </w:rPr>
        <w:footnoteReference w:id="86"/>
      </w:r>
      <w:r>
        <w:t xml:space="preserve"> </w:t>
      </w:r>
      <w:r>
        <w:t xml:space="preserve">Отсюда вытекает важный аналитический вывод: в российской модели реальные границы допустимой обработки задаются не только законом, но и постоянно обновляемым подзаконным техническим слоем.</w:t>
      </w:r>
    </w:p>
    <w:p>
      <w:pPr>
        <w:pStyle w:val="BodyText"/>
      </w:pPr>
      <w:r>
        <w:t xml:space="preserve">Существенная гарантия специального закона состоит в том, что он стремится вывести устойчивое хранение исходной биометрии из периметра частных операторов. Статья 15 Закона N 572-ФЗ запрещает в информационных системах организаций, осуществляющих аутентификацию на основе биометрии, организаций финансового рынка, иных организаций, индивидуальных предпринимателей и нотариусов обработку, включая сбор и хранение, используемых в целях идентификации биометрических данных, за исключением обработки для размещения таких данных в ЕБС. Для аутентификации закон также запрещает хранение биометрии, допускает лишь ограниченные случаи краткосрочного хранения для рассмотрения обращений субъектов, и по истечении установленного срока организация обязана уничтожить данные с использованием средств защиты информации, имеющих функцию автоматического уничтожения по истечении заданного времени.</w:t>
      </w:r>
      <w:r>
        <w:rPr>
          <w:rStyle w:val="FootnoteReference"/>
        </w:rPr>
        <w:footnoteReference w:id="87"/>
      </w:r>
      <w:r>
        <w:t xml:space="preserve"> </w:t>
      </w:r>
      <w:r>
        <w:t xml:space="preserve">Иными словами, специальный закон пытается защитить частную жизнь не только декларацией о добровольности, но и архитектурой централизованного хранения, при которой внешним участникам оставляется преимущественно роль канала подтверждения, а не самостоятельного владельца полноценных биометрических массивов.</w:t>
      </w:r>
    </w:p>
    <w:p>
      <w:pPr>
        <w:pStyle w:val="BodyText"/>
      </w:pPr>
      <w:r>
        <w:t xml:space="preserve">В 2025-2026 годах эта нормативная модель стала тесно соединяться с антифрод-контуром. Федеральный закон от 1 апреля 2025 г. N 41-ФЗ создал государственную информационную систему противодействия правонарушениям, совершаемым с использованием информационных и коммуникационных технологий, и одновременно усилил требования к дистанционному обслуживанию в финансовом секторе.</w:t>
      </w:r>
      <w:r>
        <w:rPr>
          <w:rStyle w:val="FootnoteReference"/>
        </w:rPr>
        <w:footnoteReference w:id="88"/>
      </w:r>
      <w:r>
        <w:t xml:space="preserve"> </w:t>
      </w:r>
      <w:r>
        <w:t xml:space="preserve">В обзоре по рынку МФО за 2025 год Банк России прямо указывает, что Закон N 41-ФЗ предусматривает использование микрофинансовыми организациями биометрии из ЕБС; для микрофинансовых компаний такая обязанность при выдаче онлайн-займов действует с 1 марта 2026 года, а для микрокредитных компаний — с 1 марта 2027 года.</w:t>
      </w:r>
      <w:r>
        <w:rPr>
          <w:rStyle w:val="FootnoteReference"/>
        </w:rPr>
        <w:footnoteReference w:id="89"/>
      </w:r>
      <w:r>
        <w:t xml:space="preserve"> </w:t>
      </w:r>
      <w:r>
        <w:t xml:space="preserve">Одновременно обзор операций без добровольного согласия клиентов за 2025 год показывает, что регулятор связывает усиление идентификационных и антифрод-мер с масштабами мошенничества: с 1 сентября 2025 года банки обязаны проводить обязательные антифрод-мероприятия при выдаче потребительских кредитов и наличных через банкоматы, а с 1 октября 2025 года в мобильных приложениях крупных банков должен быть специальный сервис для пострадавших клиентов.</w:t>
      </w:r>
      <w:r>
        <w:rPr>
          <w:rStyle w:val="FootnoteReference"/>
        </w:rPr>
        <w:footnoteReference w:id="90"/>
      </w:r>
    </w:p>
    <w:p>
      <w:pPr>
        <w:pStyle w:val="BodyText"/>
      </w:pPr>
      <w:r>
        <w:t xml:space="preserve">Наиболее наглядно эта трансформация проявляется в материалах Банка России о развитии финансового рынка. В опубликованных в марте 2026 года итогах работы за 2025 год Банк России прямо называет ЕБС одним из ключевых компонентов национальной цифровой инфраструктуры финансового рынка, отмечает обязательное использование биометрии микрофинансовыми компаниями с марта 2026 года и фиксирует развитие смежных сервисов: ускорение регистрации подтвержденной биометрии в банках, использование планшетов для ее сбора, продолжение работы над Платформой коммерческих согласий и пилотирование ее функционала с участием 10 банков.</w:t>
      </w:r>
      <w:r>
        <w:rPr>
          <w:rStyle w:val="FootnoteReference"/>
        </w:rPr>
        <w:footnoteReference w:id="91"/>
      </w:r>
      <w:r>
        <w:t xml:space="preserve"> </w:t>
      </w:r>
      <w:r>
        <w:t xml:space="preserve">На той же логике построены и «Основные направления развития финансового рынка Российской Федерации на 2026 год и период 2027 и 2028 годов», где ЕБС, открытые API и платформа коммерческих согласий рассматриваются уже как долгосрочная архитектура рынка.</w:t>
      </w:r>
      <w:r>
        <w:rPr>
          <w:rStyle w:val="FootnoteReference"/>
        </w:rPr>
        <w:footnoteReference w:id="92"/>
      </w:r>
    </w:p>
    <w:p>
      <w:pPr>
        <w:pStyle w:val="BodyText"/>
      </w:pPr>
      <w:r>
        <w:t xml:space="preserve">Отсюда становится понятным, почему для описания действующей нормативной модели уже недостаточно ссылаться только на классическую пару «оператор — субъект данных». Банк России на странице об открытых API подчеркивает, что обмен клиентскими данными между организациями возможен исключительно с согласия клиента, а создаваемая совместно с Минцифры Платформа коммерческих согласий должна дать пользователю возможность в формате «одного окна» видеть, какие данные, кому, на какой срок и в рамках какой услуги передаются, а при необходимости инициировать отзыв ранее предоставленного согласия.</w:t>
      </w:r>
      <w:r>
        <w:rPr>
          <w:rStyle w:val="FootnoteReference"/>
        </w:rPr>
        <w:footnoteReference w:id="93"/>
      </w:r>
      <w:r>
        <w:t xml:space="preserve"> </w:t>
      </w:r>
      <w:r>
        <w:t xml:space="preserve">Это означает, что институт согласия постепенно выносится из локального интерфейса конкретного банка или сервиса в надсистемную инфраструктуру управления данными. Смежная цифровая практика развивается и на финансовых платформах: Банк России определяет их как электронные площадки, позволяющие круглосуточно приобретать финансовые продукты от разных организаций в онлайн-режиме, указывает на обязанность операторов таких платформ обеспечивать надежность, безопасность и сохранность персональных данных, а также прямо отмечает, что обработка персональных данных производится только с согласия клиента.</w:t>
      </w:r>
      <w:r>
        <w:rPr>
          <w:rStyle w:val="FootnoteReference"/>
        </w:rPr>
        <w:footnoteReference w:id="94"/>
      </w:r>
      <w:r>
        <w:t xml:space="preserve"> </w:t>
      </w:r>
      <w:r>
        <w:t xml:space="preserve">В сопряжении с данными о распространении POS-займов на маркетплейсах и онлайн-площадках это показывает, что защита персональных и биометрических данных все чаще реализуется не в изолированном отношении между человеком и одним оператором, а внутри платформенной среды, где несколько участников одновременно вовлечены в идентификацию, оценку клиента и обмен его данными.</w:t>
      </w:r>
      <w:r>
        <w:rPr>
          <w:rStyle w:val="FootnoteReference"/>
        </w:rPr>
        <w:footnoteReference w:id="95"/>
      </w:r>
    </w:p>
    <w:p>
      <w:pPr>
        <w:pStyle w:val="BodyText"/>
      </w:pPr>
      <w:r>
        <w:t xml:space="preserve">Наконец, официальные разъяснения Банка России подтверждают, что для гражданина ЕБС уже превратилась из экспериментального сервиса в повседневный канал управления идентификацией. В FAQ, обновленном 18 февраля 2026 года, регулятор указывает, что проверить регистрацию в ЕБС можно через портал госуслуг, приложение «Госуслуги.Биометрия», портал EBS и мобильное приложение системы; там же разъясняется, что биометрические данные в ЕБС хранятся в зашифрованном и обезличенном виде отдельно от иных персональных данных, которые находятся в ЕСИА, а с использованием удаленной идентификации граждане могут дистанционно открывать счета и вклады, получать кредиты, переводить средства и оплачивать покупки.</w:t>
      </w:r>
      <w:r>
        <w:rPr>
          <w:rStyle w:val="FootnoteReference"/>
        </w:rPr>
        <w:footnoteReference w:id="96"/>
      </w:r>
      <w:r>
        <w:t xml:space="preserve"> </w:t>
      </w:r>
      <w:r>
        <w:t xml:space="preserve">Для нормативной модели это означает, что закон, подзаконное регулирование и регуляторные разъяснения работают совместно: закон закрепляет право и запрет дискриминации, подзаконные акты описывают процедуру и технические параметры, а регулятор переводит их в понятные рынку и пользователю сценарии.</w:t>
      </w:r>
    </w:p>
    <w:p>
      <w:pPr>
        <w:pStyle w:val="BodyText"/>
      </w:pPr>
      <w:r>
        <w:t xml:space="preserve">Итак, российская нормативная модель защиты персональных и биометрических данных в условиях цифровой идентификации имеет двойственную природу. Она уже содержит ряд существенных гарантий: общие принципы Закона N 152-ФЗ, усиленный режим статьи 11 для биометрии, ужесточенные требования к согласию после поправок 2025 года, добровольность предоставления биометрии и запрет отказа в услуге по Закону N 572-ФЗ, возможность управлять согласиями и отказами через госуслуги и МФЦ, а также ограничения на хранение и обработку биометрии вне ЕБС. Но эта модель остается фрагментированной: значительная часть реально работающих гарантий смещена в подзаконный и технический уровень, режим согласия раздроблен на несколько разных процедур, а дальнейшее развитие системы в 2025-2026 годах идет прежде всего под влиянием антифрода, финансовой инфраструктуры и платформенного обмена данными. Следовательно, действующее право уже создало каркас защиты, но пока еще не сформировало полностью цельный и прозрачный конституционно-правовой механизм, в котором пределы допустимой биометрической идентификации были бы одинаково ясны во всех ключевых цифровых средах.</w:t>
      </w:r>
    </w:p>
    <w:bookmarkEnd w:id="97"/>
    <w:bookmarkStart w:id="123" w:name="Xb42a28196469a8a8d04d4e8e317493b940355bc"/>
    <w:p>
      <w:pPr>
        <w:pStyle w:val="Heading2"/>
      </w:pPr>
      <w:r>
        <w:t xml:space="preserve">2.2. Единая биометрическая система и институт согласия как элементы механизма гарантий</w:t>
      </w:r>
    </w:p>
    <w:p>
      <w:pPr>
        <w:pStyle w:val="FirstParagraph"/>
      </w:pPr>
      <w:r>
        <w:t xml:space="preserve">Если в подпункте 2.1 был показан нормативный каркас защиты персональных и биометрических данных, то теперь необходимо перейти к тому механизму, в котором этот каркас приобретает практический смысл. Таким механизмом в современной российской модели стала Единая биометрическая система. Именно через нее законодатель пытается одновременно решить две задачи, находящиеся в конституционно-чувствительном напряжении: упростить подтверждение личности в цифровой среде и одновременно ограничить неконтролируемое обращение биометрии у множества частных и публичных участников. Поэтому ЕБС и институт согласия следует рассматривать не как отдельные технические процедуры, а как центральный узел всей модели гарантий. Их значение заключается не только в том, что они разрешают или запрещают конкретную операцию, но и в том, что они задают архитектуру контроля над данными, распределяют риски между субъектом, оператором и пользователями системы и формируют реальный объем свободы выбора для гражданина.</w:t>
      </w:r>
      <w:r>
        <w:rPr>
          <w:rStyle w:val="FootnoteReference"/>
        </w:rPr>
        <w:footnoteReference w:id="98"/>
      </w:r>
      <w:r>
        <w:rPr>
          <w:rStyle w:val="FootnoteReference"/>
        </w:rPr>
        <w:footnoteReference w:id="99"/>
      </w:r>
    </w:p>
    <w:p>
      <w:pPr>
        <w:pStyle w:val="BodyText"/>
      </w:pPr>
      <w:r>
        <w:t xml:space="preserve">Специфика ЕБС как механизма гарантий состоит в ее двойственной логике. С одной стороны, государство и регулятор представляют централизацию биометрии как средство защиты личности. Закон N 572-ФЗ запрещает большинству внешних участников системы устойчиво собирать и хранить биометрические персональные данные, используемые для идентификации и аутентификации, вне модели, прямо предусмотренной законом; тем самым сокращается число локальных хранилищ, в которых биометрия могла бы обращаться без единых стандартов защиты.</w:t>
      </w:r>
      <w:r>
        <w:rPr>
          <w:rStyle w:val="FootnoteReference"/>
        </w:rPr>
        <w:footnoteReference w:id="100"/>
      </w:r>
      <w:r>
        <w:t xml:space="preserve"> </w:t>
      </w:r>
      <w:r>
        <w:t xml:space="preserve">Официальный сайт ЕБС подчеркивает именно эту идею: биометрические данные хранятся как селфи и запись голоса, зашифрованы, отделены от других персональных данных, а сама система позиционируется как «закрытый контур хранения», в пределах которого биометрия не передается третьим лицам как свободно обращающийся массив данных.</w:t>
      </w:r>
      <w:r>
        <w:rPr>
          <w:rStyle w:val="FootnoteReference"/>
        </w:rPr>
        <w:footnoteReference w:id="101"/>
      </w:r>
      <w:r>
        <w:t xml:space="preserve"> </w:t>
      </w:r>
      <w:r>
        <w:t xml:space="preserve">В таком представлении централизация должна работать как гарантия минимизации периметра хранения.</w:t>
      </w:r>
    </w:p>
    <w:p>
      <w:pPr>
        <w:pStyle w:val="BodyText"/>
      </w:pPr>
      <w:r>
        <w:t xml:space="preserve">С другой стороны, конституционно-правовой анализ показывает, что та же самая централизация порождает и особый риск. Чем меньше число точек хранения, тем легче стандартизировать защиту; но чем значимее единый контур, тем чувствительнее последствия сбоя, компрометации или ошибочного управленческого решения внутри этого контура. В отношении обычных персональных данных распределенная архитектура часто критикуется за избыточность операторов. В отношении биометрии у централизованной модели возникает обратная проблема: даже при наличии формальных ограничений на доступ и передачу система аккумулирует необратимо чувствительные идентификационные сведения, которые не могут быть «заменены» субъектом по аналогии с паролем либо документом. Поэтому сама ЕБС не может рассматриваться как автоматическая гарантия защиты; она является лишь особой организационной моделью, которая уменьшает одни риски, но одновременно концентрирует другие. Такой вывод прямо не сформулирован в законе, однако вытекает из сочетания запрета локального хранения и самой архитектуры централизованного контура.</w:t>
      </w:r>
      <w:r>
        <w:rPr>
          <w:rStyle w:val="FootnoteReference"/>
        </w:rPr>
        <w:footnoteReference w:id="102"/>
      </w:r>
    </w:p>
    <w:p>
      <w:pPr>
        <w:pStyle w:val="BodyText"/>
      </w:pPr>
      <w:r>
        <w:t xml:space="preserve">Именно по этой причине центральным элементом гарантий становится институт согласия. Закон N 572-ФЗ не ограничивается одним универсальным согласием «на биометрию». Как уже было показано в предыдущем подпункте, он строит многоступенчатую систему: согласие на размещение биометрических данных в ЕБС и ЕСИА, согласие на идентификацию, согласие на аутентификацию, а в переходной части — специальные формы согласия для региональных сегментов.</w:t>
      </w:r>
      <w:r>
        <w:rPr>
          <w:rStyle w:val="FootnoteReference"/>
        </w:rPr>
        <w:footnoteReference w:id="103"/>
      </w:r>
      <w:r>
        <w:rPr>
          <w:rStyle w:val="FootnoteReference"/>
        </w:rPr>
        <w:footnoteReference w:id="104"/>
      </w:r>
      <w:r>
        <w:t xml:space="preserve"> </w:t>
      </w:r>
      <w:r>
        <w:t xml:space="preserve">В результате российская модель пытается связать волеизъявление субъекта не с абстрактным допуском к любому обращению биометрии, а с отдельными стадиями жизненного цикла данных. Это можно оценивать двояко. Положительная сторона состоит в том, что законодатель отказывается от слишком грубой конструкции, при которой единоразовое волеизъявление поглощало бы все последующие сценарии использования. Однако отрицательная сторона заключается в том, что для обычного пользователя эта система становится трудно обозримой: юридически согласие дробится, а практически человек чаще всего воспринимает взаимодействие с системой как одну непрерывную цифровую услугу.</w:t>
      </w:r>
    </w:p>
    <w:p>
      <w:pPr>
        <w:pStyle w:val="BodyText"/>
      </w:pPr>
      <w:r>
        <w:t xml:space="preserve">Публичные интерфейсы ЕБС показывают, что законодательная идея контроля над согласием действительно доводится до уровня пользовательского инструмента. В разделе помощи на официальном сайте ЕБС прямо указано, что управлять своей биометрией можно через портал Госуслуг: в личном кабинете отображаются факт регистрации биометрии, срок ее действия и место регистрации; там же можно удалить биометрию «в один клик». Дополнительно в разделе «Согласия» пользователь может отозвать согласия на обработку данных у отдельных организаций. Если же гражданин не хочет, чтобы его биометрия вообще размещалась в системе, он вправе подать в МФЦ письменный отказ от регистрации, а при изменении решения — отозвать такой отказ также через МФЦ.</w:t>
      </w:r>
      <w:r>
        <w:rPr>
          <w:rStyle w:val="FootnoteReference"/>
        </w:rPr>
        <w:footnoteReference w:id="105"/>
      </w:r>
      <w:r>
        <w:rPr>
          <w:rStyle w:val="FootnoteReference"/>
        </w:rPr>
        <w:footnoteReference w:id="106"/>
      </w:r>
      <w:r>
        <w:t xml:space="preserve"> </w:t>
      </w:r>
      <w:r>
        <w:t xml:space="preserve">Следовательно, институт согласия в российской модели выступает не только как момент первоначального допуска к обработке, но и как процедура последующего управления данными.</w:t>
      </w:r>
    </w:p>
    <w:p>
      <w:pPr>
        <w:pStyle w:val="BodyText"/>
      </w:pPr>
      <w:r>
        <w:t xml:space="preserve">Эта особенность действительно усиливает гарантии по сравнению с более ранними моделями, где согласие часто существовало лишь как бумажный документ или скрытая часть общего договора. В ЕБС контроль субъекта получил хотя бы минимально наблюдаемую цифровую форму: пользователь может увидеть, зарегистрирована ли его биометрия, каков ее тип, где она была собрана и какие согласия на обработку данных им даны. В конституционно-правовом смысле это сближает российскую модель с более сильным пониманием информационной автономии, при котором человек не только один раз соглашается на обработку, но и способен проверять состояние собственного цифрового профиля. В этом же направлении работают и поправки к статье 9 Закона N 152-ФЗ, усилившие требования к самостоятельности и определенности согласия как юридического действия.</w:t>
      </w:r>
      <w:r>
        <w:rPr>
          <w:rStyle w:val="FootnoteReference"/>
        </w:rPr>
        <w:footnoteReference w:id="107"/>
      </w:r>
      <w:r>
        <w:rPr>
          <w:rStyle w:val="FootnoteReference"/>
        </w:rPr>
        <w:footnoteReference w:id="108"/>
      </w:r>
    </w:p>
    <w:p>
      <w:pPr>
        <w:pStyle w:val="BodyText"/>
      </w:pPr>
      <w:r>
        <w:t xml:space="preserve">Однако реальная сила такой гарантии ограничена. Формально у субъекта есть право удалить биометрию и отозвать согласия, но это не означает полного восстановления контроля над всеми последствиями уже совершенного цифрового использования. Публично доступные процедуры сосредоточены на прекращении дальнейшего использования, удалении данных из системы и отзыве конкретных согласий, но не раскрывают для гражданина детальный порядок устранения всех эффектов предыдущих идентификаций и аутентификаций у тех участников, которые уже получили результат проверки либо использовали его для предоставления услуги. Иными словами, субъект управляет прежде всего будущим допуском к обработке, тогда как информационный след уже совершенных операций остается менее прозрачным. Этот вывод следует не из опровержения закона, а из сопоставления того, какие средства контроля прямо доступны в ЕБС и на Госуслугах, и какие последствия цифрового оборота неизбежно возникают после каждой завершенной операции.</w:t>
      </w:r>
      <w:r>
        <w:rPr>
          <w:rStyle w:val="FootnoteReference"/>
        </w:rPr>
        <w:footnoteReference w:id="109"/>
      </w:r>
      <w:r>
        <w:rPr>
          <w:rStyle w:val="FootnoteReference"/>
        </w:rPr>
        <w:footnoteReference w:id="110"/>
      </w:r>
    </w:p>
    <w:p>
      <w:pPr>
        <w:pStyle w:val="BodyText"/>
      </w:pPr>
      <w:r>
        <w:t xml:space="preserve">Практическая сторона механизма гарантий раскрывается и через дифференциацию биометрии по категориям. На официальном сайте ЕБС прямо указано, что система использует упрощенную, стандартную и подтвержденную биометрию, различающиеся по сроку действия и набору доступных сервисов: для упрощенной и стандартной биометрии называется трехлетний срок действия, для подтвержденной — пятилетний. Одновременно официальный портал связывает разные категории биометрии с различным объемом допуска к услугам: от оплаты покупок и проезда до дистанционного банковского обслуживания, оформления УКЭП, заселения в гостиницу, получения услуг в МФЦ и подтверждения возраста.</w:t>
      </w:r>
      <w:r>
        <w:rPr>
          <w:rStyle w:val="FootnoteReference"/>
        </w:rPr>
        <w:footnoteReference w:id="111"/>
      </w:r>
      <w:r>
        <w:t xml:space="preserve"> </w:t>
      </w:r>
      <w:r>
        <w:t xml:space="preserve">Такое разграничение важно не только технически. Оно показывает, что государство пытается встроить в систему элемент риск-ориентированного подхода: не любая форма биометрии ведет к одинаковым юридическим последствиям, а глубина допуска зависит от уровня подтверждения идентификационного профиля.</w:t>
      </w:r>
    </w:p>
    <w:p>
      <w:pPr>
        <w:pStyle w:val="BodyText"/>
      </w:pPr>
      <w:r>
        <w:t xml:space="preserve">Одновременно эта же дифференциация способствует повседневной нормализации биометрических сервисов. Из официальных материалов Банка России следует, что в 2025 году сбор упрощенной и стандартной биометрии был оптимизирован в приложении «Госуслуги.Биометрия», а регистрация подтвержденной биометрии ускорена в банковских отделениях; кроме стационарного оборудования, сотрудники банков получили возможность использовать планшеты, что сократило продолжительность процедуры до 2-5 минут и позволило проводить выездную регистрацию.</w:t>
      </w:r>
      <w:r>
        <w:rPr>
          <w:rStyle w:val="FootnoteReference"/>
        </w:rPr>
        <w:footnoteReference w:id="112"/>
      </w:r>
      <w:r>
        <w:t xml:space="preserve"> </w:t>
      </w:r>
      <w:r>
        <w:t xml:space="preserve">В результате ЕБС становится не только более защищенной, но и более доступной. С точки зрения прав личности это имеет амбивалентный эффект. Снижение организационных барьеров укрепляет реальную возможность добровольного участия: человеку проще зарегистрировать и затем использовать биометрию без дополнительных издержек. Но одновременно такая удобная инфраструктура постепенно превращает биометрический сценарий в наиболее простой и быстрый путь доступа к услуге, а небиометрические альтернативы рискуют стать менее удобными и, следовательно, менее привлекательными.</w:t>
      </w:r>
    </w:p>
    <w:p>
      <w:pPr>
        <w:pStyle w:val="BodyText"/>
      </w:pPr>
      <w:r>
        <w:t xml:space="preserve">Именно здесь проблема согласия выходит за пределы формально-юридического вопроса о наличии либо отсутствии подписи. В конституционно-правовом смысле добровольность означает не только отсутствие прямого принуждения, но и наличие сопоставимой альтернативы. Официальный сайт ЕБС и материалы Банка России демонстрируют стремительное расширение числа сервисов, для которых биометрия становится удобным каналом доступа: микрозайм онлайн, обслуживание в МФЦ, заселение в гостиницу, подтверждение возраста, оплата проезда, дистанционное банковское обслуживание, а также новые транспортные сценарии, включая посадку на поезд.</w:t>
      </w:r>
      <w:r>
        <w:rPr>
          <w:rStyle w:val="FootnoteReference"/>
        </w:rPr>
        <w:footnoteReference w:id="113"/>
      </w:r>
      <w:r>
        <w:rPr>
          <w:rStyle w:val="FootnoteReference"/>
        </w:rPr>
        <w:footnoteReference w:id="114"/>
      </w:r>
      <w:r>
        <w:rPr>
          <w:rStyle w:val="FootnoteReference"/>
        </w:rPr>
        <w:footnoteReference w:id="115"/>
      </w:r>
      <w:r>
        <w:t xml:space="preserve"> </w:t>
      </w:r>
      <w:r>
        <w:t xml:space="preserve">Пока это еще не позволяет говорить о повсеместной принудительности биометрии, и такой вывод был бы чрезмерным. Но уже позволяет говорить о риске инфраструктурно предпочтительной модели, при которой формально свободный выбор все сильнее зависит от того, насколько обременительной оказывается небиометрическая альтернатива.</w:t>
      </w:r>
    </w:p>
    <w:p>
      <w:pPr>
        <w:pStyle w:val="BodyText"/>
      </w:pPr>
      <w:r>
        <w:t xml:space="preserve">Особое значение для современного понимания согласия имеет развитие Платформы коммерческих согласий и открытых API. На странице Банка России об открытых API прямо указано, что обмен клиентскими данными между организациями возможен исключительно с согласия клиента, а совместно с Минцифры создаваемая Платформа коммерческих согласий на базе Госуслуг должна позволить пользователю видеть все выданные согласия и при необходимости инициировать их отзыв. В итогах работы Банка России за 2025 год дополнительно отмечено, что правовые условия для запуска платформы уже созданы, а ее функционал пилотируется с участием 10 банков.</w:t>
      </w:r>
      <w:r>
        <w:rPr>
          <w:rStyle w:val="FootnoteReference"/>
        </w:rPr>
        <w:footnoteReference w:id="116"/>
      </w:r>
      <w:r>
        <w:rPr>
          <w:rStyle w:val="FootnoteReference"/>
        </w:rPr>
        <w:footnoteReference w:id="117"/>
      </w:r>
      <w:r>
        <w:t xml:space="preserve"> </w:t>
      </w:r>
      <w:r>
        <w:t xml:space="preserve">Для темы диплома это принципиально важно: согласие начинает пониматься не как локальный документ у конкретного оператора, а как управляемая межсистемная инфраструктура. Иначе говоря, российская правовая система постепенно переносит акцент с момента получения согласия на возможность его последующего учета, наблюдения и отзыва в цифровой среде.</w:t>
      </w:r>
    </w:p>
    <w:p>
      <w:pPr>
        <w:pStyle w:val="BodyText"/>
      </w:pPr>
      <w:r>
        <w:t xml:space="preserve">Вместе с тем Платформа коммерческих согласий не устраняет всех проблем, которые характерны для биометрического контура. Во-первых, она относится прежде всего к обмену данными между организациями с помощью открытых API и не поглощает весь жизненный цикл биометрической идентификации. Во-вторых, она улучшает обозримость согласий, но сама по себе не снимает вопроса о том, насколько субъект понимает последствия подключения к многоуровневой системе, где биометрия, государственная идентификационная инфраструктура, финансовый сервис и межорганизационный обмен данными фактически соединены в одном пользовательском действии. В-третьих, даже наиболее прозрачная цифровая платформа не отменяет информационного неравенства между гражданином и сложной экосистемой операторов и пользователей данных. Поэтому институт согласия в современных условиях следует оценивать не как завершенную гарантию, а как механизм, который требует постоянного институционального усиления через понятные интерфейсы, разделение сценариев, ясные сроки, проверяемый отзыв и недвусмысленное описание последствий выбора.</w:t>
      </w:r>
    </w:p>
    <w:p>
      <w:pPr>
        <w:pStyle w:val="BodyText"/>
      </w:pPr>
      <w:r>
        <w:t xml:space="preserve">Сказанное особенно отчетливо видно в финансовом секторе, где ЕБС все теснее соединяется с защитой от мошенничества. Банк России прямо указывает, что с 1 марта 2026 года микрофинансовые компании должны использовать биометрию при дистанционном обслуживании клиентов, а для микрокредитных компаний переходный период продлен до 1 марта 2027 года.</w:t>
      </w:r>
      <w:r>
        <w:rPr>
          <w:rStyle w:val="FootnoteReference"/>
        </w:rPr>
        <w:footnoteReference w:id="118"/>
      </w:r>
      <w:r>
        <w:rPr>
          <w:rStyle w:val="FootnoteReference"/>
        </w:rPr>
        <w:footnoteReference w:id="119"/>
      </w:r>
      <w:r>
        <w:t xml:space="preserve"> </w:t>
      </w:r>
      <w:r>
        <w:t xml:space="preserve">Здесь согласие и ЕБС работают уже не только как приватностный механизм, но и как средство предотвращения подмены личности. Такой поворот усиливает публичное оправдание системы, но одновременно усложняет конституционную оценку. Чем сильнее биометрическая идентификация связывается с безопасностью финансового рынка и защитой клиента, тем труднее в практическом смысле отделить действительно добровольный выбор от регуляторно и инфраструктурно предопределенного поведения. Следовательно, проблема согласия в эпоху ЕБС состоит не в том, существует ли оно формально, а в том, сохраняет ли оно реальное содержание при расширении сфер обязательного или практически неизбежного цифрового допуска.</w:t>
      </w:r>
    </w:p>
    <w:p>
      <w:pPr>
        <w:pStyle w:val="BodyText"/>
      </w:pPr>
      <w:r>
        <w:t xml:space="preserve">Промежуточный вывод по подпункту 2.2 состоит в следующем. ЕБС и институт согласия действительно образуют важнейшие элементы механизма гарантий: через централизацию хранения и ограничение локальных массивов биометрии, через запрет навязывания биометрической идентификации, через цифровые инструменты управления биометрией на Госуслугах, через возможность удаления данных и отзыва согласий, а также через развитие платформенной модели учета согласий на межорганизационный обмен данными.</w:t>
      </w:r>
      <w:r>
        <w:rPr>
          <w:rStyle w:val="FootnoteReference"/>
        </w:rPr>
        <w:footnoteReference w:id="120"/>
      </w:r>
      <w:r>
        <w:rPr>
          <w:rStyle w:val="FootnoteReference"/>
        </w:rPr>
        <w:footnoteReference w:id="121"/>
      </w:r>
      <w:r>
        <w:rPr>
          <w:rStyle w:val="FootnoteReference"/>
        </w:rPr>
        <w:footnoteReference w:id="122"/>
      </w:r>
      <w:r>
        <w:t xml:space="preserve"> </w:t>
      </w:r>
      <w:r>
        <w:t xml:space="preserve">Но эти же элементы не устраняют ключевых рисков системы. Централизованное хранение концентрирует чувствительные данные в одном инфраструктурном контуре; многоуровневая архитектура согласий затрудняет реальную информированность субъекта; а расширение повседневных сервисов и антифрод-обязанностей делает биометрический канал все более предпочтительным. Особенно заметно это в ситуациях, когда формальная альтернатива биометрии сохраняется, но различается с ней по скорости, удобству и объему фактически доступных действий. Поэтому в действующей российской модели ЕБС и согласие следует оценивать не как окончательное решение проблемы защиты частной жизни, а как частично работающий механизм, который уже создает значимые гарантии, но еще не снимает вопрос о границах допустимого давления на выбор субъекта и о достаточности его реального контроля над своими биометрическими данными.</w:t>
      </w:r>
    </w:p>
    <w:bookmarkEnd w:id="123"/>
    <w:bookmarkStart w:id="153" w:name="Xe98fdbb1b9dff433b7d0969804f30ae78b577d2"/>
    <w:p>
      <w:pPr>
        <w:pStyle w:val="Heading2"/>
      </w:pPr>
      <w:r>
        <w:t xml:space="preserve">2.3. Судебная, квазисудебная и правоприменительная практика</w:t>
      </w:r>
    </w:p>
    <w:p>
      <w:pPr>
        <w:pStyle w:val="FirstParagraph"/>
      </w:pPr>
      <w:r>
        <w:t xml:space="preserve">Оценка того, насколько реально работают закрепленные в законе гарантии защиты персональных и биометрических данных, невозможна без обращения к практике. Однако именно здесь обнаруживается одна из главных особенностей российской модели: нормативный массив в сфере цифровой идентификации развивается быстрее, чем судебная методология его конституционной оценки. По состоянию на 17 апреля 2026 г. нельзя говорить о сложившемся массиве опубликованных судебных актов, специально посвященных Единой биометрической системе, цифровому согласию или допустимым пределам биометрической аутентификации в повседневных сервисах. Поэтому подпункт 2.3 неизбежно должен рассматривать практику в более широком смысле: как совокупность правовых позиций Конституционного Суда РФ, международного стандарта, позволяющего увидеть недостающие элементы анализа, и регуляторно-правоприменительных решений Банка России и инфраструктурных операторов, которые сегодня фактически задают границы допустимого использования биометрии.</w:t>
      </w:r>
      <w:r>
        <w:rPr>
          <w:rStyle w:val="FootnoteReference"/>
        </w:rPr>
        <w:footnoteReference w:id="124"/>
      </w:r>
      <w:r>
        <w:rPr>
          <w:rStyle w:val="FootnoteReference"/>
        </w:rPr>
        <w:footnoteReference w:id="125"/>
      </w:r>
      <w:r>
        <w:rPr>
          <w:rStyle w:val="FootnoteReference"/>
        </w:rPr>
        <w:footnoteReference w:id="126"/>
      </w:r>
    </w:p>
    <w:p>
      <w:pPr>
        <w:pStyle w:val="BodyText"/>
      </w:pPr>
      <w:r>
        <w:t xml:space="preserve">Для российского конституционно-правового анализа ключевым ориентиром по-прежнему остается Постановление Конституционного Суда РФ от 25 мая 2021 г. N 22-П по делу ООО «МедРейтинг». Формально оно не касалось биометрии: предметом спора была обработка и распространение персональных данных медицинского работника в сетевом издании без его согласия. Тем не менее правовые позиции Суда имеют более широкое значение. Конституционный Суд указал, что персональные данные в качестве исходного положения относятся к сведениям о частной жизни и подлежат конституционной защите; одновременно между правом на неприкосновенность частной жизни и свободой распространения информации нет безусловного приоритета одной ценности над другой. Требуется баланс, который должен устанавливаться с учетом характера сведений, общественного интереса к ним, их актуальности, наличия процедур исправления и удаления противоправного контента, а также возможности судебного вмешательства как крайней меры.</w:t>
      </w:r>
      <w:r>
        <w:rPr>
          <w:rStyle w:val="FootnoteReference"/>
        </w:rPr>
        <w:footnoteReference w:id="127"/>
      </w:r>
    </w:p>
    <w:p>
      <w:pPr>
        <w:pStyle w:val="BodyText"/>
      </w:pPr>
      <w:r>
        <w:t xml:space="preserve">В контексте темы диплома это решение важно в двух аспектах. Во-первых, оно подтверждает, что конституционная защита информации о личности не исчерпывается проверкой факта первоначального согласия. Даже если данные однажды были правомерно раскрыты или использованы, дальнейшее обращение с ними должно отвечать критериям актуальности, соразмерности и добросовестности. Во-вторых, из логики Постановления N 22-П следует, что цифровая среда сама по себе не отменяет необходимости индивидуализированной оценки последствий обработки для конкретного лица. Иными словами, Конституционный Суд уже предложил общий язык баланса для споров о данных: необходимо соотносить общественно значимую цель, характер затрагиваемых сведений, риски для личности и доступные средства защиты.</w:t>
      </w:r>
      <w:r>
        <w:rPr>
          <w:rStyle w:val="FootnoteReference"/>
        </w:rPr>
        <w:footnoteReference w:id="128"/>
      </w:r>
    </w:p>
    <w:p>
      <w:pPr>
        <w:pStyle w:val="BodyText"/>
      </w:pPr>
      <w:r>
        <w:t xml:space="preserve">Но именно на этой точке видно и ограничение нынешней российской судебной практики. Дело «МедРейтинг» касалось персональных данных, которые были связаны с профессиональной деятельностью и в определенной части уже подлежали раскрытию по федеральному закону. Суд не анализировал необратимость биометрических идентификаторов, проблему массовой автоматизированной идентификации, централизованное государственное хранение шаблонов, асимметрию между оператором и субъектом в цифровом интерфейсе согласия, а также эффект постепенного превращения биометрического канала в практически предпочтительный способ доступа к услуге. Поэтому Постановление N 22-П дает лишь общую конституционную рамку, но не создает специальной методологии для оценки именно биометрического вмешательства. Оно позволяет утверждать, что баланс нужен, однако почти не отвечает на вопрос, как именно его выстраивать, когда вмешательство принимает форму непрерывной или потенциально массовой идентификации по лицу и голосу.</w:t>
      </w:r>
    </w:p>
    <w:p>
      <w:pPr>
        <w:pStyle w:val="BodyText"/>
      </w:pPr>
      <w:r>
        <w:t xml:space="preserve">Не менее показательно и Определение Конституционного Суда РФ от 28 сентября 2023 г. N 2201-О, вынесенное по жалобе гражданина на часть 1 статьи 9 Закона о персональных данных. Заявитель оспаривал ситуацию, в которой участие в конкурсе на должность было поставлено в зависимость от предоставления согласия на обработку персональных данных по установленной форме, а не в той редакции, которую он сформулировал самостоятельно. Конституционный Суд отказал в принятии жалобы, указав, что само по себе регулирование, допускающее установление оператором формы согласия на обработку персональных данных, не противоречит Конституции, а оценка того, соответствует ли конкретная форма требованиям о целях, объеме и недопустимости избыточности обработки, относится не к его компетенции, а к компетенции иных правоприменителей.</w:t>
      </w:r>
      <w:r>
        <w:rPr>
          <w:rStyle w:val="FootnoteReference"/>
        </w:rPr>
        <w:footnoteReference w:id="129"/>
      </w:r>
    </w:p>
    <w:p>
      <w:pPr>
        <w:pStyle w:val="BodyText"/>
      </w:pPr>
      <w:r>
        <w:t xml:space="preserve">Для темы биометрии это определение значимо именно своей сдержанностью. Оно демонстрирует, что даже в вопросе о конструкции согласия Конституционный Суд пока не выработал углубленного стандарта конституционного контроля, ориентированного на цифровые интерфейсы и реальную свободу выбора субъекта. Суд подтверждает общие принципы законодательства о персональных данных, но не разворачивает их в критерии проверки того, когда форма согласия становится чрезмерной, когда она навязывает лишний объем раскрытия сведений, когда архитектура пользовательского сценария фактически подталкивает человека к принятию невыгодных условий, и как соотносить формальную добровольность с организационной зависимостью от оператора. В результате значительная часть конфликтов о содержании согласия выталкивается из пространства конституционного контроля в пространство обычного административного, гражданского и отраслевого правоприменения. Это и есть один из признаков незавершенности российской модели гарантий: конституционный уровень формулирует общую презумпцию защиты, но не дает детального теста для новых цифровых форм вмешательства.</w:t>
      </w:r>
      <w:r>
        <w:rPr>
          <w:rStyle w:val="FootnoteReference"/>
        </w:rPr>
        <w:footnoteReference w:id="130"/>
      </w:r>
      <w:r>
        <w:rPr>
          <w:rStyle w:val="FootnoteReference"/>
        </w:rPr>
        <w:footnoteReference w:id="131"/>
      </w:r>
    </w:p>
    <w:p>
      <w:pPr>
        <w:pStyle w:val="BodyText"/>
      </w:pPr>
      <w:r>
        <w:t xml:space="preserve">Контрастным ориентиром выступает решение Европейского Суда по правам человека по делу</w:t>
      </w:r>
      <w:r>
        <w:t xml:space="preserve"> </w:t>
      </w:r>
      <w:r>
        <w:rPr>
          <w:i/>
          <w:iCs/>
        </w:rPr>
        <w:t xml:space="preserve">Glukhin v. Russia</w:t>
      </w:r>
      <w:r>
        <w:t xml:space="preserve"> </w:t>
      </w:r>
      <w:r>
        <w:t xml:space="preserve">от 4 июля 2023 г. Суд рассматривал использование технологии распознавания лиц против участника мирной акции в московском метро и пришел к выводу о нарушении статьи 8 Конвенции, а также статьи 10. Для настоящего исследования особенно важен не только итог, но и сама логика анализа. ЕСПЧ подчеркнул, что обработка биометрических персональных данных заявителя с помощью технологии распознавания лиц была «particularly intrusive», то есть особенно инвазивной; указал на отсутствие в национальном праве детальных правил, регулирующих сферу и пределы применения такой технологии, и на отсутствие сильных гарантий от злоупотребления и произвола; наконец, пришел к выводу, что вмешательство не отвечало «pressing social need» и не было «necessary in a democratic society» применительно к мирному поведению, не создававшему угрозы общественному порядку или безопасности.</w:t>
      </w:r>
      <w:r>
        <w:rPr>
          <w:rStyle w:val="FootnoteReference"/>
        </w:rPr>
        <w:footnoteReference w:id="132"/>
      </w:r>
    </w:p>
    <w:p>
      <w:pPr>
        <w:pStyle w:val="BodyText"/>
      </w:pPr>
      <w:r>
        <w:t xml:space="preserve">Значение этого решения для российской темы двояко. С одной стороны, речь в нем шла о правоохранительном, а не сервисном применении распознавания лиц, поэтому перенос выводов на ЕБС не должен быть механическим. С другой стороны, именно в</w:t>
      </w:r>
      <w:r>
        <w:t xml:space="preserve"> </w:t>
      </w:r>
      <w:r>
        <w:rPr>
          <w:i/>
          <w:iCs/>
        </w:rPr>
        <w:t xml:space="preserve">Glukhin v. Russia</w:t>
      </w:r>
      <w:r>
        <w:t xml:space="preserve"> </w:t>
      </w:r>
      <w:r>
        <w:t xml:space="preserve">наиболее отчетливо показано, какого элемента не хватает российской судебной практике: последовательного теста пропорциональности, где отдельно анализируются качество закона, детальность процедурных гарантий, возможность внешнего контроля, реальная необходимость применения технологии и соразмерность вмешательства характеру преследуемой цели. Российские судебные акты пока редко доходят до такой плотности анализа даже в делах о персональных данных вообще, а в спорах о биометрии этот дефицит особенно заметен.</w:t>
      </w:r>
      <w:r>
        <w:rPr>
          <w:rStyle w:val="FootnoteReference"/>
        </w:rPr>
        <w:footnoteReference w:id="133"/>
      </w:r>
    </w:p>
    <w:p>
      <w:pPr>
        <w:pStyle w:val="BodyText"/>
      </w:pPr>
      <w:r>
        <w:t xml:space="preserve">Отсутствие развитой судебной линии частично компенсируется квазисудебной и регуляторной практикой. По существу, именно регулятор сегодня задает операционные стандарты того, что считается оправданным вмешательством в интересах безопасности финансового оборота. Это хорошо видно по материалам Банка России за 2025-2026 годы. В обзоре операций, совершенных без добровольного согласия клиентов финансовых организаций, за 2025 год зафиксировано увеличение объема таких операций на 6,4%, а их количества - на 31,2% по сравнению с 2024 годом. Одновременно Банк России указывает, что с 1 октября 2025 г. в мобильных приложениях крупных банков стало обязательным наличие специального сервиса для пострадавших клиентов, а с 1 сентября 2025 г. банки обязаны проводить обязательные антифрод-мероприятия при выдаче потребительских кредитов и наличных через банкоматы.</w:t>
      </w:r>
      <w:r>
        <w:rPr>
          <w:rStyle w:val="FootnoteReference"/>
        </w:rPr>
        <w:footnoteReference w:id="134"/>
      </w:r>
      <w:r>
        <w:t xml:space="preserve"> </w:t>
      </w:r>
      <w:r>
        <w:t xml:space="preserve">Эти данные показывают реальность и масштаб проблемы, ради решения которой государство и финансовый регулятор усиливают идентификационную инфраструктуру. Следовательно, легитимная цель вмешательства здесь не вызывает сомнений. Вопрос состоит в другом: где проходит предел, после которого усиление антифрод-мер начинает де-факто превращать биометрическую аутентификацию из дополнительной гарантии в инфраструктурно предпочтительный и экономически навязываемый канал доступа.</w:t>
      </w:r>
    </w:p>
    <w:p>
      <w:pPr>
        <w:pStyle w:val="BodyText"/>
      </w:pPr>
      <w:r>
        <w:t xml:space="preserve">Этот сдвиг особенно нагляден в сегменте микрофинансирования. В аналитическом материале Банка России о тенденциях на рынке МФО за 2025 год прямо указано, что Федеральный закон N 41-ФЗ предусматривает использование МФО биометрии из ЕБС в определенных законом случаях для противодействия кибермошенничеству; для микрофинансовых компаний использование ЕБС при выдаче онлайн-займов стало обязательным с 1 марта 2026 г., а для микрокредитных компаний такой режим отложен до 1 марта 2027 г. При этом Банк России отдельно фиксирует, что трудности адаптации к новым требованиям уже повлияли на структуру рынка: с начала 2026 года 10 МФК были преобразованы в МКК, а еще несколько компаний подали заявления на изменение статуса.</w:t>
      </w:r>
      <w:r>
        <w:rPr>
          <w:rStyle w:val="FootnoteReference"/>
        </w:rPr>
        <w:footnoteReference w:id="135"/>
      </w:r>
      <w:r>
        <w:t xml:space="preserve"> </w:t>
      </w:r>
      <w:r>
        <w:t xml:space="preserve">Для конституционно-правового анализа это обстоятельство важно не само по себе, а как показатель того, что биометрическое регулирование способно не только защищать пользователя, но и перераспределять издержки между участниками рынка, косвенно влияя на доступность дистанционных услуг, на организацию бизнес-моделей и на фактическое содержание альтернативы «с биометрией или без нее».</w:t>
      </w:r>
    </w:p>
    <w:p>
      <w:pPr>
        <w:pStyle w:val="BodyText"/>
      </w:pPr>
      <w:r>
        <w:t xml:space="preserve">Практика показывает и то, что обсуждать биометрию как исключительно банковскую тему уже недостаточно. Тот же материал Банка России фиксирует, что займы с полной стоимостью кредита до 100% годовых часто используются гражданами для приобретения товаров на маркетплейсах, торговых онлайн-площадках и в точках продаж, а дистанционный канал остается для МФО основным.</w:t>
      </w:r>
      <w:r>
        <w:rPr>
          <w:rStyle w:val="FootnoteReference"/>
        </w:rPr>
        <w:footnoteReference w:id="136"/>
      </w:r>
      <w:r>
        <w:t xml:space="preserve"> </w:t>
      </w:r>
      <w:r>
        <w:t xml:space="preserve">Это означает, что правовые риски биометрической идентификации смещаются из узкой сферы банковского обслуживания в более широкий цифровой контур, где пересекаются финансовые сервисы, торговые платформы, посреднические приложения и инфраструктура удаленной выдачи займов. В такой среде проблема добровольности согласия и соразмерности обработки уже не сводится к отношениям «банк - клиент»: она становится вопросом платформенного доступа к повседневным благам и услугам.</w:t>
      </w:r>
    </w:p>
    <w:p>
      <w:pPr>
        <w:pStyle w:val="BodyText"/>
      </w:pPr>
      <w:r>
        <w:t xml:space="preserve">Не менее показательна и фактическая сервисная практика, формирующаяся вокруг ЕБС. Официальные материалы Правительства РФ конца 2025 - начала 2026 года фиксируют уже не только банковские, но и иные сценарии применения биометрии: испытание сервиса посадки на поезд, развитие сервисов самообслуживания в МФЦ и распространение бездокументарных способов подтверждения личности в гостиничной сфере.</w:t>
      </w:r>
      <w:r>
        <w:rPr>
          <w:rStyle w:val="FootnoteReference"/>
        </w:rPr>
        <w:footnoteReference w:id="137"/>
      </w:r>
      <w:r>
        <w:t xml:space="preserve"> </w:t>
      </w:r>
      <w:r>
        <w:t xml:space="preserve">Параллельно Банк России продолжает описывать ЕБС как инфраструктуру удаленной идентификации на финансовом рынке и публикует актуальный перечень банков, в которых можно пройти регистрацию в ЕСИА и Единой биометрической системе.</w:t>
      </w:r>
      <w:r>
        <w:rPr>
          <w:rStyle w:val="FootnoteReference"/>
        </w:rPr>
        <w:footnoteReference w:id="138"/>
      </w:r>
      <w:r>
        <w:t xml:space="preserve"> </w:t>
      </w:r>
      <w:r>
        <w:t xml:space="preserve">Тем самым официальная практика показывает не только расширение числа сервисов, но и институциональное закрепление самой биометрической инфраструктуры.</w:t>
      </w:r>
    </w:p>
    <w:p>
      <w:pPr>
        <w:pStyle w:val="BodyText"/>
      </w:pPr>
      <w:r>
        <w:t xml:space="preserve">При этом корректно подчеркнуть: из официальных сообщений Правительства РФ и материалов Банка России не следует автоматически, что каждый из перечисленных сценариев внедрен одинаково, повсеместно и без оговорок на всей территории страны. Точнее будет говорить о поэтапном расширении сервисной среды ЕБС и о ее официальном позиционировании как многоцелевой инфраструктуры цифровой идентификации.</w:t>
      </w:r>
      <w:r>
        <w:rPr>
          <w:rStyle w:val="FootnoteReference"/>
        </w:rPr>
        <w:footnoteReference w:id="139"/>
      </w:r>
      <w:r>
        <w:rPr>
          <w:rStyle w:val="FootnoteReference"/>
        </w:rPr>
        <w:footnoteReference w:id="140"/>
      </w:r>
      <w:r>
        <w:t xml:space="preserve"> </w:t>
      </w:r>
      <w:r>
        <w:t xml:space="preserve">Но даже в таком осторожном прочтении совокупность поддерживаемых сценариев имеет большое правовое значение. Она свидетельствует о переходе от модели, в которой биометрия воспринималась как узкий канал удаленной идентификации для отдельных финансовых действий, к модели, где она постепенно становится интерфейсом повседневного допуска. В этой ситуации вопрос о свободе согласия уже нельзя сводить к формальному наличию альтернативы. Дополнительно важно, что субъектный контроль за биометрией закреплен не только на уровне интерфейсов, но и в самом законе: части 14-18 статьи 3 Закона N 572-ФЗ предоставляют право знакомиться со сведениями о согласиях, отзывать их, требовать блокирования, удаления либо уничтожения данных и подать отказ от их сбора и размещения через МФЦ.</w:t>
      </w:r>
      <w:r>
        <w:rPr>
          <w:rStyle w:val="FootnoteReference"/>
        </w:rPr>
        <w:footnoteReference w:id="141"/>
      </w:r>
    </w:p>
    <w:p>
      <w:pPr>
        <w:pStyle w:val="BodyText"/>
      </w:pPr>
      <w:r>
        <w:t xml:space="preserve">С тем же разрывом между нормативной идеей и фактической стадией внедрения связана и Платформа коммерческих согласий. В теории она должна стать важным гарантийным элементом, позволяющим пользователю видеть, какие именно данные, кому, на какой срок и в рамках какой услуги передаются, а при необходимости инициировать отзыв согласия из одного интерфейса. Однако официальные материалы Банка России пока не позволяют описывать эту платформу как уже состоявшийся универсальный механизм защиты. На странице Банка России об Открытых API, обновленной 24 декабря 2025 г., прямо указано, что Платформа коммерческих согласий находится в стадии пилотирования, хотя именно она должна обеспечить прозрачное «одно окно» для просмотра и отзыва согласий. На странице об итогах работы Банка России за 2025 год, обновленной 20 марта 2026 г., дополнительно указано, что правовые условия для запуска платформы были созданы в 2025 году и проводится пилотирование ее функционала с участием 10 банков.</w:t>
      </w:r>
      <w:r>
        <w:rPr>
          <w:rStyle w:val="FootnoteReference"/>
        </w:rPr>
        <w:footnoteReference w:id="142"/>
      </w:r>
      <w:r>
        <w:rPr>
          <w:rStyle w:val="FootnoteReference"/>
        </w:rPr>
        <w:footnoteReference w:id="143"/>
      </w:r>
      <w:r>
        <w:t xml:space="preserve"> </w:t>
      </w:r>
      <w:r>
        <w:t xml:space="preserve">Следовательно, на дату подготовки настоящего текста мы вправе говорить лишь о формировании этой инфраструктуры, но не о ее полномасштабном и универсальном функционировании. Это важная оговорка, потому что без нее легко переоценить фактический уровень защищенности пользователя в межорганизационном обмене данными.</w:t>
      </w:r>
    </w:p>
    <w:p>
      <w:pPr>
        <w:pStyle w:val="BodyText"/>
      </w:pPr>
      <w:r>
        <w:t xml:space="preserve">Именно здесь особенно отчетливо проявляется специфика российской правоприменительной практики. Там, где судебная ветвь пока формулирует лишь общие принципы защиты частной жизни и обращения с персональными данными, регулятор и операторы инфраструктуры уже принимают решения, меняющие ежедневную конфигурацию доступа к услугам. С точки зрения правовой политики это понятный и даже неизбежный процесс: мошенничество растет, дистанционные сервисы становятся массовыми, а рынок требует более надежной идентификации. Но с точки зрения конституционных гарантий такая асимметрия означает, что технологическое и сервисное расширение биометрии нередко опережает выработку полноценного судебного стандарта ее допустимости. И пока такой стандарт не сложился, оценка соразмерности вмешательства в значительной степени распадается на отраслевые правила, интерфейсные решения, рекомендации регулятора и частичные механизмы контроля через Госуслуги, МФЦ и банковские приложения.</w:t>
      </w:r>
    </w:p>
    <w:p>
      <w:pPr>
        <w:pStyle w:val="BodyText"/>
      </w:pPr>
      <w:r>
        <w:t xml:space="preserve">Промежуточный вывод по подпункту 2.3 состоит в следующем. Российская судебная практика уже содержит важные исходные положения о конституционной защите персональных данных и о необходимости баланса частной жизни с иными публично значимыми ценностями, но она пока не выработала самостоятельной и достаточно детализированной методологии проверки пропорциональности именно в сфере биометрической идентификации.</w:t>
      </w:r>
      <w:r>
        <w:rPr>
          <w:rStyle w:val="FootnoteReference"/>
        </w:rPr>
        <w:footnoteReference w:id="144"/>
      </w:r>
      <w:r>
        <w:rPr>
          <w:rStyle w:val="FootnoteReference"/>
        </w:rPr>
        <w:footnoteReference w:id="145"/>
      </w:r>
      <w:r>
        <w:t xml:space="preserve"> </w:t>
      </w:r>
      <w:r>
        <w:t xml:space="preserve">Международный контраст в лице</w:t>
      </w:r>
      <w:r>
        <w:t xml:space="preserve"> </w:t>
      </w:r>
      <w:r>
        <w:rPr>
          <w:i/>
          <w:iCs/>
        </w:rPr>
        <w:t xml:space="preserve">Glukhin v. Russia</w:t>
      </w:r>
      <w:r>
        <w:t xml:space="preserve"> </w:t>
      </w:r>
      <w:r>
        <w:t xml:space="preserve">показывает, что такой анализ должен включать не только наличие формального закона, но и проверку детальности регулирования, силы гарантий от произвола, реальной необходимости применения технологии и характера затрагиваемой активности.</w:t>
      </w:r>
      <w:r>
        <w:rPr>
          <w:rStyle w:val="FootnoteReference"/>
        </w:rPr>
        <w:footnoteReference w:id="146"/>
      </w:r>
      <w:r>
        <w:t xml:space="preserve"> </w:t>
      </w:r>
      <w:r>
        <w:t xml:space="preserve">Между тем фактические границы использования биометрии в России сегодня в значительной степени формируются не судами, а регулятором и операторами цифровой инфраструктуры: через антифрод-обязанности, обязательное применение ЕБС в отдельных сегментах рынка, расширение повседневных сервисных сценариев и постепенное развертывание платформы управления согласиями.</w:t>
      </w:r>
      <w:r>
        <w:rPr>
          <w:rStyle w:val="FootnoteReference"/>
        </w:rPr>
        <w:footnoteReference w:id="147"/>
      </w:r>
      <w:r>
        <w:rPr>
          <w:rStyle w:val="FootnoteReference"/>
        </w:rPr>
        <w:footnoteReference w:id="148"/>
      </w:r>
      <w:r>
        <w:rPr>
          <w:rStyle w:val="FootnoteReference"/>
        </w:rPr>
        <w:footnoteReference w:id="149"/>
      </w:r>
      <w:r>
        <w:rPr>
          <w:rStyle w:val="FootnoteReference"/>
        </w:rPr>
        <w:footnoteReference w:id="150"/>
      </w:r>
      <w:r>
        <w:rPr>
          <w:rStyle w:val="FootnoteReference"/>
        </w:rPr>
        <w:footnoteReference w:id="151"/>
      </w:r>
      <w:r>
        <w:rPr>
          <w:rStyle w:val="FootnoteReference"/>
        </w:rPr>
        <w:footnoteReference w:id="152"/>
      </w:r>
      <w:r>
        <w:t xml:space="preserve"> </w:t>
      </w:r>
      <w:r>
        <w:t xml:space="preserve">Поэтому главный практический дефицит российской модели заключается не в полном отсутствии гарантий, а в том, что их наиболее динамично развивающаяся часть пока существует преимущественно на уровне регуляторной и технологической архитектуры, а не на уровне зрелого конституционно-судебного контроля.</w:t>
      </w:r>
    </w:p>
    <w:bookmarkEnd w:id="153"/>
    <w:bookmarkEnd w:id="154"/>
    <w:bookmarkStart w:id="193" w:name="X90ff2aceb88aca396517431b7f299ee6efcdd75"/>
    <w:p>
      <w:pPr>
        <w:pStyle w:val="Heading1"/>
      </w:pPr>
      <w:r>
        <w:t xml:space="preserve">ГЛАВА 3. ПРОБЛЕМЫ РЕАЛИЗАЦИИ КОНСТИТУЦИОННО-ПРАВОВЫХ ГАРАНТИЙ И НАПРАВЛЕНИЯ СОВЕРШЕНСТВОВАНИЯ ЗАКОНОДАТЕЛЬСТВА</w:t>
      </w:r>
    </w:p>
    <w:bookmarkStart w:id="162" w:name="X004d675378572bdf42f3bfa412dc475f6b9fd06"/>
    <w:p>
      <w:pPr>
        <w:pStyle w:val="Heading2"/>
      </w:pPr>
      <w:r>
        <w:t xml:space="preserve">3.1. Сравнительно-правовые ориентиры и международные стандарты</w:t>
      </w:r>
    </w:p>
    <w:p>
      <w:pPr>
        <w:pStyle w:val="FirstParagraph"/>
      </w:pPr>
      <w:r>
        <w:t xml:space="preserve">Анализ действующей российской модели, проведенный в предыдущей главе, показывает, что в ней уже присутствует заметный массив гарантий: письменное согласие как общее правило обработки биометрии, запрет на навязывание биометрической идентификации в сфере услуг, специальные требования к Единой биометрической системе, процедурные возможности отзыва согласия и отказа от размещения данных. Однако наличие такого массива еще не отвечает на главный вопрос главы 3: достаточно ли этих гарантий с точки зрения конституционного баланса между технологическим развитием, интересами безопасности и правом личности на неприкосновенность частной жизни. Для ответа на него необходим не повторный обзор норм, а выбор критериев оценки. Именно такую функцию выполняет сравнительно-правовой и международный материал: он позволяет увидеть не «чужую модель вообще», а уже выработанные правовые подходы к наиболее конфликтным ситуациям, где биометрическая обработка затрагивает свободу, автономию и достоинство человека.</w:t>
      </w:r>
    </w:p>
    <w:p>
      <w:pPr>
        <w:pStyle w:val="BodyText"/>
      </w:pPr>
      <w:r>
        <w:t xml:space="preserve">Сопоставление с международными и зарубежными стандартами важно еще и потому, что в сфере биометрии техническая сторона вопроса почти всегда маскирует юридическую. На поверхностном уровне спор выглядит как дискуссия о надежности алгоритма, криптографии или скорости прохождения контроля. В действительности же ключевой вопрос состоит в другом: кто и в какой момент обязан доказывать необходимость вмешательства в права. Чем более зрелой является модель защиты, тем меньше она сводит проблему к согласию пользователя и тем больше переносит центр тяжести на обязанность государства или оператора заранее обосновать, зачем нужна именно такая технология, почему нельзя обойтись менее инвазивным средством и какие гарантии будут действовать в случае ошибки, утечки или расширения целей обработки.</w:t>
      </w:r>
    </w:p>
    <w:p>
      <w:pPr>
        <w:pStyle w:val="BodyText"/>
      </w:pPr>
      <w:r>
        <w:t xml:space="preserve">Первым ориентиром здесь выступает GDPR. Его значение для темы биометрических данных заключается не только в том, что он относит биометрию, используемую для уникальной идентификации человека, к специальным категориям персональных данных. Не менее существенно то, что европейский регламент связывает допустимость высокорисковой обработки с логикой превентивной оценки риска: если обработка с использованием новых технологий может повлечь высокий риск для прав и свобод физических лиц, контролер обязан провести оценку воздействия на защиту данных; если после такой оценки риск остается высоким, требуется предварительная консультация с надзорным органом.</w:t>
      </w:r>
      <w:r>
        <w:rPr>
          <w:rStyle w:val="FootnoteReference"/>
        </w:rPr>
        <w:footnoteReference w:id="155"/>
      </w:r>
      <w:r>
        <w:t xml:space="preserve"> </w:t>
      </w:r>
      <w:r>
        <w:t xml:space="preserve">Иначе говоря, право вмешивается не только постфактум, когда субъект уже столкнулся с нарушением, но и на стадии проектирования системы.</w:t>
      </w:r>
    </w:p>
    <w:p>
      <w:pPr>
        <w:pStyle w:val="BodyText"/>
      </w:pPr>
      <w:r>
        <w:t xml:space="preserve">Для российской темы особенно важна именно эта смена юридической оптики. В рамках GDPR согласие не воспринимается как универсальная индульгенция, автоматически легитимирующая любую архитектуру биометрической системы. Даже при наличии согласия закон требует учитывать характер данных, масштаб обработки, вероятность серьезного воздействия на права, а также наличие альтернатив. Такой подход препятствует соблазну подменить содержательный анализ простой формулой: «человек сам согласился, следовательно, правовая проблема исчерпана». В условиях цифровой идентификации, где пользователь часто оказывается внутри уже построенной инфраструктуры и выбирает не между технологией и ее отсутствием, а между несколькими вариантами доступа к услуге, этот сдвиг имеет принципиальное значение.</w:t>
      </w:r>
    </w:p>
    <w:p>
      <w:pPr>
        <w:pStyle w:val="BodyText"/>
      </w:pPr>
      <w:r>
        <w:t xml:space="preserve">Еще нагляднее европейская логика проявилась в Opinion 11/2024 Европейского совета по защите данных о применении технологии распознавания лиц в аэропортах. Ценность этого документа состоит в том, что он переводит общие принципы GDPR в язык конкретных архитектурных решений. Совет исходит из того, что сама по себе ссылка на удобство пассажира или на сокращение очередей не снимает повышенных рисков, связанных с биометрией. Допустимость обработки зависит от того, где хранится шаблон, кто контролирует ключи доступа к нему, идет ли речь об аутентификации по модели 1:1 либо об идентификации по модели 1:N, как долго сохраняются данные и может ли тот же результат быть достигнут менее инвазивным способом.</w:t>
      </w:r>
      <w:r>
        <w:rPr>
          <w:rStyle w:val="FootnoteReference"/>
        </w:rPr>
        <w:footnoteReference w:id="156"/>
      </w:r>
    </w:p>
    <w:p>
      <w:pPr>
        <w:pStyle w:val="BodyText"/>
      </w:pPr>
      <w:r>
        <w:t xml:space="preserve">Особенно показателен вывод EDPB о различии между хранением биометрического шаблона под исключительным контролем самого субъекта и централизованным хранением, контролируемым оператором. Первая модель при наличии строгих гарантий может быть совместима с принципами необходимости, конфиденциальности и встроенной защиты данных по проекту; вторая допустима лишь в гораздо более узких случаях, а централизованная архитектура для идентификации по базе под контролем оператора признается несоразмерной, поскольку риск для фундаментальных прав превышает ожидаемую выгоду. Для российского исследования это важно не как рецепт механического копирования, а как доказательство того, что правовая оценка биометрии должна зависеть не только от вида данных, но и от архитектуры их использования. С точки зрения права различие между пользовательской аутентификацией и поиском человека по централизованной базе не является технической деталью; это различие между двумя качественно разными уровнями вмешательства в частную жизнь.</w:t>
      </w:r>
    </w:p>
    <w:p>
      <w:pPr>
        <w:pStyle w:val="BodyText"/>
      </w:pPr>
      <w:r>
        <w:t xml:space="preserve">Второй крупный ориентир связан с отдельным режимом правоохранительной обработки. В праве Европейского союза этот режим не растворен в общем регулировании персональных данных: его образует прежде всего Директива (EU) 2016/680, которая допускает обработку генетических и биометрических данных правоохранительными органами только там, где она строго необходима, обеспечена надлежащими гарантиями и прямо предусмотрена правом Союза или государства-члена.</w:t>
      </w:r>
      <w:r>
        <w:rPr>
          <w:rStyle w:val="FootnoteReference"/>
        </w:rPr>
        <w:footnoteReference w:id="157"/>
      </w:r>
      <w:r>
        <w:t xml:space="preserve"> </w:t>
      </w:r>
      <w:r>
        <w:t xml:space="preserve">Уже сама эта конструкция имеет методологическое значение. Она показывает, что применение биометрии для целей борьбы с преступностью и поддержания общественного порядка требует не ослабленного, а наоборот, специально усиленного правового режима.</w:t>
      </w:r>
    </w:p>
    <w:p>
      <w:pPr>
        <w:pStyle w:val="BodyText"/>
      </w:pPr>
      <w:r>
        <w:t xml:space="preserve">Такой вывод был подтвержден Судом Европейского союза в деле C-205/21</w:t>
      </w:r>
      <w:r>
        <w:t xml:space="preserve"> </w:t>
      </w:r>
      <w:r>
        <w:rPr>
          <w:i/>
          <w:iCs/>
        </w:rPr>
        <w:t xml:space="preserve">Ministerstvo na vatreshnite raboti (Recording of biometric and genetic data by the police)</w:t>
      </w:r>
      <w:r>
        <w:t xml:space="preserve">. Суд подчеркнул, что систематический сбор биометрических и генетических данных любого обвиняемого лица противоречит требованию строгой необходимости, если национальное право не обязывает компетентный орган проверять и доказывать, что сбор действительно нужен для достижения конкретной цели и что ту же цель нельзя достичь менее интенсивным вмешательством в права. Значение этого решения шире фактических обстоятельств болгарского дела. Судебная логика здесь демонстрирует, что правоохранительный интерес не освобождает законодателя от обязанности дифференцировать категории лиц, степень тяжести правонарушений, контекст дела и пропорциональность меры; напротив, именно в силовой сфере такие различия должны быть описаны наиболее детально.</w:t>
      </w:r>
      <w:r>
        <w:rPr>
          <w:rStyle w:val="FootnoteReference"/>
        </w:rPr>
        <w:footnoteReference w:id="158"/>
      </w:r>
    </w:p>
    <w:p>
      <w:pPr>
        <w:pStyle w:val="BodyText"/>
      </w:pPr>
      <w:r>
        <w:t xml:space="preserve">Для российской темы это особенно существенно, поскольку отечественное регулирование пока не выстраивает столь же ясной границы между сервисной биометрией, пользовательской аутентификацией и силовой идентификацией в публичном пространстве. Европейский подход показывает: если для пользовательского входа в личный кабинет еще можно обсуждать добровольность и удобство, то для скрытого поиска лица по камерам наблюдения базовым юридическим языком становится уже не удобство, а строгость необходимости, тяжесть преследуемой цели, судебная санкция и контроль последствий для фундаментальных свобод.</w:t>
      </w:r>
    </w:p>
    <w:p>
      <w:pPr>
        <w:pStyle w:val="BodyText"/>
      </w:pPr>
      <w:r>
        <w:t xml:space="preserve">Третий ориентир задает практика Европейского суда по правам человека, прежде всего решение по делу</w:t>
      </w:r>
      <w:r>
        <w:t xml:space="preserve"> </w:t>
      </w:r>
      <w:r>
        <w:rPr>
          <w:i/>
          <w:iCs/>
        </w:rPr>
        <w:t xml:space="preserve">Glukhin v. Russia</w:t>
      </w:r>
      <w:r>
        <w:t xml:space="preserve"> </w:t>
      </w:r>
      <w:r>
        <w:t xml:space="preserve">от 4 июля 2023 г. Ценность этого дела не сводится к констатации нарушения статьи 8 Конвенции. Суд сформулировал более общий стандарт: использование технологии распознавания лиц для идентификации, розыска и задержания участника мирной акции представляет собой особенно инвазивное вмешательство в частную жизнь; такая технология способна оказывать охлаждающий эффект на свободу выражения мнения и свободу собраний; поэтому она требует детальных правил, определяющих пределы применения, и сильных гарантий от произвола и злоупотребления, причем потребность в таких гарантиях возрастает еще больше, если речь идет о живом распознавании лиц в реальном времени.</w:t>
      </w:r>
      <w:r>
        <w:rPr>
          <w:rStyle w:val="FootnoteReference"/>
        </w:rPr>
        <w:footnoteReference w:id="159"/>
      </w:r>
    </w:p>
    <w:p>
      <w:pPr>
        <w:pStyle w:val="BodyText"/>
      </w:pPr>
      <w:r>
        <w:t xml:space="preserve">После прекращения прямого конвенционного контроля в отношении новых российских ситуаций значение практики ЕСПЧ для внутреннего правопорядка изменилось, однако ее сравнительно-правовая и методологическая ценность не исчезла. Для настоящего исследования дело</w:t>
      </w:r>
      <w:r>
        <w:t xml:space="preserve"> </w:t>
      </w:r>
      <w:r>
        <w:rPr>
          <w:i/>
          <w:iCs/>
        </w:rPr>
        <w:t xml:space="preserve">Glukhin</w:t>
      </w:r>
      <w:r>
        <w:t xml:space="preserve"> </w:t>
      </w:r>
      <w:r>
        <w:t xml:space="preserve">важно прежде всего тем, что оно переводит спор о распознавании лиц из плоскости «полезна технология или нет» в плоскость «какие свободы она структурно затрагивает». Суд прямо связывает биометрическую идентификацию не только с приватностью как таковой, но и со свободой собраний, поскольку знание о возможности последующего установления личности меняет поведение человека в публичном пространстве. Этот вывод особенно значим для конституционного права: он показывает, что биометрия способна опосредованно ограничивать не одно, а сразу несколько фундаментальных прав.</w:t>
      </w:r>
    </w:p>
    <w:p>
      <w:pPr>
        <w:pStyle w:val="BodyText"/>
      </w:pPr>
      <w:r>
        <w:t xml:space="preserve">Наконец, четвертый ориентир формирует AI Act. Его значение для настоящего исследования состоит в том, что он вводит в обсуждение биометрии не только усиленные требования, но и идею «красных линий». Регламент запрещает ряд практик, признанных несовместимыми с фундаментальными правами: создание или расширение баз распознавания лиц путем неизбирательного сбора изображений из интернета и с камер видеонаблюдения, распознавание эмоций в сфере труда и образования, биометрическую категоризацию для вывода чувствительных характеристик человека, а также использование систем удаленной биометрической идентификации в реальном времени в публично доступных местах для правоохранительных целей, кроме строго очерченных исключений. При этом даже в пределах исключений закон требует оценки воздействия на фундаментальные права, регистрации системы в соответствующей базе и предварительного разрешения судебного либо иного независимого органа.</w:t>
      </w:r>
      <w:r>
        <w:rPr>
          <w:rStyle w:val="FootnoteReference"/>
        </w:rPr>
        <w:footnoteReference w:id="160"/>
      </w:r>
    </w:p>
    <w:p>
      <w:pPr>
        <w:pStyle w:val="BodyText"/>
      </w:pPr>
      <w:r>
        <w:t xml:space="preserve">Для научного анализа российской модели особенно важно то обстоятельство, что AI Act различает не только допустимые и недопустимые технологии, но и уровни риска. Он демонстрирует зрелый правовой вывод: некоторые формы обработки биометрии настолько опасны для фундаментальных прав, что спор о них должен вестись не в терминах «улучшить безопасность», а в терминах запрета или исключительного допуска по жестко ограниченным основаниям. Более того, регламент закрепляет обязательность фундаментально-правовой оценки для части высокорисковых систем еще до их введения в эксплуатацию. Тем самым вопрос о биометрии впервые ставится в полном смысле как вопрос о допустимости архитектуры власти над человеком, а не только как вопрос о качестве данных. Такой вектор в целом подтверждается и сравнительными исследованиями моделей регулирования распознавания лиц, в которых именно европейский подход характеризуется сочетанием превентивных ограничений, риск-ориентированного допуска и более жесткого понимания публичной биометрической идентификации.</w:t>
      </w:r>
      <w:r>
        <w:rPr>
          <w:rStyle w:val="FootnoteReference"/>
        </w:rPr>
        <w:footnoteReference w:id="161"/>
      </w:r>
    </w:p>
    <w:p>
      <w:pPr>
        <w:pStyle w:val="BodyText"/>
      </w:pPr>
      <w:r>
        <w:t xml:space="preserve">Сведение этих ориентиров воедино позволяет выделить три сравнительных критерия, по которым может оцениваться любая национальная модель. Во-первых, биометрические данные в зрелом правовом порядке рассматриваются не как обычная разновидность персональных данных, а как объект особой или, по меньшей мере, высокорисковой обработки. Во-вторых, правовая защита переносится на доконтрактную и доэксплуатационную стадию: закон требует оценки воздействия, консультации с надзором, обоснования архитектуры и проверки альтернатив еще до запуска системы. В-третьих, именно самые инвазивные формы обработки — скрытая идентификация в публичном пространстве, правоохранительное применение, массовое построение биометрических баз, категоризация по чувствительным признакам — получают отдельные запреты или исключительный режим допуска. Именно по этим трем критериям и следует оценивать российскую модель.</w:t>
      </w:r>
    </w:p>
    <w:p>
      <w:pPr>
        <w:pStyle w:val="BodyText"/>
      </w:pPr>
      <w:r>
        <w:t xml:space="preserve">С этой точки зрения международные и сравнительно-правовые стандарты не доказывают необходимости прямого заимствования европейского права в российский правопорядок. Они доказывают нечто более важное: современное право уже выработало язык, в котором биометрия рассматривается через категории специального статуса данных, архитектурной пропорциональности, доконтрольной оценки риска и специальных ограничений на самые опасные практики. Если российское право не воспроизводит буквальные решения GDPR или AI Act, это само по себе не является проблемой. Проблемой становится отсутствие функционально эквивалентных гарантий там, где по степени вмешательства они объективно необходимы.</w:t>
      </w:r>
    </w:p>
    <w:bookmarkEnd w:id="162"/>
    <w:bookmarkStart w:id="184" w:name="ключевые-дефициты-российской-модели"/>
    <w:p>
      <w:pPr>
        <w:pStyle w:val="Heading2"/>
      </w:pPr>
      <w:r>
        <w:t xml:space="preserve">3.2. Ключевые дефициты российской модели</w:t>
      </w:r>
    </w:p>
    <w:p>
      <w:pPr>
        <w:pStyle w:val="FirstParagraph"/>
      </w:pPr>
      <w:r>
        <w:t xml:space="preserve">Применение обозначенных критериев к российскому законодательству позволяет увидеть, что главная слабость отечественной модели состоит не в полном отсутствии правовых запретов или процедур, а в структурной асимметрии между технической и конституционной частью регулирования. Чем детальнее закон и подзаконные акты описывают порядок сбора, передачи, шифрования, аккредитации и интеграции систем, тем менее разработанными оказываются критерии, отвечающие на вопрос, когда такое вмешательство вообще допустимо. Иными словами, российское право сравнительно хорошо описывает, как встроить биометрию в инфраструктуру, но заметно хуже объясняет, при каких условиях само расширение этой инфраструктуры остается соразмерным конституционным гарантиям.</w:t>
      </w:r>
      <w:r>
        <w:rPr>
          <w:rStyle w:val="FootnoteReference"/>
        </w:rPr>
        <w:footnoteReference w:id="163"/>
      </w:r>
      <w:r>
        <w:rPr>
          <w:rStyle w:val="FootnoteReference"/>
        </w:rPr>
        <w:footnoteReference w:id="164"/>
      </w:r>
    </w:p>
    <w:p>
      <w:pPr>
        <w:pStyle w:val="BodyText"/>
      </w:pPr>
      <w:r>
        <w:t xml:space="preserve">Первый дефицит носит методологический характер. Российская конституционно-правовая система признает, что права могут ограничиваться только федеральным законом, в необходимых целях и в необходимой мере. Однако применительно к биометрическим технологиям эта общая формула пока не развернута в достаточно точный тест. Постановление Конституционного Суда РФ от 25.05.2021 N 22-П важно как подтверждение того, что даже в цифровой среде допустимость обработки данных зависит от баланса публичного интереса и частной жизни, контроля достоверности и возможности защиты лица. Но это решение не формирует полноценной методологии для анализа скрытой идентификации, массового видеонаблюдения, автоматизированного сопоставления изображений или алгоритмического профилирования.</w:t>
      </w:r>
      <w:r>
        <w:rPr>
          <w:rStyle w:val="FootnoteReference"/>
        </w:rPr>
        <w:footnoteReference w:id="165"/>
      </w:r>
      <w:r>
        <w:t xml:space="preserve"> </w:t>
      </w:r>
      <w:r>
        <w:t xml:space="preserve">В результате пропорциональность остается скорее общим лозунгом, чем операционным критерием, применимым к конкретным биометрическим системам.</w:t>
      </w:r>
    </w:p>
    <w:p>
      <w:pPr>
        <w:pStyle w:val="BodyText"/>
      </w:pPr>
      <w:r>
        <w:t xml:space="preserve">Эта методологическая недостаточность усиливается фрагментарностью законодательства. Базовая норма о биометрических данных по-прежнему закреплена в статье 11 Закона N 152-ФЗ, где письменное согласие выступает общим правилом, а часть 3 запрещает делать предоставление биометрии обязательным вне предусмотренных законом случаев. Специальный Закон N 572-ФЗ, в свою очередь, создает инфраструктурный режим ЕБС и воспроизводит запрет навязывания биометрической идентификации в предусмотренной им сфере. Формально такая двухконтурная модель выглядит логичной: общий закон защищает все персональные данные, а специальный описывает отдельную систему цифровой идентификации. Но в практическом плане она приводит к тому, что право оказывается хорошо приспособленным к регулированию пользовательской аутентификации и одновременно недостаточно чувствительным к иным сценариям — прежде всего к скрытому распознаванию лиц, массовому поиску по базе и вторичному использованию производных биометрических признаков. Не случайно в российской доктрине все чаще ставится вопрос о необходимости более цельного, специально собранного режима регулирования биометрии как объекта повышенной конституционной охраны.</w:t>
      </w:r>
      <w:r>
        <w:rPr>
          <w:rStyle w:val="FootnoteReference"/>
        </w:rPr>
        <w:footnoteReference w:id="166"/>
      </w:r>
      <w:r>
        <w:rPr>
          <w:rStyle w:val="FootnoteReference"/>
        </w:rPr>
        <w:footnoteReference w:id="167"/>
      </w:r>
      <w:r>
        <w:rPr>
          <w:rStyle w:val="FootnoteReference"/>
        </w:rPr>
        <w:footnoteReference w:id="168"/>
      </w:r>
    </w:p>
    <w:p>
      <w:pPr>
        <w:pStyle w:val="BodyText"/>
      </w:pPr>
      <w:r>
        <w:t xml:space="preserve">Особенно заметен разрыв между сервисной и силовой сферой. В сервисных отношениях российское право уже сегодня довольно определенно запрещает превращать биометрию в обязательное условие получения услуги, если такая обязанность прямо не установлена федеральным законом. Но этот тезис не переносится автоматически на ситуации, когда биометрические данные собираются или используются скрыто, без активного участия человека и без очевидного для него выбора. Часть 2 статьи 11 Закона N 152-ФЗ допускает обработку биометрических данных без согласия в широком ряде случаев, связанных с правосудием, дактилоскопической и геномной регистрацией, обороной, безопасностью, противодействием терроризму, оперативно-разыскной деятельностью и иными специальными режимами.</w:t>
      </w:r>
      <w:r>
        <w:rPr>
          <w:rStyle w:val="FootnoteReference"/>
        </w:rPr>
        <w:footnoteReference w:id="169"/>
      </w:r>
      <w:r>
        <w:t xml:space="preserve"> </w:t>
      </w:r>
      <w:r>
        <w:t xml:space="preserve">Закон N 572-ФЗ при этом не создает для всей правоохранительной и публично-наблюдательной биометрии отдельной системы процессуальных гарантий. В результате в российской модели человек защищен от прямого требования «сдайте биометрию для услуги» лучше, чем от скрытого установления личности в публичном пространстве.</w:t>
      </w:r>
    </w:p>
    <w:p>
      <w:pPr>
        <w:pStyle w:val="BodyText"/>
      </w:pPr>
      <w:r>
        <w:t xml:space="preserve">Именно здесь проявляется второй системный дефицит — отсутствие самостоятельного правового режима для правоохранительного и публичного использования технологии распознавания лиц. Российское право не формулирует на уровне федерального закона специальный порог тяжести правонарушений, при котором такая технология допустима; не требует обязательного предварительного разрешения суда или иного независимого органа для каждого случая реального времени; не закрепляет исчерпывающего перечня допустимых целей, временных и территориальных ограничений; не предусматривает обязанности последующего уведомления лица, если такое уведомление уже не мешает расследованию; не устанавливает ясных правил хранения и уничтожения биометрических следов, образованных в ходе поиска. Именно по этой причине дело</w:t>
      </w:r>
      <w:r>
        <w:t xml:space="preserve"> </w:t>
      </w:r>
      <w:r>
        <w:rPr>
          <w:i/>
          <w:iCs/>
        </w:rPr>
        <w:t xml:space="preserve">Glukhin v. Russia</w:t>
      </w:r>
      <w:r>
        <w:t xml:space="preserve"> </w:t>
      </w:r>
      <w:r>
        <w:t xml:space="preserve">демонстрирует не просто отдельную проблему правоприменения, а более глубокий законодательный пробел: в российском праве до сих пор не сформирован специальный язык для описания границы между законным обеспечением безопасности и непропорциональной биометрической слежкой.</w:t>
      </w:r>
      <w:r>
        <w:rPr>
          <w:rStyle w:val="FootnoteReference"/>
        </w:rPr>
        <w:footnoteReference w:id="170"/>
      </w:r>
    </w:p>
    <w:p>
      <w:pPr>
        <w:pStyle w:val="BodyText"/>
      </w:pPr>
      <w:r>
        <w:t xml:space="preserve">Третий дефицит связан с тем, что действующая модель слишком сильно опирается на идею формальной добровольности и слишком слабо учитывает инфраструктурное давление на выбор субъекта. Запрет делать биометрию обязательной и запрет отказывать в услуге из-за отказа от нее безусловно представляют собой важные гарантии. Более того, сам законодатель уже фактически признает, что в этой сфере одних лишь согласий недостаточно: статья 15 Закона N 572-ФЗ отдельно ограничивает обработку биометрических данных, используемых для идентификации, вне ЕБС и тем самым вводит архитектурный барьер против свободного рассеивания биометрии по множеству частных контуров.</w:t>
      </w:r>
      <w:r>
        <w:rPr>
          <w:rStyle w:val="FootnoteReference"/>
        </w:rPr>
        <w:footnoteReference w:id="171"/>
      </w:r>
      <w:r>
        <w:t xml:space="preserve"> </w:t>
      </w:r>
      <w:r>
        <w:t xml:space="preserve">Но реальная эффективность этих гарантий зависит не только от текста закона, а от организации рынка и цифровой среды. Если один канал становится быстрее, дешевле и институционально приоритетнее, а альтернативный путь сохраняется лишь номинально, право формально продолжает говорить о добровольности, тогда как фактически пользователь подталкивается к заранее предпочтительному сценарию. Новые российские материалы 2025-2026 годов показывают, что именно такой риск начинает приобретать системный характер: Банк России рассматривает ЕБС как один из ключевых компонентов национальной цифровой инфраструктуры, а с марта 2026 года микрофинансовые компании уже должны использовать биометрию при дистанционном обслуживании клиентов для целей противодействия мошенничеству.</w:t>
      </w:r>
      <w:r>
        <w:rPr>
          <w:rStyle w:val="FootnoteReference"/>
        </w:rPr>
        <w:footnoteReference w:id="172"/>
      </w:r>
      <w:r>
        <w:rPr>
          <w:rStyle w:val="FootnoteReference"/>
        </w:rPr>
        <w:footnoteReference w:id="173"/>
      </w:r>
    </w:p>
    <w:p>
      <w:pPr>
        <w:pStyle w:val="BodyText"/>
      </w:pPr>
      <w:r>
        <w:t xml:space="preserve">Следовательно, проблема заключается не в том, что законодатель преследует нелегитимную цель. Борьба с мошенничеством, защита добросовестного клиента, снижение рисков кражи личности и ускорение оказания услуг представляют собой законные публичные интересы. Проблема в другом: российское право практически не требует заново оценивать, как меняется конституционная допустимость биометрической меры по мере ее перехода из «дополнительного сервиса» в «инфраструктурно предпочтительный способ доступа». Между тем именно в этой точке проходит наиболее важная граница между добровольной аутентификацией и квазиобязательной цифровой идентификацией. Если право фиксирует только факт существования альтернативы, но не анализирует ее сопоставимость по качеству, скорости, цене и доступности, конституционная гарантия постепенно выхолащивается.</w:t>
      </w:r>
    </w:p>
    <w:p>
      <w:pPr>
        <w:pStyle w:val="BodyText"/>
      </w:pPr>
      <w:r>
        <w:t xml:space="preserve">Эта тенденция усиливается четвертым дефицитом — отсутствием в российском праве обязательной оценки воздействия биометрических систем на права и свободы до их внедрения. В действующей модели вмешательство в права, как правило, проверяется постфактум: после жалобы, спора, инцидента или утечки. Но к этому моменту система уже закуплена, встроена в бизнес-процессы, соединена с другими информационными ресурсами и зачастую фактически стала частью повседневного оборота. В таких условиях судебный или надзорный контроль неизбежно запаздывает. Отсутствие российского аналога DPIA или фундаментально-правовой оценки воздействия особенно проблемно именно для биометрии, где ошибка законодателя или оператора проявляется не в единичном эпизоде, а в самой архитектуре системы: в объеме собираемых данных, модели хранения, наличии скрытого поиска, сроках сохранения, возможности повторного использования и круге субъектов доступа.</w:t>
      </w:r>
      <w:r>
        <w:rPr>
          <w:rStyle w:val="FootnoteReference"/>
        </w:rPr>
        <w:footnoteReference w:id="174"/>
      </w:r>
      <w:r>
        <w:rPr>
          <w:rStyle w:val="FootnoteReference"/>
        </w:rPr>
        <w:footnoteReference w:id="175"/>
      </w:r>
    </w:p>
    <w:p>
      <w:pPr>
        <w:pStyle w:val="BodyText"/>
      </w:pPr>
      <w:r>
        <w:t xml:space="preserve">Пятый дефицит касается различения функционально разных видов биометрической обработки. Российское законодательство по-прежнему мыслит биометрию главным образом через пары «идентификация и аутентификация» и «согласие либо исключение». Между тем современные технологии позволяют использовать одни и те же биометрические признаки не только для подтверждения личности, но и для классификации, поведенческого анализа, предиктивного профилирования, оценки эмоционального состояния и построения вероятностных выводов о человеке. Уже в первой главе было показано, что такие режимы обработки отличаются по уровню риска от простой аутентификации. Однако в российском праве им не соответствует специальный набор запретов или ограничений. Закон N 152-ФЗ содержит общую статью 16 о решениях, порождающих юридические последствия для лица исключительно на основе автоматизированной обработки, но эта статья не адресует напрямую вопросы биометрической категоризации, скрытой эмоциональной аналитики и использования тела человека как источника чувствительных выводов.</w:t>
      </w:r>
      <w:r>
        <w:rPr>
          <w:rStyle w:val="FootnoteReference"/>
        </w:rPr>
        <w:footnoteReference w:id="176"/>
      </w:r>
      <w:r>
        <w:rPr>
          <w:rStyle w:val="FootnoteReference"/>
        </w:rPr>
        <w:footnoteReference w:id="177"/>
      </w:r>
    </w:p>
    <w:p>
      <w:pPr>
        <w:pStyle w:val="BodyText"/>
      </w:pPr>
      <w:r>
        <w:t xml:space="preserve">Отсюда вытекает шестой дефицит — отсутствие четких «красных линий» для наиболее инвазивных практик. В европейском праве уже прямо запрещаются или предельно ограничиваются такие действия, как биометрическая категоризация по чувствительным признакам, распознавание эмоций в трудовой и образовательной среде, массовое формирование лицевых баз путем неизбирательного сбора изображений, удаленная биометрическая идентификация в реальном времени в публичных местах для правоохранительных целей. Российское право пока не предлагает сопоставимых запретов. В лучшем случае оно работает через общие принципы обработки данных, антидискриминационные положения и запреты на обязательность отдельных форм биометрии. Но этих общих формул недостаточно для того, чтобы заранее остановить технологические сценарии, где вмешательство в права изначально имеет чрезмерный характер.</w:t>
      </w:r>
      <w:r>
        <w:rPr>
          <w:rStyle w:val="FootnoteReference"/>
        </w:rPr>
        <w:footnoteReference w:id="178"/>
      </w:r>
    </w:p>
    <w:p>
      <w:pPr>
        <w:pStyle w:val="BodyText"/>
      </w:pPr>
      <w:r>
        <w:t xml:space="preserve">Седьмой дефицит проявляется в архитектуре ЕБС и в правовом режиме производных биометрических представлений. Сильной стороной российской модели является то, что она стремится уменьшить свободную циркуляцию первичных биометрических образцов по множеству частных систем и переводит взаимодействие на уровень векторов и идентификаторов. Однако именно здесь возникает важный конституционно-правовой вопрос: насколько правовой режим векторов адекватен их реальной значимости для личности. Часть 5 статьи 3 Закона N 572-ФЗ прямо выводит векторы ЕБС из-под действия статьи 11 Закона N 152-ФЗ и специальных мер безопасности, установленных для биометрических персональных данных.</w:t>
      </w:r>
      <w:r>
        <w:rPr>
          <w:rStyle w:val="FootnoteReference"/>
        </w:rPr>
        <w:footnoteReference w:id="179"/>
      </w:r>
      <w:r>
        <w:t xml:space="preserve"> </w:t>
      </w:r>
      <w:r>
        <w:t xml:space="preserve">Технически такая конструкция может объясняться желанием отделить шаблон от исходного изображения или голоса. Но в правовом смысле она оставляет недостаточно проработанным статус данных, которые, хотя и не совпадают с исходным биометрическим материалом, все же встроены в механизм установления личности и потому сохраняют прямую связь с конституционными рисками.</w:t>
      </w:r>
    </w:p>
    <w:p>
      <w:pPr>
        <w:pStyle w:val="BodyText"/>
      </w:pPr>
      <w:r>
        <w:t xml:space="preserve">Отдельная проблема здесь состоит в том, что российское право недостаточно различает пользовательскую аутентификацию 1:1 и идентификацию 1:N по массиву данных. Между тем для конституционного анализа эти режимы нельзя ставить в один ряд. В первом случае субъект обычно инициирует проверку сам и знает, в каком контексте используется его биометрия. Во втором случае система ищет человека среди множества иных лиц, причем нередко без его участия и без его знания. Это принципиально разные ситуации с точки зрения интенсивности вмешательства, вероятности ошибки и объема затрагиваемых прав. Европейские ориентиры — как EDPB Opinion 11/2024, так и AI Act — показывают, что именно вокруг этого различия строится современная модель гарантий.</w:t>
      </w:r>
      <w:r>
        <w:rPr>
          <w:rStyle w:val="FootnoteReference"/>
        </w:rPr>
        <w:footnoteReference w:id="180"/>
      </w:r>
      <w:r>
        <w:rPr>
          <w:rStyle w:val="FootnoteReference"/>
        </w:rPr>
        <w:footnoteReference w:id="181"/>
      </w:r>
      <w:r>
        <w:t xml:space="preserve"> </w:t>
      </w:r>
      <w:r>
        <w:t xml:space="preserve">Российское же законодательство пока не оформило его в самостоятельный правовой критерий.</w:t>
      </w:r>
    </w:p>
    <w:p>
      <w:pPr>
        <w:pStyle w:val="BodyText"/>
      </w:pPr>
      <w:r>
        <w:t xml:space="preserve">Восьмой дефицит связан с институциональным контролем и средствами правовой защиты. Формально надзор за обработкой персональных данных существует, а Закон N 152-ФЗ закрепляет полномочия уполномоченного органа и механизмы государственного контроля. Но применительно к биометрии надзор в основном остается реактивным: он включается после жалобы, выявленного нарушения или проверки. В системе отсутствует общедоступный реестр высокорисковых биометрических систем, нет обязанности публиковать даже краткие версии оценок воздействия на права, не предусмотрена специальная процедура проверки скрытого распознавания лиц в публичном пространстве, не закреплено общее правило о последующем уведомлении человека о факте его биометрической идентификации после отпадения интересов расследования или безопасности. В результате гражданин часто даже не знает, что его биометрия использовалась против него, а значит, практически лишен возможности инициировать эффективную защиту.</w:t>
      </w:r>
    </w:p>
    <w:p>
      <w:pPr>
        <w:pStyle w:val="BodyText"/>
      </w:pPr>
      <w:r>
        <w:t xml:space="preserve">Наконец, девятый дефицит проявляется в самом характере законодательного развития последних лет. Новые акты и официальные материалы показывают, что российская система движется в сторону дальнейшего расширения сценариев использования биометрии: уточняются технические параметры ЕБС, расширяются сервисные и пропускные случаи использования биометрии, Правительство в январе 2026 года внесло в Государственную Думу законопроект N 1131094-8 о биометрии в системах управления доступом.</w:t>
      </w:r>
      <w:r>
        <w:rPr>
          <w:rStyle w:val="FootnoteReference"/>
        </w:rPr>
        <w:footnoteReference w:id="182"/>
      </w:r>
      <w:r>
        <w:rPr>
          <w:rStyle w:val="FootnoteReference"/>
        </w:rPr>
        <w:footnoteReference w:id="183"/>
      </w:r>
      <w:r>
        <w:t xml:space="preserve"> </w:t>
      </w:r>
      <w:r>
        <w:t xml:space="preserve">Само по себе расширение не свидетельствует о неконституционности. Но оно меняет цену законодательной неопределенности: чем глубже биометрия встраивается в повседневные практики, тем выше риск того, что право будет лишь сопровождать технологическое развертывание, а не задавать ему границы. В такой ситуации отсутствие целостной методологии ограничения прав становится уже не теоретическим пробелом, а фактором системной уязвимости конституционных гарантий.</w:t>
      </w:r>
    </w:p>
    <w:p>
      <w:pPr>
        <w:pStyle w:val="BodyText"/>
      </w:pPr>
      <w:r>
        <w:t xml:space="preserve">Таким образом, российская модель демонстрирует не «пустое место», а внутренне неравномерное развитие. Она сравнительно успешно отвечает на вопрос, как технологически организовать защищенную инфраструктуру биометрической аутентификации и как запретить прямое навязывание биометрии в ряде сервисных отношений. Но она значительно хуже отвечает на вопросы иного уровня: как заранее измерить допустимость вмешательства, где провести границу для скрытой идентификации, какие практики следует прямо запретить, как учесть риск архитектурного давления на выбор субъекта и каким образом обеспечить эффективную защиту там, где человек может даже не знать о факте биометрической обработки. Именно из этих дефицитов и должны исходить предложения по совершенствованию законодательства.</w:t>
      </w:r>
    </w:p>
    <w:bookmarkEnd w:id="184"/>
    <w:bookmarkStart w:id="192" w:name="X1a37b4d69d469abe72dfd474282d73a29317a17"/>
    <w:p>
      <w:pPr>
        <w:pStyle w:val="Heading2"/>
      </w:pPr>
      <w:r>
        <w:t xml:space="preserve">3.3. Предложения по совершенствованию конституционно-правовых гарантий</w:t>
      </w:r>
    </w:p>
    <w:p>
      <w:pPr>
        <w:pStyle w:val="FirstParagraph"/>
      </w:pPr>
      <w:r>
        <w:t xml:space="preserve">Преодоление выявленных дефицитов не требует ни полного запрета биометрических технологий, ни пересмотра конституционного текста. Главная задача состоит в ином: необходимо изменить юридическую логику регулирования так, чтобы биометрическая идентификация оценивалась не только как удобный сервис или антифрод-инструмент, но прежде всего как потенциально высокоинтенсивное вмешательство в права личности. Иными словами, законодательство должно сместить центр тяжести с формы получения согласия на обязанность государства и оператора доказывать необходимость конкретной технологии, ее ограниченность по цели, наличие менее инвазивных альтернатив и достаточность гарантий от вторичного использования.</w:t>
      </w:r>
    </w:p>
    <w:p>
      <w:pPr>
        <w:pStyle w:val="BodyText"/>
      </w:pPr>
      <w:r>
        <w:t xml:space="preserve">Первое направление совершенствования следует отнести к конституционно-правовому уровню. Для российских условий наиболее реалистичным решением представляется не введение новой конституционной статьи о цифровых правах, а развертывание содержания уже действующих статей 23, 24 и 55 Конституции РФ применительно к биометрии. Такому развертыванию может способствовать как конституционно-судебное толкование, так и прямая законодательная конкретизация. В практическом плане речь идет о формировании многоэлементного теста допустимости биометрического вмешательства. В него должны входить: наличие ясного федерального закона; легитимная и конкретная цель; доказанная технологическая пригодность средства; строгая необходимость именно биометрической меры; невозможность достичь сопоставимого результата менее инвазивными способами; наличие процессуальных и институциональных гарантий против злоупотребления; возможность последующего независимого контроля. Без такого теста ссылка на пропорциональность будет и дальше оставаться декларацией, а не рабочим юридическим инструментом.</w:t>
      </w:r>
    </w:p>
    <w:p>
      <w:pPr>
        <w:pStyle w:val="BodyText"/>
      </w:pPr>
      <w:r>
        <w:t xml:space="preserve">Принципиально важно, чтобы в российской модели этот тест не применялся одинаково ко всем видам обработки. Чем дальше система отходит от добровольной пользовательской аутентификации и чем ближе она к скрытой массовой идентификации, тем строже должна быть проверка. Для пользовательской аутентификации в целях доступа к счету, кабинету или услуге центр анализа может лежать в сфере добровольности, безопасности и обратимости альтернативы. Для удаленной идентификации в публичном пространстве, правоохранительного поиска по базе и иных форм скрытого наблюдения должен действовать повышенный стандарт — не просто «необходимость», а по существу строгая необходимость с узко определенной целью и усиленными процедурами допуска. Такой подход позволяет избежать как необоснованного уравнивания всех биометрических практик, так и их необоснованного тотального запрета.</w:t>
      </w:r>
    </w:p>
    <w:p>
      <w:pPr>
        <w:pStyle w:val="BodyText"/>
      </w:pPr>
      <w:r>
        <w:t xml:space="preserve">Второе направление реформы — внедрение обязательной оценки воздействия на права и свободы при создании, закупке и эксплуатации высокорисковых биометрических систем. Российскому законодательству нужен функциональный аналог оценки воздействия на защиту данных (DPIA) и фундаментально-правовой оценки, предусмотренной в европейском праве для части высокорисковых ИИ-систем.</w:t>
      </w:r>
      <w:r>
        <w:rPr>
          <w:rStyle w:val="FootnoteReference"/>
        </w:rPr>
        <w:footnoteReference w:id="185"/>
      </w:r>
      <w:r>
        <w:rPr>
          <w:rStyle w:val="FootnoteReference"/>
        </w:rPr>
        <w:footnoteReference w:id="186"/>
      </w:r>
      <w:r>
        <w:t xml:space="preserve"> </w:t>
      </w:r>
      <w:r>
        <w:t xml:space="preserve">Содержание такой процедуры не должно ограничиваться кибербезопасностью. Оценка должна включать описание правовой цели системы, круга данных, модели хранения, срока их сохранения, категорий затрагиваемых лиц, вероятности ошибок, риска дискриминации, возможности вторичного использования, наличия альтернативных решений и мер компенсации для отказавшихся от биометрии. Для публичных систем и для частных субъектов, предоставляющих социально значимые либо массовые услуги, краткая версия такой оценки должна подлежать опубликованию, чтобы общественный и судебный контроль мог включаться не после инцидента, а заранее.</w:t>
      </w:r>
    </w:p>
    <w:p>
      <w:pPr>
        <w:pStyle w:val="BodyText"/>
      </w:pPr>
      <w:r>
        <w:t xml:space="preserve">Представляется обоснованным закрепить и перечень ситуаций, когда такая оценка обязательна независимо от усмотрения оператора. К ним следует отнести: удаленную идентификацию в публично доступных местах; централизованное хранение биометрических шаблонов; обработку биометрии в системах, обеспечивающих доступ к государственным услугам, финансовым услугам, инфраструктурным объектам и объектам с массовым пребыванием людей; межсистемное сопоставление биометрических признаков; обработку биометрии в отношении несовершеннолетних и иных уязвимых категорий; использование биометрии иностранцев и лиц без гражданства в обязательных по закону сценариях. В случаях, когда оценка выявляет высокий остаточный риск, должна действовать процедура предварительной консультации с уполномоченным органом и, для части публичных систем, обязательное внешнее заключение по вопросу о соразмерности.</w:t>
      </w:r>
    </w:p>
    <w:p>
      <w:pPr>
        <w:pStyle w:val="BodyText"/>
      </w:pPr>
      <w:r>
        <w:t xml:space="preserve">Третье направление заключается в законодательном разграничении видов биометрической обработки по их функции, а не только по тому, идет ли речь о «биометрических данных вообще». Для современного права недостаточно делить все случаи на обработку с согласия и без согласия. Необходимо различать по меньшей мере четыре режима: 1) пользовательскую аутентификацию 1:1 при активном участии лица; 2) идентификацию 1:N по централизованной базе; 3) биометрическую категоризацию и вывод чувствительных характеристик; 4) эмоциональную аналитику и иные формы поведенческого предсказания на основе биометрии. Эти режимы неодинаковы по степени воздействия на права и, следовательно, не должны регулироваться одним набором общих формул. Уже сам факт такого разграничения позволил бы уйти от сегодняшней ситуации, когда право описывает технически разные и конституционно неравные процессы в одном и том же нормативном языке.</w:t>
      </w:r>
    </w:p>
    <w:p>
      <w:pPr>
        <w:pStyle w:val="BodyText"/>
      </w:pPr>
      <w:r>
        <w:t xml:space="preserve">Из такого разграничения логически вытекает необходимость прямых запретов на наиболее инвазивные практики. Для российского законодательства представляются оправданными по крайней мере следующие запреты. Во-первых, должно быть прямо запрещено формирование и расширение биометрических баз лиц путем неизбирательного сбора изображений и записей из открытых интернет-источников либо из массивов видеонаблюдения вне специально определенной федеральным законом процедуры. Во-вторых, требуется запретить биометрическую категоризацию, направленную на вывод расы, национальности, политических взглядов, религиозных убеждений, состояния здоровья, интимной жизни и иных чувствительных характеристик. В-третьих, необходим отдельный запрет либо крайне узкий исключительный режим для распознавания эмоций в трудовых, образовательных и массовых сервисных отношениях, где человек объективно находится в зависимом положении. Эти предложения не являются механическим переносом AI Act; они представляют собой адаптацию уже выработанной правовой идеи о том, что некоторые биометрические практики несут настолько высокую угрозу фундаментальным правам, что не должны легитимироваться одними лишь техническими гарантиями.</w:t>
      </w:r>
      <w:r>
        <w:rPr>
          <w:rStyle w:val="FootnoteReference"/>
        </w:rPr>
        <w:footnoteReference w:id="187"/>
      </w:r>
    </w:p>
    <w:p>
      <w:pPr>
        <w:pStyle w:val="BodyText"/>
      </w:pPr>
      <w:r>
        <w:t xml:space="preserve">Четвертое направление реформы касается правоохранительного и публичного использования распознавания лиц. Если российский законодатель намерен сохранить возможность такой технологии, ее допустимость должна быть привязана к специальному процессуальному режиму. Использование удаленной биометрической идентификации в реальном времени в публично доступных пространствах следует допускать только по закрытому перечню целей: розыск конкретных жертв тяжких преступлений и пропавших лиц, предотвращение конкретной и непосредственной угрозы жизни или безопасности, поиск лица, подозреваемого в совершении строго определенного перечня тяжких деяний. Для каждого случая должны устанавливаться временные, географические и персональные пределы, а также обязательное предварительное разрешение суда или иного независимого органа, решение которого имеет обязательную силу. Исключения для ситуации неотложности возможны, но только при последующем немедленном контроле законности.</w:t>
      </w:r>
    </w:p>
    <w:p>
      <w:pPr>
        <w:pStyle w:val="BodyText"/>
      </w:pPr>
      <w:r>
        <w:t xml:space="preserve">Не менее важно закрепить последствия нарушения этих правил. Сегодня российский правопорядок почти не формулирует специальных последствий именно для неправомерной биометрической идентификации. Между тем конституционная гарантия не может считаться полноценной, если у государства или оператора отсутствует значимый стимул соблюдать процедуру. Поэтому результаты биометрической обработки, проведенной без требуемого разрешения, вне допустимой цели либо с нарушением обязательных параметров системы, не должны использоваться как законное основание для административного или иного преследования без отдельной проверки их допустимости и надежности. Как минимум должен действовать презумптивно неблагоприятный режим оценки таких доказательств: бремя доказывания законности, точности и необходимости использования системы должно лежать не на гражданине, а на органе, применившем технологию.</w:t>
      </w:r>
    </w:p>
    <w:p>
      <w:pPr>
        <w:pStyle w:val="BodyText"/>
      </w:pPr>
      <w:r>
        <w:t xml:space="preserve">Пятое направление относится к переосмыслению института согласия. Исследование показывает, что в условиях инфраструктурной цифровой идентификации формула «есть отказ — значит есть свобода» больше не является достаточной. Закон должен требовать не просто наличия альтернативы, а ее равноценности. Если организация предлагает биометрический и небиометрический каналы доступа, второй вариант должен быть сопоставим по качеству, срокам, функциональности и экономическим условиям. Нельзя считать запрет дискриминации соблюденным, если формально альтернативный канал существует, но связан с заметно большими временными издержками, ограниченным набором операций или фактическим выталкиванием пользователя в офлайн. В споре о навязанной биометрии бремя доказывания равноценности альтернативы должно быть возложено на оператора.</w:t>
      </w:r>
    </w:p>
    <w:p>
      <w:pPr>
        <w:pStyle w:val="BodyText"/>
      </w:pPr>
      <w:r>
        <w:t xml:space="preserve">Следующий необходимый шаг — технологическое усиление права на отзыв согласия и на отказ от биометрии. Сегодня субъект может юридически управлять своими согласиями через ЕПГУ и иные предусмотренные законом механизмы, но сама законодательная модель недостаточно подробно описывает, как такой отзыв должен каскадно проходить по всем связанным системам и в какие сроки прекращается доступ к данным или их использование. Для биометрии этого недостаточно. Закон должен предусматривать обязанность оператора и интегрированных участников подтверждать субъекту факт исполнения требования об отзыве, блокировании, удалении либо уничтожении данных, вести прослеживаемый журнал таких действий и гарантировать прекращение дальнейшего использования биометрии во всех системах, которые получают данные через единую инфраструктуру. Это особенно важно для сохранения реального, а не символического контроля человека над собственными идентификационными признаками.</w:t>
      </w:r>
    </w:p>
    <w:p>
      <w:pPr>
        <w:pStyle w:val="BodyText"/>
      </w:pPr>
      <w:r>
        <w:t xml:space="preserve">Шестое направление реформы связано с архитектурой ЕБС и правовым режимом ее производных элементов. Российская система централизованного хранения была задумана как способ снизить число разрозненных частных биометрических баз, и этот мотив не лишен рациональности. Однако современный конституционный стандарт требует не только борьбы с множественностью копий, но и минимизации самой концентрации рисков. Поэтому в перспективе российская модель должна двигаться к дифференцированной архитектуре: там, где это технологически возможно и экономически оправдано, предпочтение следует отдавать моделям локального хранения или, по меньшей мере, шифрования с ключом, находящимся под контролем самого субъекта. Если централизованное хранение сохраняется, закон обязан детально описать пределы использования векторов, режим доступа к ним, сроки хранения, процедуры удаления, обязанность уведомления об инцидентах безопасности и прямой запрет на использование таких представлений для новых целей без самостоятельного федерального закона.</w:t>
      </w:r>
    </w:p>
    <w:p>
      <w:pPr>
        <w:pStyle w:val="BodyText"/>
      </w:pPr>
      <w:r>
        <w:t xml:space="preserve">Особого внимания заслуживает именно правовой статус векторов ЕБС. Текущая конструкция, выводящая их из режима статьи 11 Закона N 152-ФЗ, технически понятна, но юридически недостаточна. Для пользователя не имеет принципиального значения, хранится ли в системе исходное изображение лица или математически преобразованный шаблон, если последний остается элементом механизма установления личности и при компрометации способен повлиять на его права. Поэтому в законодательстве целесообразно закрепить специальную категорию производных биометрических идентификаторов, к которым применяются не идентичные, но сопоставимые по строгости гарантии: ограничение целей, прослеживаемость доступа, обязательный аудит, правила уничтожения и усиленная ответственность за неправомерное использование. Это позволило бы устранить одну из наиболее чувствительных серых зон современного регулирования.</w:t>
      </w:r>
    </w:p>
    <w:p>
      <w:pPr>
        <w:pStyle w:val="BodyText"/>
      </w:pPr>
      <w:r>
        <w:t xml:space="preserve">Седьмое направление состоит в перестройке самого законодательного каркаса. Наиболее последовательным решением в среднесрочной перспективе выглядело бы принятие специального федерального закона о биометрических данных и высокорисковых системах цифровой идентификации. Однако достоинство такого закона заключается не в отдельном названии, а в способности собрать в единую конструкцию то, что сегодня рассеяно между Законом N 152-ФЗ, Законом N 572-ФЗ, подзаконными актами и силовым законодательством. Поэтому возможна и вторая, более реалистичная модель: пакет синхронных поправок, распределенных между несколькими актами, но построенных на единой концепции. В этом случае Закон N 152-ФЗ должен получить нормы о высокорисковой биометрической обработке, об оценке воздействия, о специальных запретах и о производных биометрических идентификаторах; Закон N 572-ФЗ — нормы о различении аутентификации и идентификации, о равноценной альтернативе, о векторах, об архитектурных гарантиях и публичной отчетности; законодательство о полиции, оперативно-разыскной деятельности и процессуальные кодексы — специальные правила допуска скрытой биометрической идентификации.</w:t>
      </w:r>
    </w:p>
    <w:p>
      <w:pPr>
        <w:pStyle w:val="BodyText"/>
      </w:pPr>
      <w:r>
        <w:t xml:space="preserve">В краткосрочной перспективе целесообразно начать именно со второго варианта. Он не требует радикальной перекройки всей системы и позволяет быстрее устранить наиболее опасные пробелы. Прежде всего необходимо дополнить Закон N 152-ФЗ легальными определениями удаленной биометрической идентификации, биометрической категоризации, эмоциональной аналитики и биометрического профилирования. Пока эти явления не названы в законе, их трудно не только запретить, но и даже корректно отличить друг от друга в правоприменении. Одновременно следует ввести в закон обязательную оценку воздействия для биометрических систем повышенного риска, а также правило, по которому отсутствие такой оценки само по себе влечет запрет на эксплуатацию системы до устранения нарушения.</w:t>
      </w:r>
    </w:p>
    <w:p>
      <w:pPr>
        <w:pStyle w:val="BodyText"/>
      </w:pPr>
      <w:r>
        <w:t xml:space="preserve">Закон N 572-ФЗ, в свою очередь, нуждается в переориентации с описания инфраструктуры на описание пределов допустимого расширения этой инфраструктуры. В нем необходимо закрепить, что пользовательская аутентификация и идентификация по биометрии являются не взаимозаменяемыми техническими режимами, а юридически разными формами вмешательства. Следует также ввести норму о том, что случаи использования биометрии, существенно выходящие за пределы уже прямо названных законом сценариев, не могут устанавливаться подзаконными актами без прямого и конкретного федерального основания. Такая поправка особенно важна в условиях, когда фактическая среда применения ЕБС расширяется быстрее, чем развивается конституционно-правовая оценка последствий этого расширения.</w:t>
      </w:r>
      <w:r>
        <w:rPr>
          <w:rStyle w:val="FootnoteReference"/>
        </w:rPr>
        <w:footnoteReference w:id="188"/>
      </w:r>
      <w:r>
        <w:rPr>
          <w:rStyle w:val="FootnoteReference"/>
        </w:rPr>
        <w:footnoteReference w:id="189"/>
      </w:r>
    </w:p>
    <w:p>
      <w:pPr>
        <w:pStyle w:val="BodyText"/>
      </w:pPr>
      <w:r>
        <w:t xml:space="preserve">Восьмое направление относится к институциональным гарантиям. Российская система не обязательно нуждается в создании нового «суперрегулятора» по европейскому образцу, однако она явно нуждается в специальных процедурах контроля именно для высокорисковой биометрии. Уполномоченному органу по защите прав субъектов персональных данных следует предоставить полномочие требовать представления оценки воздействия до запуска системы, выдавать обязательные предписания о приостановлении эксплуатации при наличии высокого неустраненного риска, проводить проверки алгоритмической точности, качества обучающих данных и соблюдения ограничений по целям использования. Для публичных систем биометрической идентификации должно стать обязательным ведение открытого реестра, содержащего хотя бы общие сведения о правовом основании, назначении системы, категории операторов и наличии проведенной оценки воздействия.</w:t>
      </w:r>
    </w:p>
    <w:p>
      <w:pPr>
        <w:pStyle w:val="BodyText"/>
      </w:pPr>
      <w:r>
        <w:t xml:space="preserve">Судебная защита также требует уточнения. Представляется целесообразным закрепить в разъяснениях Верховного Суда РФ либо в процессуальном законодательстве правило о перераспределении бремени доказывания: если гражданин представляет достаточные данные, указывающие на использование его биометрии, именно оператор или государственный орган должны доказать наличие законного основания, соблюдение пределов цели, использование утвержденной системы и выполнение требований по точности и безопасности. Для дел, связанных со скрытой идентификацией в публичном пространстве, полезным был бы и механизм отсроченного уведомления лица о факте использования его биометрии после того, как такое уведомление перестанет угрожать интересам расследования или безопасности. Без знания о самом факте вмешательства право на судебную защиту становится во многом иллюзорным.</w:t>
      </w:r>
    </w:p>
    <w:p>
      <w:pPr>
        <w:pStyle w:val="BodyText"/>
      </w:pPr>
      <w:r>
        <w:t xml:space="preserve">Наконец, девятое направление реформы связано с общим подходом к цифровой идентификации как к инфраструктуре. Настоящее исследование показывает, что проблема биометрии не исчерпывается темой персональных данных в узком смысле. По мере того как ЕБС включается в национальную цифровую инфраструктуру финансового рынка, платформы коммерческих согласий, системы доступа и иные контуры повседневного взаимодействия, биометрическая гарантия перестает быть только частью режима защиты данных и становится элементом более широкой конституционной защиты автономии личности в цифровой среде.</w:t>
      </w:r>
      <w:r>
        <w:rPr>
          <w:rStyle w:val="FootnoteReference"/>
        </w:rPr>
        <w:footnoteReference w:id="190"/>
      </w:r>
      <w:r>
        <w:rPr>
          <w:rStyle w:val="FootnoteReference"/>
        </w:rPr>
        <w:footnoteReference w:id="191"/>
      </w:r>
      <w:r>
        <w:t xml:space="preserve"> </w:t>
      </w:r>
      <w:r>
        <w:t xml:space="preserve">Поэтому совершенствование законодательства должно быть направлено не на бесконечное усложнение форм согласия, а на формирование правила, согласно которому расширение инфраструктуры цифровой идентификации допустимо лишь при одновременном усилении правовых ограничителей.</w:t>
      </w:r>
    </w:p>
    <w:p>
      <w:pPr>
        <w:pStyle w:val="BodyText"/>
      </w:pPr>
      <w:r>
        <w:t xml:space="preserve">Итоговый исследовательский вывод главы состоит в следующем. Российская модель не нуждается в отказе от биометрических технологий как таковых, но она нуждается в принципиальной смене точки зрения: от инфраструктурного регулирования к регулированию пределов власти над личностью. Самыми значимыми направлениями совершенствования являются: формирование конституционно-правового теста строгой необходимости для высокоинвазивных биометрических практик; введение обязательной оценки воздействия на права и свободы до запуска систем; прямые запреты на биометрическую категоризацию по чувствительным признакам, эмоциональную аналитику в зависимых отношениях и неизбирательное формирование лицевых баз; специальный процессуальный режим скрытой идентификации в публичном пространстве; переосмысление правового статуса векторов и иных производных идентификаторов; перераспределение бремени доказывания в пользу гражданина. Только при таком сдвиге можно говорить не о формальном сопровождении цифровой идентификации, а о реальном усилении конституционно-правовых гарантий защиты персональных и биометрических данных.</w:t>
      </w:r>
    </w:p>
    <w:bookmarkEnd w:id="192"/>
    <w:bookmarkEnd w:id="193"/>
    <w:bookmarkStart w:id="194" w:name="заключение"/>
    <w:p>
      <w:pPr>
        <w:pStyle w:val="Heading1"/>
      </w:pPr>
      <w:r>
        <w:t xml:space="preserve">ЗАКЛЮЧЕНИЕ</w:t>
      </w:r>
    </w:p>
    <w:p>
      <w:pPr>
        <w:pStyle w:val="FirstParagraph"/>
      </w:pPr>
      <w:r>
        <w:t xml:space="preserve">Проведенное исследование позволяет сделать вывод о том, что защита персональных и биометрических данных в современной российской правовой системе должна рассматриваться не как вспомогательный технический режим обработки информации, а как элемент конституционного статуса личности в цифровой среде. В условиях, когда идентификация человека все в большей степени опосредуется государственными и частными цифровыми системами, значение соответствующих гарантий выходит за пределы классического вопроса о конфиденциальности сведений. Речь идет о пределах допустимого цифрового контроля над личностью, о сохранении автономии человека в отношениях с инфраструктурными платформами и о способности права удерживать баланс между удобством, безопасностью и частной жизнью.</w:t>
      </w:r>
    </w:p>
    <w:p>
      <w:pPr>
        <w:pStyle w:val="BodyText"/>
      </w:pPr>
      <w:r>
        <w:t xml:space="preserve">Первый итог исследования состоит в том, что конституционная природа защиты персональных данных в российском праве действительно выводится из статей 23, 24 и 55 Конституции Российской Федерации. Статья 23 закрепляет ценность частной жизни как самостоятельного конституционного блага и не допускает произвольного вторжения в пространство личной автономии. Статья 24 формулирует прямой запрет на сбор, хранение, использование и распространение информации о частной жизни без согласия лица, а также возлагает на публичную власть обязанность обеспечивать субъекту доступ к сведениям, затрагивающим его права и свободы. Статья 55, в свою очередь, задает общий стандарт допустимости ограничений прав: они возможны только на основании федерального закона, в конституционно значимых целях и лишь в той мере, в какой это действительно необходимо. В совокупности эти нормы образуют достаточный конституционный фундамент для защиты данных, хотя и не формируют отдельного, автономно названного в тексте Конституции права на защиту персональных данных.</w:t>
      </w:r>
    </w:p>
    <w:p>
      <w:pPr>
        <w:pStyle w:val="BodyText"/>
      </w:pPr>
      <w:r>
        <w:t xml:space="preserve">Второй итог работы состоит в обосновании особого правового статуса биометрических данных. В отличие от обычных персональных данных, биометрия непосредственно связана с телесной и поведенческой идентичностью человека, обладает высокой степенью устойчивости и с трудом поддается замене после компрометации. Кроме того, биометрические признаки могут использоваться не только для разового подтверждения личности, но и для скрытой идентификации, длительного наблюдения, профилирования и категоризации лица по различным признакам. Поэтому биометрические данные требуют не просто усиленного режима безопасности, а более строгого конституционно-правового контроля за целями, способами и архитектурой их использования. Именно эта специфика объясняет, почему формального согласия субъекта недостаточно для легитимации любой биометрической практики.</w:t>
      </w:r>
    </w:p>
    <w:p>
      <w:pPr>
        <w:pStyle w:val="BodyText"/>
      </w:pPr>
      <w:r>
        <w:t xml:space="preserve">Третий вывод заключается в том, что действующее российское регулирование уже содержит значимый набор правовых гарантий. Закон N 152-ФЗ сохраняет письменное согласие как общее правило обработки биометрических персональных данных и закрепляет запрет навязывания биометрии вне прямо установленных законом случаев. Закон N 572-ФЗ формирует специальный контур цифровой идентификации через Единую биометрическую систему, вводит субъектный контроль над согласием, отзывом, блокированием и удалением данных, а также запрещает использование в ЕБС геномной информации и некоторых иных чувствительных массивов. Подзаконное регулирование последних лет дополняет эту конструкцию техническими и процедурными правилами. Следовательно, российскую модель было бы неверно описывать как полностью лишенную гарантий или как правовой вакуум.</w:t>
      </w:r>
    </w:p>
    <w:p>
      <w:pPr>
        <w:pStyle w:val="BodyText"/>
      </w:pPr>
      <w:r>
        <w:t xml:space="preserve">Однако четвертый, принципиально более важный вывод состоит в том, что эти гарантии остаются внутренне неоднородными и в значительной степени ориентированы на описание инфраструктуры, а не на описание пределов допустимого вмешательства в права личности. Российское право подробно регулирует порядок согласия, участников системы, технические параметры ЕБС и общие правила взаимодействия с ней, но значительно слабее отвечает на вопросы о том, какие биометрические практики допустимы лишь в исключительных случаях, где должны проходить абсолютные запреты, как разграничивать различные уровни инвазивности и какие специальные тесты нужно применять к скрытому либо массовому использованию биометрии. Иными словами, в центре действующей модели находится инфраструктурная организация биометрической идентификации, тогда как материально-правовой тест ее конституционной допустимости разработан недостаточно.</w:t>
      </w:r>
    </w:p>
    <w:p>
      <w:pPr>
        <w:pStyle w:val="BodyText"/>
      </w:pPr>
      <w:r>
        <w:t xml:space="preserve">Пятый вывод связан с судебной практикой. Конституционный Суд Российской Федерации в своих решениях уже сформулировал важные общие положения о защите частной жизни, необходимости баланса конкурирующих конституционных ценностей и недопустимости произвольного обращения с данными о личности. Вместе с тем российская судебная практика пока не выработала самостоятельной, детализированной методологии оценки пропорциональности именно в отношении биометрической идентификации. В этом смысле особенно показательна международная перспектива. Практика Европейского суда по правам человека по делу</w:t>
      </w:r>
      <w:r>
        <w:t xml:space="preserve"> </w:t>
      </w:r>
      <w:r>
        <w:rPr>
          <w:i/>
          <w:iCs/>
        </w:rPr>
        <w:t xml:space="preserve">Glukhin v. Russia</w:t>
      </w:r>
      <w:r>
        <w:t xml:space="preserve">, решение Суда Европейского союза по делу C-205/21, положения GDPR, Директивы 2016/680, AI Act и акты Европейского совета по защите данных демонстрируют более развитый подход: биометрические технологии оцениваются не только по признаку законности и наличия согласия, но и с точки зрения строгой необходимости, уровня риска, архитектуры хранения, масштаба наблюдения, силы гарантий против произвола и допустимости отдельных категорий практик. Сравнительный анализ показал, что именно эта часть правовой методологии в российском регулировании представлена слабее всего.</w:t>
      </w:r>
    </w:p>
    <w:p>
      <w:pPr>
        <w:pStyle w:val="BodyText"/>
      </w:pPr>
      <w:r>
        <w:t xml:space="preserve">Шестой итог исследования заключается в том, что новейшее развитие российской идентификационной инфраструктуры усиливает конституционную значимость выявленных дефицитов. Материалы 2025-2026 годов показывают, что биометрическая идентификация выходит далеко за пределы отдельных финансовых сервисов. Она включается в дистанционное обслуживание микрофинансовых организаций, в транспортные сценарии, в сервисы самообслуживания в МФЦ, в гостиничную сферу, в платформы управления согласиями и в будущие системы управления доступом. Тем самым цифровая идентификация превращается в среду реализации и ограничения прав личности: от того, как она устроена, зависит не только удобство получения услуги, но и фактический объем свободы человека в цифровом и физическом пространстве. Чем шире такая инфраструктура, тем выше цена законодательной неопределенности и тем опаснее ситуация, при которой право лишь сопровождает технологическое развертывание, но не задает ему границы.</w:t>
      </w:r>
    </w:p>
    <w:p>
      <w:pPr>
        <w:pStyle w:val="BodyText"/>
      </w:pPr>
      <w:r>
        <w:t xml:space="preserve">Седьмой вывод состоит в том, что центральной проблемой российской модели является недостаточная дифференциация между различными режимами биометрического вмешательства. С конституционно-правовой точки зрения нельзя ставить в один ряд добровольную аутентификацию 1:1, когда лицо само инициирует проверку для доступа к услуге, и идентификацию 1:N, когда система ищет человека по массиву данных, в том числе без его непосредственного участия и даже без его знания. Это качественно разные ситуации по интенсивности вмешательства, риску ошибки, возможности скрытого наблюдения и потенциальному охлаждающему эффекту для иных прав и свобод. Российское право пока не оформило это различие как самостоятельный юридический критерий, и в этом проявляется один из основных методологических пробелов действующего регулирования.</w:t>
      </w:r>
    </w:p>
    <w:p>
      <w:pPr>
        <w:pStyle w:val="BodyText"/>
      </w:pPr>
      <w:r>
        <w:t xml:space="preserve">Восьмой вывод связан с правовым статусом производных биометрических представлений, прежде всего векторов ЕБС. Современная законодательная конструкция стремится снизить риски свободной циркуляции первичных биометрических образцов и потому переводит ряд операций на уровень производных идентификаторов. Однако техническое преобразование данных само по себе не устраняет их конституционную значимость. Если соответствующий вектор остается частью механизма установления личности и может участвовать в юридически значимых решениях, то и его правовой режим не должен оцениваться как нейтральный. Исследование показывает необходимость более четкого законодательного определения статуса таких данных, специальных правил их использования, хранения, уничтожения и контроля доступа к ним.</w:t>
      </w:r>
    </w:p>
    <w:p>
      <w:pPr>
        <w:pStyle w:val="BodyText"/>
      </w:pPr>
      <w:r>
        <w:t xml:space="preserve">Девятый вывод заключается в том, что укрепление конституционно-правовых гарантий защиты персональных и биометрических данных должно происходить по нескольким взаимосвязанным направлениям. Во-первых, в законодательстве требуется закрепить различие между пользовательской аутентификацией и биометрической идентификацией по массиву данных. Во-вторых, необходим функциональный аналог оценки воздействия на права и свободы при проектировании и внедрении высокорисковых биометрических систем. В-третьих, нужно прямо определить либо запретить наиболее инвазивные практики: неизбирательное формирование биометрических баз, биометрическую категоризацию по чувствительным признакам, эмоциональную аналитику в зависимых отношениях, а также скрытую идентификацию в публичном пространстве вне специально установленного законом режима. В-четвертых, следует обеспечить равноценную небиометрическую альтернативу при получении социально значимых услуг и исключить такие организационные модели, при которых отказ от биометрии формально допустим, но фактически делает доступ к услуге существенно более обременительным. В-пятых, необходимы специальные процессуальные гарантии: усиление предварительного и последующего контроля, перераспределение бремени доказывания в спорах в пользу гражданина, а для скрытых форм идентификации - механизм отсроченного уведомления лица после отпадения оснований секретности.</w:t>
      </w:r>
    </w:p>
    <w:p>
      <w:pPr>
        <w:pStyle w:val="BodyText"/>
      </w:pPr>
      <w:r>
        <w:t xml:space="preserve">Таким образом, рабочая гипотеза исследования в целом подтвердилась. Действующая российская модель действительно обеспечивает лишь частичное и несистемное гарантирование прав личности в условиях расширяющейся цифровой идентификации. Ее сильной стороной являются закрепленные в законе исходные гарантии добровольности, запрет навязывания биометрии и попытка централизовать наиболее чувствительные процессы через ЕБС. Ее слабой стороной остается отсутствие зрелой конституционно-правовой методологии, способной оценивать не только отдельные операции с данными, но и саму архитектуру цифровой власти над личностью.</w:t>
      </w:r>
    </w:p>
    <w:p>
      <w:pPr>
        <w:pStyle w:val="BodyText"/>
      </w:pPr>
      <w:r>
        <w:t xml:space="preserve">Общий итог работы состоит в том, что задача современного конституционного права заключается не в отказе от биометрических технологий как таковых, а в формировании нормативных границ их допустимого использования. Чем глубже цифровая идентификация проникает в повседневную жизнь, тем меньше право может ограничиваться описанием технических процедур и тем больше оно должно отвечать на фундаментальный вопрос: в каких пределах государство и инфраструктурные операторы вправе связывать доступ человека к благам, услугам и пространствам с постоянной цифровой верификацией его личности. Только при положительном решении этого вопроса можно говорить о реальном, а не декларативном обеспечении конституционно-правовых гарантий защиты персональных и биометрических данных.</w:t>
      </w:r>
    </w:p>
    <w:bookmarkEnd w:id="194"/>
    <w:bookmarkStart w:id="198" w:name="список-использованной-литературы"/>
    <w:p>
      <w:pPr>
        <w:pStyle w:val="Heading1"/>
      </w:pPr>
      <w:r>
        <w:t xml:space="preserve">СПИСОК ИСПОЛЬЗОВАННОЙ ЛИТЕРАТУРЫ</w:t>
      </w:r>
    </w:p>
    <w:bookmarkStart w:id="195" w:name="X3671b5de7042d041c428b02e1fadb08859eb8fb"/>
    <w:p>
      <w:pPr>
        <w:pStyle w:val="Heading2"/>
      </w:pPr>
      <w:r>
        <w:t xml:space="preserve">Нормативные правовые акты и официальные документы</w:t>
      </w:r>
    </w:p>
    <w:p>
      <w:pPr>
        <w:pStyle w:val="Compact"/>
        <w:numPr>
          <w:ilvl w:val="0"/>
          <w:numId w:val="1004"/>
        </w:numPr>
      </w:pPr>
      <w:r>
        <w:t xml:space="preserve">Конституция Российской Федерации (принята всенародным голосованием 12.12.1993; с изм., одобренными в ходе общероссийского голосования 01.07.2020). URL: https://www.consultant.ru/document/cons_doc_LAW_28399/ (дата обращения: 17.04.2026).</w:t>
      </w:r>
    </w:p>
    <w:p>
      <w:pPr>
        <w:pStyle w:val="Compact"/>
        <w:numPr>
          <w:ilvl w:val="0"/>
          <w:numId w:val="1004"/>
        </w:numPr>
      </w:pPr>
      <w:r>
        <w:t xml:space="preserve">Федеральный закон от 27.07.2006 N 152-ФЗ</w:t>
      </w:r>
      <w:r>
        <w:t xml:space="preserve"> </w:t>
      </w:r>
      <w:r>
        <w:t xml:space="preserve">“О персональных данных”</w:t>
      </w:r>
      <w:r>
        <w:t xml:space="preserve"> </w:t>
      </w:r>
      <w:r>
        <w:t xml:space="preserve">(ред. от 24.06.2025). URL: https://www.consultant.ru/document/cons_doc_LAW_61801/ (дата обращения: 17.04.2026).</w:t>
      </w:r>
    </w:p>
    <w:p>
      <w:pPr>
        <w:pStyle w:val="Compact"/>
        <w:numPr>
          <w:ilvl w:val="0"/>
          <w:numId w:val="1004"/>
        </w:numPr>
      </w:pP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r>
        <w:t xml:space="preserve"> </w:t>
      </w:r>
      <w:r>
        <w:t xml:space="preserve">(ред. от 28.12.2024). URL: https://www.consultant.ru/document/cons_doc_LAW_436110/ (дата обращения: 17.04.2026).</w:t>
      </w:r>
    </w:p>
    <w:p>
      <w:pPr>
        <w:pStyle w:val="Compact"/>
        <w:numPr>
          <w:ilvl w:val="0"/>
          <w:numId w:val="1004"/>
        </w:numPr>
      </w:pPr>
      <w:r>
        <w:t xml:space="preserve">Федеральный закон от 01.04.2025 N 41-ФЗ</w:t>
      </w:r>
      <w:r>
        <w:t xml:space="preserve"> </w:t>
      </w:r>
      <w:r>
        <w:t xml:space="preserve">“О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w:t>
      </w:r>
      <w:r>
        <w:t xml:space="preserve">. URL: https://publication.pravo.gov.ru/document/0001202504010010 (дата обращения: 17.04.2026).</w:t>
      </w:r>
    </w:p>
    <w:p>
      <w:pPr>
        <w:pStyle w:val="Compact"/>
        <w:numPr>
          <w:ilvl w:val="0"/>
          <w:numId w:val="1004"/>
        </w:numPr>
      </w:pPr>
      <w:r>
        <w:t xml:space="preserve">Постановление Правительства РФ от 06.07.2008 N 512</w:t>
      </w:r>
      <w:r>
        <w:t xml:space="preserve"> </w:t>
      </w:r>
      <w:r>
        <w:t xml:space="preserve">“Об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w:t>
      </w:r>
      <w:r>
        <w:t xml:space="preserve">. URL: https://www.consultant.ru/document/cons_doc_LAW_78154/ (дата обращения: 17.04.2026).</w:t>
      </w:r>
    </w:p>
    <w:p>
      <w:pPr>
        <w:pStyle w:val="Compact"/>
        <w:numPr>
          <w:ilvl w:val="0"/>
          <w:numId w:val="1004"/>
        </w:numPr>
      </w:pPr>
      <w:r>
        <w:t xml:space="preserve">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URL: https://government.ru/docs/all/141579/ (дата обращения: 17.04.2026).</w:t>
      </w:r>
    </w:p>
    <w:p>
      <w:pPr>
        <w:pStyle w:val="Compact"/>
        <w:numPr>
          <w:ilvl w:val="0"/>
          <w:numId w:val="1004"/>
        </w:numPr>
      </w:pPr>
      <w:r>
        <w:t xml:space="preserve">Постановление Правительства РФ от 17.03.2023 N 405</w:t>
      </w:r>
      <w:r>
        <w:t xml:space="preserve"> </w:t>
      </w:r>
      <w:r>
        <w:t xml:space="preserve">“Об утверждении Правил получения согласия, указанного в пункте 6 части 5 статьи 26 Федерального закона от 29 декабря 2022 г. N 572-ФЗ, и формы согласия физического лица на размещение его биометрических персональных данных в региональном сегменте единой биометрической системы”</w:t>
      </w:r>
      <w:r>
        <w:t xml:space="preserve">. URL: https://publication.pravo.gov.ru/Document/View/0001202303200017?index=2 (дата обращения: 17.04.2026).</w:t>
      </w:r>
    </w:p>
    <w:p>
      <w:pPr>
        <w:pStyle w:val="Compact"/>
        <w:numPr>
          <w:ilvl w:val="0"/>
          <w:numId w:val="1004"/>
        </w:numPr>
      </w:pPr>
      <w:r>
        <w:t xml:space="preserve">Постановление Правительства РФ от 31.05.2023 N 883</w:t>
      </w:r>
      <w:r>
        <w:t xml:space="preserve"> </w:t>
      </w:r>
      <w:r>
        <w:t xml:space="preserve">“Об утверждении Положения о единой биометрической системе, в том числе о ее региональных сегментах, перечня случаев, при которых допускается обработка векторов единой биометрической системы, в том числе хранение, системными значимыми банками, а также перечня случаев, при которых не допускается использование региональных сегментов единой биометрической системы”</w:t>
      </w:r>
      <w:r>
        <w:t xml:space="preserve">. URL: https://www.consultant.ru/document/cons_doc_LAW_448591/ (дата обращения: 17.04.2026).</w:t>
      </w:r>
    </w:p>
    <w:p>
      <w:pPr>
        <w:pStyle w:val="Compact"/>
        <w:numPr>
          <w:ilvl w:val="0"/>
          <w:numId w:val="1004"/>
        </w:numPr>
      </w:pPr>
      <w:r>
        <w:t xml:space="preserve">Постановление Правительства РФ от 01.04.2024 N 408</w:t>
      </w:r>
      <w:r>
        <w:t xml:space="preserve"> </w:t>
      </w:r>
      <w:r>
        <w:t xml:space="preserve">“О видах биометрических персональных данных, на которые распространяется действие Федерального закона”</w:t>
      </w:r>
      <w:r>
        <w:t xml:space="preserve">Об осуществлении идентификации и (или) аутентификации физических лиц с использованием биометрических персональных данных…““. URL: https://publication.pravo.gov.ru/document/0001202404050032 (дата обращения: 17.04.2026).</w:t>
      </w:r>
    </w:p>
    <w:p>
      <w:pPr>
        <w:pStyle w:val="Compact"/>
        <w:numPr>
          <w:ilvl w:val="0"/>
          <w:numId w:val="1004"/>
        </w:numPr>
      </w:pPr>
      <w:r>
        <w:t xml:space="preserve">Постановление Правительства РФ от 21.06.2024 N 834</w:t>
      </w:r>
      <w:r>
        <w:t xml:space="preserve"> </w:t>
      </w:r>
      <w:r>
        <w:t xml:space="preserve">“Об определении организации, осуществляющей функции оператора единой биометрической системы”</w:t>
      </w:r>
      <w:r>
        <w:t xml:space="preserve">. URL: https://www.consultant.ru/document/cons_doc_LAW_479247/ (дата обращения: 17.04.2026).</w:t>
      </w:r>
    </w:p>
    <w:p>
      <w:pPr>
        <w:pStyle w:val="Compact"/>
        <w:numPr>
          <w:ilvl w:val="0"/>
          <w:numId w:val="1004"/>
        </w:numPr>
      </w:pPr>
      <w:r>
        <w:t xml:space="preserve">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(дата обращения: 17.04.2026).</w:t>
      </w:r>
    </w:p>
    <w:p>
      <w:pPr>
        <w:pStyle w:val="Compact"/>
        <w:numPr>
          <w:ilvl w:val="0"/>
          <w:numId w:val="1004"/>
        </w:numPr>
      </w:pPr>
      <w:r>
        <w:t xml:space="preserve">Постановление Правительства РФ от 21.02.2026 N 174</w:t>
      </w:r>
      <w:r>
        <w:t xml:space="preserve"> </w:t>
      </w:r>
      <w:r>
        <w:t xml:space="preserve">“О внесении изменений в акты Правительства Российской Федерации”</w:t>
      </w:r>
      <w:r>
        <w:t xml:space="preserve">. URL: https://government.ru/docs/all/163611/ (дата обращения: 17.04.2026).</w:t>
      </w:r>
    </w:p>
    <w:p>
      <w:pPr>
        <w:pStyle w:val="Compact"/>
        <w:numPr>
          <w:ilvl w:val="0"/>
          <w:numId w:val="1004"/>
        </w:numPr>
      </w:pPr>
      <w:r>
        <w:t xml:space="preserve">Постановление Правительства РФ от 18.11.2020 N 1853</w:t>
      </w:r>
      <w:r>
        <w:t xml:space="preserve"> </w:t>
      </w:r>
      <w:r>
        <w:t xml:space="preserve">“Об утверждении Правил предоставления гостиничных услуг в Российской Федерации”</w:t>
      </w:r>
      <w:r>
        <w:t xml:space="preserve">. URL: https://government.ru/docs/all/130977/ (дата обращения: 17.04.2026).</w:t>
      </w:r>
    </w:p>
    <w:p>
      <w:pPr>
        <w:pStyle w:val="Compact"/>
        <w:numPr>
          <w:ilvl w:val="0"/>
          <w:numId w:val="1004"/>
        </w:numPr>
      </w:pPr>
      <w:r>
        <w:t xml:space="preserve">Приказ Минцифры России от 19.06.2025 N 553</w:t>
      </w:r>
      <w:r>
        <w:t xml:space="preserve"> </w:t>
      </w:r>
      <w:r>
        <w:t xml:space="preserve">“О внесении изменений в приложения N N 1, 2 и 5 к приказу Министерства цифрового развития, связи и массовых коммуникаций Российской Федерации от 12 мая 2023 г. N 453”</w:t>
      </w:r>
      <w:r>
        <w:t xml:space="preserve">. URL: https://publication.pravo.gov.ru/document/0001202509170002 (дата обращения: 17.04.2026).</w:t>
      </w:r>
    </w:p>
    <w:p>
      <w:pPr>
        <w:pStyle w:val="Compact"/>
        <w:numPr>
          <w:ilvl w:val="0"/>
          <w:numId w:val="1004"/>
        </w:numPr>
      </w:pPr>
      <w:r>
        <w:t xml:space="preserve">Дмитрий Григоренко: Правительство внесло в Госдуму законопроект о биометрии в системах управления доступом // Правительство России. 24.01.2026. URL: https://government.ru/news/57680/ (дата обращения: 17.04.2026).</w:t>
      </w:r>
    </w:p>
    <w:p>
      <w:pPr>
        <w:pStyle w:val="Compact"/>
        <w:numPr>
          <w:ilvl w:val="0"/>
          <w:numId w:val="1004"/>
        </w:numPr>
      </w:pPr>
      <w:r>
        <w:t xml:space="preserve">Дмитрий Григоренко: В России успешно испытали сервис посадки на поезд по биометрии // Правительство России. 25.12.2025. URL: https://government.ru/news/57411/ (дата обращения: 17.04.2026).</w:t>
      </w:r>
    </w:p>
    <w:p>
      <w:pPr>
        <w:pStyle w:val="Compact"/>
        <w:numPr>
          <w:ilvl w:val="0"/>
          <w:numId w:val="1004"/>
        </w:numPr>
      </w:pPr>
      <w:r>
        <w:t xml:space="preserve">Дмитрий Григоренко: Для российских МФЦ разработан сервис самообслуживания // Правительство России. 13.11.2025. URL: https://government.ru/news/56922/ (дата обращения: 17.04.2026).</w:t>
      </w:r>
    </w:p>
    <w:p>
      <w:pPr>
        <w:pStyle w:val="Compact"/>
        <w:numPr>
          <w:ilvl w:val="0"/>
          <w:numId w:val="1004"/>
        </w:numPr>
      </w:pPr>
      <w:r>
        <w:t xml:space="preserve">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17.04.2026).</w:t>
      </w:r>
    </w:p>
    <w:p>
      <w:pPr>
        <w:pStyle w:val="Compact"/>
        <w:numPr>
          <w:ilvl w:val="0"/>
          <w:numId w:val="1004"/>
        </w:numPr>
      </w:pP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17.04.2026).</w:t>
      </w:r>
    </w:p>
    <w:p>
      <w:pPr>
        <w:pStyle w:val="Compact"/>
        <w:numPr>
          <w:ilvl w:val="0"/>
          <w:numId w:val="1004"/>
        </w:numPr>
      </w:pPr>
      <w:r>
        <w:t xml:space="preserve">Вопросы и ответы // Банк России. Раздел</w:t>
      </w:r>
      <w:r>
        <w:t xml:space="preserve"> </w:t>
      </w:r>
      <w:r>
        <w:t xml:space="preserve">“Удаленная идентификация”</w:t>
      </w:r>
      <w:r>
        <w:t xml:space="preserve">. URL: https://www.cbr.ru/fintech/faq_fintech/ (дата обращения: 17.04.2026).</w:t>
      </w:r>
    </w:p>
    <w:p>
      <w:pPr>
        <w:pStyle w:val="Compact"/>
        <w:numPr>
          <w:ilvl w:val="0"/>
          <w:numId w:val="1004"/>
        </w:numPr>
      </w:pPr>
      <w:r>
        <w:t xml:space="preserve">Удаленная идентификация // Банк России. URL: https://www.cbr.ru/fintech/digital_biometric_id/ (дата обращения: 17.04.2026).</w:t>
      </w:r>
    </w:p>
    <w:p>
      <w:pPr>
        <w:pStyle w:val="Compact"/>
        <w:numPr>
          <w:ilvl w:val="0"/>
          <w:numId w:val="1004"/>
        </w:numPr>
      </w:pPr>
      <w:r>
        <w:t xml:space="preserve">Перечень банков, в которых можно будет пройти регистрацию в ЕСИА и Единой биометрической системе // Банк России. URL: https://cbr.ru/fintech/digital_biometric_id/credit/ (дата обращения: 17.04.2026).</w:t>
      </w:r>
    </w:p>
    <w:p>
      <w:pPr>
        <w:pStyle w:val="Compact"/>
        <w:numPr>
          <w:ilvl w:val="0"/>
          <w:numId w:val="1004"/>
        </w:numPr>
      </w:pP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17.04.2026).</w:t>
      </w:r>
    </w:p>
    <w:p>
      <w:pPr>
        <w:pStyle w:val="Compact"/>
        <w:numPr>
          <w:ilvl w:val="0"/>
          <w:numId w:val="1004"/>
        </w:numPr>
      </w:pPr>
      <w:r>
        <w:t xml:space="preserve">Вестник Банка России. 2026. N 2 (2591). URL: https://www.cbr.ru/Queries/XsltBlock/File/185926/-1/2591 (дата обращения: 17.04.2026).</w:t>
      </w:r>
    </w:p>
    <w:p>
      <w:pPr>
        <w:pStyle w:val="Compact"/>
        <w:numPr>
          <w:ilvl w:val="0"/>
          <w:numId w:val="1004"/>
        </w:numPr>
      </w:pPr>
      <w:r>
        <w:t xml:space="preserve">Открытые API // Банк России. URL: https://www.cbr.ru/fintech/api/ (дата обращения: 17.04.2026).</w:t>
      </w:r>
    </w:p>
    <w:p>
      <w:pPr>
        <w:pStyle w:val="Compact"/>
        <w:numPr>
          <w:ilvl w:val="0"/>
          <w:numId w:val="1004"/>
        </w:numPr>
      </w:pPr>
      <w:r>
        <w:t xml:space="preserve">Операторы финансовых платформ // Банк России. URL: https://www.cbr.ru/finm_infrastructure/financial_platform_operators/ (дата обращения: 17.04.2026).</w:t>
      </w:r>
    </w:p>
    <w:p>
      <w:pPr>
        <w:pStyle w:val="Compact"/>
        <w:numPr>
          <w:ilvl w:val="0"/>
          <w:numId w:val="1004"/>
        </w:numPr>
      </w:pPr>
      <w:r>
        <w:t xml:space="preserve">Обзор операций, совершенных без добровольного согласия клиентов финансовых организаций, за 2025 год // Банк России. URL: https://www.cbr.ru/analytics/ib/operations_survey/2025/ (дата обращения: 17.04.2026).</w:t>
      </w:r>
    </w:p>
    <w:p>
      <w:pPr>
        <w:pStyle w:val="Compact"/>
        <w:numPr>
          <w:ilvl w:val="0"/>
          <w:numId w:val="1004"/>
        </w:numPr>
      </w:pPr>
      <w:r>
        <w:t xml:space="preserve">Тенденции на рынке МФО за 2025 год // Банк России. URL: https://cbr.ru/analytics/microfinance/mfo/2025_4/ (дата обращения: 17.04.2026).</w:t>
      </w:r>
    </w:p>
    <w:p>
      <w:pPr>
        <w:pStyle w:val="Compact"/>
        <w:numPr>
          <w:ilvl w:val="0"/>
          <w:numId w:val="1004"/>
        </w:numPr>
      </w:pPr>
      <w:r>
        <w:t xml:space="preserve">Противодействие нелегальной деятельности на финансовом рынке // Банк России. 2025. URL: https://www.cbr.ru/analytics/inside/2025_2/ (дата обращения: 17.04.2026).</w:t>
      </w:r>
    </w:p>
    <w:p>
      <w:pPr>
        <w:pStyle w:val="Compact"/>
        <w:numPr>
          <w:ilvl w:val="0"/>
          <w:numId w:val="1004"/>
        </w:numPr>
      </w:pPr>
      <w:r>
        <w:t xml:space="preserve">Письмо Роскомнадзора от 01.08.2024 N 62450-02-11/77</w:t>
      </w:r>
      <w:r>
        <w:t xml:space="preserve"> </w:t>
      </w:r>
      <w:r>
        <w:t xml:space="preserve">“Об обработке биометрических персональных данных”</w:t>
      </w:r>
      <w:r>
        <w:t xml:space="preserve">. URL: https://infosecportal.ru/zakonodatelstvo/pismo-roskomnadzora-ot-1-avgusta-2024-g-n-62450-02-11-77-ob-obrabotke-biometricheskih-personalnyh-dannyh/ (дата обращения: 17.04.2026).</w:t>
      </w:r>
    </w:p>
    <w:bookmarkEnd w:id="195"/>
    <w:bookmarkStart w:id="196" w:name="X4d6f242dbda629f013d288305c80bea64c3a547"/>
    <w:p>
      <w:pPr>
        <w:pStyle w:val="Heading2"/>
      </w:pPr>
      <w:r>
        <w:t xml:space="preserve">Акты судебной практики и международно-правовые источники</w:t>
      </w:r>
    </w:p>
    <w:p>
      <w:pPr>
        <w:pStyle w:val="Compact"/>
        <w:numPr>
          <w:ilvl w:val="0"/>
          <w:numId w:val="1005"/>
        </w:numPr>
      </w:pP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w:t>
      </w:r>
      <w:r>
        <w:t xml:space="preserve">О персональных данных” в связи с жалобой общества с ограниченной ответственностью</w:t>
      </w:r>
      <w:r>
        <w:t xml:space="preserve"> </w:t>
      </w:r>
      <w:r>
        <w:t xml:space="preserve">“МедРейтинг”</w:t>
      </w:r>
      <w:r>
        <w:t xml:space="preserve">“. URL: https://publication.pravo.gov.ru/Document/View/0001202105280003 (дата обращения: 17.04.2026).</w:t>
      </w:r>
    </w:p>
    <w:p>
      <w:pPr>
        <w:pStyle w:val="Compact"/>
        <w:numPr>
          <w:ilvl w:val="0"/>
          <w:numId w:val="1005"/>
        </w:numPr>
      </w:pPr>
      <w:r>
        <w:t xml:space="preserve">Постановление Конституционного Суда РФ от 09.07.2013 N 18-П</w:t>
      </w:r>
      <w:r>
        <w:t xml:space="preserve"> </w:t>
      </w:r>
      <w:r>
        <w:t xml:space="preserve">“По делу о проверке конституционности положений пунктов 1, 5 и 6 статьи 152 Гражданского кодекса Российской Федерации в связи с жалобой гражданина Е.В. Крылова”</w:t>
      </w:r>
      <w:r>
        <w:t xml:space="preserve">. URL: https://www.consultant.ru/document/cons_doc_LAW_149168/ (дата обращения: 17.04.2026).</w:t>
      </w:r>
    </w:p>
    <w:p>
      <w:pPr>
        <w:pStyle w:val="Compact"/>
        <w:numPr>
          <w:ilvl w:val="0"/>
          <w:numId w:val="1005"/>
        </w:numPr>
      </w:pP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w:t>
      </w:r>
      <w:r>
        <w:t xml:space="preserve">О персональных данных”“. URL: https://legalacts.ru/sud/opredelenie-konstitutsionnogo-suda-rf-ot-28092023-n-2201-o/ (дата обращения: 17.04.2026).</w:t>
      </w:r>
    </w:p>
    <w:p>
      <w:pPr>
        <w:pStyle w:val="Compact"/>
        <w:numPr>
          <w:ilvl w:val="0"/>
          <w:numId w:val="1005"/>
        </w:numPr>
      </w:pPr>
      <w:r>
        <w:rPr>
          <w:i/>
          <w:iCs/>
        </w:rPr>
        <w:t xml:space="preserve">Glukhin v. Russia</w:t>
      </w:r>
      <w:r>
        <w:t xml:space="preserve"> </w:t>
      </w:r>
      <w:r>
        <w:t xml:space="preserve">(Application no. 11519/20), Judgment of 04.07.2023, HUDOC ID 001-225655. URL: https://hudoc.echr.coe.int/eng?i=001-225655 (дата обращения: 17.04.2026).</w:t>
      </w:r>
    </w:p>
    <w:p>
      <w:pPr>
        <w:pStyle w:val="Compact"/>
        <w:numPr>
          <w:ilvl w:val="0"/>
          <w:numId w:val="1005"/>
        </w:numPr>
      </w:pPr>
      <w:r>
        <w:t xml:space="preserve">Use of facial-recognition technology breached rights of Moscow underground protestor: press release on the judgment in</w:t>
      </w:r>
      <w:r>
        <w:t xml:space="preserve"> </w:t>
      </w:r>
      <w:r>
        <w:rPr>
          <w:i/>
          <w:iCs/>
        </w:rPr>
        <w:t xml:space="preserve">Glukhin v. Russia</w:t>
      </w:r>
      <w:r>
        <w:t xml:space="preserve"> </w:t>
      </w:r>
      <w:r>
        <w:t xml:space="preserve">// European Court of Human Rights. 04.07.2023. URL: https://hudoc.echr.coe.int/app/conversion/pdf/?filename=Judgment+Glukhin+v.+Russia+-+use+of+facial-recognition+technology+against+Moscow+underground+protestor.pdf&amp;id=003-7694109-10618091&amp;library=ECHR (дата обращения: 17.04.2026).</w:t>
      </w:r>
    </w:p>
    <w:p>
      <w:pPr>
        <w:pStyle w:val="Compact"/>
        <w:numPr>
          <w:ilvl w:val="0"/>
          <w:numId w:val="1005"/>
        </w:numPr>
      </w:pPr>
      <w:r>
        <w:t xml:space="preserve">Judgment of the Court in Case C-205/21 |</w:t>
      </w:r>
      <w:r>
        <w:t xml:space="preserve"> </w:t>
      </w:r>
      <w:r>
        <w:rPr>
          <w:i/>
          <w:iCs/>
        </w:rPr>
        <w:t xml:space="preserve">Ministerstvo na vatreshnite raboti (Recording of biometric and genetic data by the police)</w:t>
      </w:r>
      <w:r>
        <w:t xml:space="preserve">, 26.01.2023 // CURIA. URL: https://curia.europa.eu/jcms/upload/docs/application/pdf/2023-01/cp230016en.pdf (дата обращения: 17.04.2026).</w:t>
      </w:r>
    </w:p>
    <w:p>
      <w:pPr>
        <w:pStyle w:val="Compact"/>
        <w:numPr>
          <w:ilvl w:val="0"/>
          <w:numId w:val="1005"/>
        </w:numPr>
      </w:pPr>
      <w:r>
        <w:t xml:space="preserve">Regulation (EU) 2016/679 of the European Parliament and of the Council of 27 April 2016 (General Data Protection Regulation). URL: https://eur-lex.europa.eu/eli/reg/2016/679/oj (дата обращения: 17.04.2026).</w:t>
      </w:r>
    </w:p>
    <w:p>
      <w:pPr>
        <w:pStyle w:val="Compact"/>
        <w:numPr>
          <w:ilvl w:val="0"/>
          <w:numId w:val="1005"/>
        </w:numPr>
      </w:pPr>
      <w:r>
        <w:t xml:space="preserve">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URL: https://eur-lex.europa.eu/legal-content/EN/AUTO/?uri=celex:02016L0680-20160504 (дата обращения: 17.04.2026).</w:t>
      </w:r>
    </w:p>
    <w:p>
      <w:pPr>
        <w:pStyle w:val="Compact"/>
        <w:numPr>
          <w:ilvl w:val="0"/>
          <w:numId w:val="1005"/>
        </w:numPr>
      </w:pPr>
      <w:r>
        <w:t xml:space="preserve">Regulation (EU) 2024/1689 of the European Parliament and of the Council of 13 June 2024 laying down harmonised rules on artificial intelligence (Artificial Intelligence Act). URL: https://eur-lex.europa.eu/legal-content/EN/TXT/?uri=celex:32024R1689 (дата обращения: 17.04.2026).</w:t>
      </w:r>
    </w:p>
    <w:p>
      <w:pPr>
        <w:pStyle w:val="Compact"/>
        <w:numPr>
          <w:ilvl w:val="0"/>
          <w:numId w:val="1005"/>
        </w:numPr>
      </w:pPr>
      <w:r>
        <w:t xml:space="preserve">Opinion 11/2024 on the use of facial recognition to streamline airport passengers’ flow (compatibility with Articles 5(1)(e) and (f), 25 and 32 GDPR), adopted on 23.05.2024 // European Data Protection Board. URL: https://www.edpb.europa.eu/system/files/2024-05/edpb_opinion_202411_facialrecognitionairports_en.pdf (дата обращения: 17.04.2026).</w:t>
      </w:r>
    </w:p>
    <w:p>
      <w:pPr>
        <w:pStyle w:val="Compact"/>
        <w:numPr>
          <w:ilvl w:val="0"/>
          <w:numId w:val="1005"/>
        </w:numPr>
      </w:pPr>
      <w:r>
        <w:t xml:space="preserve">Guidelines 05/2022 on the use of facial recognition technology in the area of law enforcement. Final version, 17.05.2023 // European Data Protection Board. URL: https://www.edpb.europa.eu/our-work-tools/our-documents/guidelines/guidelines-052022-use-facial-recognition-technology-area_en (дата обращения: 17.04.2026).</w:t>
      </w:r>
    </w:p>
    <w:bookmarkEnd w:id="196"/>
    <w:bookmarkStart w:id="197" w:name="научная-литература"/>
    <w:p>
      <w:pPr>
        <w:pStyle w:val="Heading2"/>
      </w:pPr>
      <w:r>
        <w:t xml:space="preserve">Научная литература</w:t>
      </w:r>
    </w:p>
    <w:p>
      <w:pPr>
        <w:pStyle w:val="Compact"/>
        <w:numPr>
          <w:ilvl w:val="0"/>
          <w:numId w:val="1006"/>
        </w:numPr>
      </w:pPr>
      <w:r>
        <w:t xml:space="preserve">Волкова Г. Е. Право на неприкосновенность частной жизни в цифровую эпоху //</w:t>
      </w:r>
      <w:r>
        <w:t xml:space="preserve"> </w:t>
      </w:r>
      <w:r>
        <w:rPr>
          <w:i/>
          <w:iCs/>
        </w:rPr>
        <w:t xml:space="preserve">Философия права</w:t>
      </w:r>
      <w:r>
        <w:t xml:space="preserve">. 2022. N 4(103). URL: https://cyberleninka.ru/article/n/pravo-na-neprikosnovennost-chastnoy-zhizni-v-tsifrovuyu-epohu (дата обращения: 17.04.2026).</w:t>
      </w:r>
    </w:p>
    <w:p>
      <w:pPr>
        <w:pStyle w:val="Compact"/>
        <w:numPr>
          <w:ilvl w:val="0"/>
          <w:numId w:val="1006"/>
        </w:numPr>
      </w:pPr>
      <w:r>
        <w:t xml:space="preserve">Митянов З. О. Трансформация легальной дефиниции биометрических персональных данных в условиях развития систем искусственного интеллекта. 2025. URL: https://www.consultant.ru/edu/student/nauka/download/mityanov_z_o.pdf (дата обращения: 17.04.2026).</w:t>
      </w:r>
    </w:p>
    <w:p>
      <w:pPr>
        <w:pStyle w:val="Compact"/>
        <w:numPr>
          <w:ilvl w:val="0"/>
          <w:numId w:val="1006"/>
        </w:numPr>
      </w:pPr>
      <w:r>
        <w:t xml:space="preserve">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(дата обращения: 17.04.2026).</w:t>
      </w:r>
    </w:p>
    <w:p>
      <w:pPr>
        <w:pStyle w:val="Compact"/>
        <w:numPr>
          <w:ilvl w:val="0"/>
          <w:numId w:val="1006"/>
        </w:numPr>
      </w:pPr>
      <w:r>
        <w:t xml:space="preserve">Насыров Р. Р., Ибрагимов Р. Р. Биометрические персональные данные: проблемы теории и правового регулирования //</w:t>
      </w:r>
      <w:r>
        <w:t xml:space="preserve"> </w:t>
      </w:r>
      <w:r>
        <w:rPr>
          <w:i/>
          <w:iCs/>
        </w:rPr>
        <w:t xml:space="preserve">Право и государство: теория и практика</w:t>
      </w:r>
      <w:r>
        <w:t xml:space="preserve">. 2024. N 7. URL: https://www.elibrary.ru/item.asp?id=68507670 (дата обращения: 17.04.2026).</w:t>
      </w:r>
    </w:p>
    <w:p>
      <w:pPr>
        <w:pStyle w:val="Compact"/>
        <w:numPr>
          <w:ilvl w:val="0"/>
          <w:numId w:val="1006"/>
        </w:numPr>
      </w:pPr>
      <w:r>
        <w:t xml:space="preserve">Петрова Д. А., Папкова В. А. Обработка биометрических персональных данных в свете изменения законодательства //</w:t>
      </w:r>
      <w:r>
        <w:t xml:space="preserve"> </w:t>
      </w:r>
      <w:r>
        <w:rPr>
          <w:i/>
          <w:iCs/>
        </w:rPr>
        <w:t xml:space="preserve">Правовая политика и правовая жизнь</w:t>
      </w:r>
      <w:r>
        <w:t xml:space="preserve">. 2024. N 3(97). С. 329-336. DOI: 10.24412/1608-8794-2024-3-329-336. URL: https://xn–80af5bzc.xn–p1ai/documents/nauch_izdania/PPPZ202403.pdf (дата обращения: 17.04.2026).</w:t>
      </w:r>
    </w:p>
    <w:p>
      <w:pPr>
        <w:pStyle w:val="Compact"/>
        <w:numPr>
          <w:ilvl w:val="0"/>
          <w:numId w:val="1006"/>
        </w:numPr>
      </w:pPr>
      <w:r>
        <w:t xml:space="preserve">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17.04.2026).</w:t>
      </w:r>
    </w:p>
    <w:p>
      <w:pPr>
        <w:pStyle w:val="Compact"/>
        <w:numPr>
          <w:ilvl w:val="0"/>
          <w:numId w:val="1006"/>
        </w:numPr>
      </w:pPr>
      <w:r>
        <w:t xml:space="preserve">Утеген Д., Рахметов Б. Ж. Технология распознавания лиц и обеспечение безопасности биометрических данных: компаративный анализ моделей правового регулирования //</w:t>
      </w:r>
      <w:r>
        <w:t xml:space="preserve"> </w:t>
      </w:r>
      <w:r>
        <w:rPr>
          <w:i/>
          <w:iCs/>
        </w:rPr>
        <w:t xml:space="preserve">Journal of Digital Technologies and Law</w:t>
      </w:r>
      <w:r>
        <w:t xml:space="preserve">. 2023. Т. 1. N 3. С. 825-844. DOI: 10.21202/jdtl.2023.36. URL: https://www.lawjournal.digital/jour/article/view/247 (дата обращения: 17.04.2026).</w:t>
      </w:r>
    </w:p>
    <w:p>
      <w:pPr>
        <w:pStyle w:val="Compact"/>
        <w:numPr>
          <w:ilvl w:val="0"/>
          <w:numId w:val="1006"/>
        </w:numPr>
      </w:pPr>
      <w:r>
        <w:t xml:space="preserve">Хандрыга Д. О. Правовое регулирование биометрических персональных данных в Российской Федерации //</w:t>
      </w:r>
      <w:r>
        <w:t xml:space="preserve"> </w:t>
      </w:r>
      <w:r>
        <w:rPr>
          <w:i/>
          <w:iCs/>
        </w:rPr>
        <w:t xml:space="preserve">Вестник Российской правовой академии</w:t>
      </w:r>
      <w:r>
        <w:t xml:space="preserve">. 2024. N 1. С. 191-201. DOI: 10.33874/2072-9936-2024-0-1-191-201. URL: https://journal.rpa-mu.ru/Media/journal/archiv/2024/1/VestnRPA_2024_1-s19.pdf (дата обращения: 17.04.2026).</w:t>
      </w:r>
    </w:p>
    <w:p>
      <w:pPr>
        <w:pStyle w:val="Compact"/>
        <w:numPr>
          <w:ilvl w:val="0"/>
          <w:numId w:val="1006"/>
        </w:numPr>
      </w:pPr>
      <w:r>
        <w:t xml:space="preserve">Solove D. J., Schwartz P. M.</w:t>
      </w:r>
      <w:r>
        <w:t xml:space="preserve"> </w:t>
      </w:r>
      <w:r>
        <w:rPr>
          <w:i/>
          <w:iCs/>
        </w:rPr>
        <w:t xml:space="preserve">Privacy Law Fundamentals</w:t>
      </w:r>
      <w:r>
        <w:t xml:space="preserve">. 6th ed. Portsmouth, NH: IAPP, 2022. URL: https://papers.ssrn.com/sol3/papers.cfm?abstract_id=4072205 (дата обращения: 17.04.2026).</w:t>
      </w:r>
    </w:p>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Дмитрий Григоренко: Правительство внесло в Госдуму законопроект о биометрии в системах управления доступом // Правительство России. 24.01.2026. URL: https://government.ru/news/57680/; Дмитрий Григоренко: Для российских МФЦ разработан сервис самообслуживания // Правительство России. 13.11.2025. URL: https://government.ru/news/56922/; Дмитрий Григоренко: В России успешно испытали сервис посадки на поезд по биометрии // Правительство России. 25.12.2025. URL: https://government.ru/news/57411/;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17.04.2026).</w:t>
      </w:r>
    </w:p>
  </w:footnote>
  <w:footnote w:id="11">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Дмитрий Григоренко: Правительство внесло в Госдуму законопроект о биометрии в системах управления доступом // Правительство России. 24.01.2026. URL: https://government.ru/news/57680/; Дмитрий Григоренко: Для российских МФЦ разработан сервис самообслуживания // Правительство России. 13.11.2025. URL: https://government.ru/news/56922/; Дмитрий Григоренко: В России успешно испытали сервис посадки на поезд по биометрии // Правительство России. 25.12.2025. URL: https://government.ru/news/57411/;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17.04.2026).</w:t>
      </w:r>
    </w:p>
  </w:footnote>
  <w:footnote w:id="12">
    <w:p>
      <w:pPr>
        <w:pStyle w:val="FootnoteText"/>
      </w:pPr>
      <w:r>
        <w:rPr>
          <w:rStyle w:val="FootnoteReference"/>
        </w:rPr>
        <w:footnoteRef/>
      </w:r>
      <w:r>
        <w:t xml:space="preserve"> </w:t>
      </w:r>
      <w:r>
        <w:t xml:space="preserve">Волкова Г. Е. Право на неприкосновенность частной жизни в цифровую эпоху //</w:t>
      </w:r>
      <w:r>
        <w:t xml:space="preserve"> </w:t>
      </w:r>
      <w:r>
        <w:rPr>
          <w:i/>
          <w:iCs/>
        </w:rPr>
        <w:t xml:space="preserve">Философия права</w:t>
      </w:r>
      <w:r>
        <w:t xml:space="preserve">. 2022. N 4(103). URL: https://cyberleninka.ru/article/n/pravo-na-neprikosnovennost-chastnoy-zhizni-v-tsifrovuyu-epohu;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Насыров Р. Р., Ибрагимов Р. Р. Биометрические персональные данные: проблемы теории и правового регулирования //</w:t>
      </w:r>
      <w:r>
        <w:t xml:space="preserve"> </w:t>
      </w:r>
      <w:r>
        <w:rPr>
          <w:i/>
          <w:iCs/>
        </w:rPr>
        <w:t xml:space="preserve">Право и государство: теория и практика</w:t>
      </w:r>
      <w:r>
        <w:t xml:space="preserve">. 2024. N 7. URL: https://www.elibrary.ru/item.asp?id=68507670; Хандрыга Д. О. Правовое регулирование биометрических персональных данных в Российской Федерации //</w:t>
      </w:r>
      <w:r>
        <w:t xml:space="preserve"> </w:t>
      </w:r>
      <w:r>
        <w:rPr>
          <w:i/>
          <w:iCs/>
        </w:rPr>
        <w:t xml:space="preserve">Вестник Российской правовой академии</w:t>
      </w:r>
      <w:r>
        <w:t xml:space="preserve">. 2024. N 1. С. 191-201. DOI: 10.33874/2072-9936-2024-0-1-191-201. URL: https://journal.rpa-mu.ru/Media/journal/archiv/2024/1/VestnRPA_2024_1-s19.pdf; Петрова Д. А., Папкова В. А. Обработка биометрических персональных данных в свете изменения законодательства //</w:t>
      </w:r>
      <w:r>
        <w:t xml:space="preserve"> </w:t>
      </w:r>
      <w:r>
        <w:rPr>
          <w:i/>
          <w:iCs/>
        </w:rPr>
        <w:t xml:space="preserve">Правовая политика и правовая жизнь</w:t>
      </w:r>
      <w:r>
        <w:t xml:space="preserve">. 2024. N 3(97). С. 329-336. DOI: 10.24412/1608-8794-2024-3-329-336. URL: https://xn–80af5bzc.xn–p1ai/documents/nauch_izdania/PPPZ202403.pdf; Митянов З. О. Трансформация легальной дефиниции биометрических персональных данных в условиях развития систем искусственного интеллекта. 2025. URL: https://www.consultant.ru/edu/student/nauka/download/mityanov_z_o.pdf; Утеген Д., Рахметов Б. Ж. Технология распознавания лиц и обеспечение безопасности биометрических данных: компаративный анализ моделей правового регулирования //</w:t>
      </w:r>
      <w:r>
        <w:t xml:space="preserve"> </w:t>
      </w:r>
      <w:r>
        <w:rPr>
          <w:i/>
          <w:iCs/>
        </w:rPr>
        <w:t xml:space="preserve">Journal of Digital Technologies and Law</w:t>
      </w:r>
      <w:r>
        <w:t xml:space="preserve">. 2023. Т. 1. N 3. С. 825-844. DOI: 10.21202/jdtl.2023.36. URL: https://www.lawjournal.digital/jour/article/view/247 (дата обращения: 17.04.2026).</w:t>
      </w:r>
    </w:p>
  </w:footnote>
  <w:footnote w:id="13">
    <w:p>
      <w:pPr>
        <w:pStyle w:val="FootnoteText"/>
      </w:pPr>
      <w:r>
        <w:rPr>
          <w:rStyle w:val="FootnoteReference"/>
        </w:rPr>
        <w:footnoteRef/>
      </w:r>
      <w:r>
        <w:t xml:space="preserve"> </w:t>
      </w:r>
      <w:r>
        <w:t xml:space="preserve">Волкова Г. Е. Право на неприкосновенность частной жизни в цифровую эпоху //</w:t>
      </w:r>
      <w:r>
        <w:t xml:space="preserve"> </w:t>
      </w:r>
      <w:r>
        <w:rPr>
          <w:i/>
          <w:iCs/>
        </w:rPr>
        <w:t xml:space="preserve">Философия права</w:t>
      </w:r>
      <w:r>
        <w:t xml:space="preserve">. 2022. N 4(103). URL: https://cyberleninka.ru/article/n/pravo-na-neprikosnovennost-chastnoy-zhizni-v-tsifrovuyu-epohu;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Насыров Р. Р., Ибрагимов Р. Р. Биометрические персональные данные: проблемы теории и правового регулирования //</w:t>
      </w:r>
      <w:r>
        <w:t xml:space="preserve"> </w:t>
      </w:r>
      <w:r>
        <w:rPr>
          <w:i/>
          <w:iCs/>
        </w:rPr>
        <w:t xml:space="preserve">Право и государство: теория и практика</w:t>
      </w:r>
      <w:r>
        <w:t xml:space="preserve">. 2024. N 7. URL: https://www.elibrary.ru/item.asp?id=68507670; Хандрыга Д. О. Правовое регулирование биометрических персональных данных в Российской Федерации //</w:t>
      </w:r>
      <w:r>
        <w:t xml:space="preserve"> </w:t>
      </w:r>
      <w:r>
        <w:rPr>
          <w:i/>
          <w:iCs/>
        </w:rPr>
        <w:t xml:space="preserve">Вестник Российской правовой академии</w:t>
      </w:r>
      <w:r>
        <w:t xml:space="preserve">. 2024. N 1. С. 191-201. DOI: 10.33874/2072-9936-2024-0-1-191-201. URL: https://journal.rpa-mu.ru/Media/journal/archiv/2024/1/VestnRPA_2024_1-s19.pdf; Петрова Д. А., Папкова В. А. Обработка биометрических персональных данных в свете изменения законодательства //</w:t>
      </w:r>
      <w:r>
        <w:t xml:space="preserve"> </w:t>
      </w:r>
      <w:r>
        <w:rPr>
          <w:i/>
          <w:iCs/>
        </w:rPr>
        <w:t xml:space="preserve">Правовая политика и правовая жизнь</w:t>
      </w:r>
      <w:r>
        <w:t xml:space="preserve">. 2024. N 3(97). С. 329-336. DOI: 10.24412/1608-8794-2024-3-329-336. URL: https://xn–80af5bzc.xn–p1ai/documents/nauch_izdania/PPPZ202403.pdf; Митянов З. О. Трансформация легальной дефиниции биометрических персональных данных в условиях развития систем искусственного интеллекта. 2025. URL: https://www.consultant.ru/edu/student/nauka/download/mityanov_z_o.pdf; Утеген Д., Рахметов Б. Ж. Технология распознавания лиц и обеспечение безопасности биометрических данных: компаративный анализ моделей правового регулирования //</w:t>
      </w:r>
      <w:r>
        <w:t xml:space="preserve"> </w:t>
      </w:r>
      <w:r>
        <w:rPr>
          <w:i/>
          <w:iCs/>
        </w:rPr>
        <w:t xml:space="preserve">Journal of Digital Technologies and Law</w:t>
      </w:r>
      <w:r>
        <w:t xml:space="preserve">. 2023. Т. 1. N 3. С. 825-844. DOI: 10.21202/jdtl.2023.36. URL: https://www.lawjournal.digital/jour/article/view/247 (дата обращения: 17.04.2026).</w:t>
      </w:r>
    </w:p>
  </w:footnote>
  <w:footnote w:id="14">
    <w:p>
      <w:pPr>
        <w:pStyle w:val="FootnoteText"/>
      </w:pPr>
      <w:r>
        <w:rPr>
          <w:rStyle w:val="FootnoteReference"/>
        </w:rPr>
        <w:footnoteRef/>
      </w:r>
      <w:r>
        <w:t xml:space="preserve"> </w:t>
      </w:r>
      <w:r>
        <w:t xml:space="preserve">Конституция Российской Федерации (принята всенародным голосованием 12.12.1993; с изм., одобренными в ходе общероссийского голосования 01.07.2020). URL: https://www.consultant.ru/document/cons_doc_LAW_28399/; Федеральный закон от 27.07.2006 N 152-ФЗ</w:t>
      </w:r>
      <w:r>
        <w:t xml:space="preserve"> </w:t>
      </w:r>
      <w:r>
        <w:t xml:space="preserve">“О персональных данных”</w:t>
      </w:r>
      <w:r>
        <w:t xml:space="preserve"> </w:t>
      </w:r>
      <w:r>
        <w:t xml:space="preserve">(ред. от 24.06.2025). URL: https://www.consultant.ru/document/cons_doc_LAW_61801/; 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w:t>
      </w:r>
      <w:r>
        <w:t xml:space="preserve"> </w:t>
      </w:r>
      <w:r>
        <w:t xml:space="preserve">(ред. от 28.12.2024). URL: https://www.consultant.ru/document/cons_doc_LAW_436110/; Постановление Конституционного Суда РФ от 25.05.2021 N 22-П. URL: https://publication.pravo.gov.ru/Document/View/0001202105280003;</w:t>
      </w:r>
      <w:r>
        <w:t xml:space="preserve"> </w:t>
      </w:r>
      <w:r>
        <w:rPr>
          <w:i/>
          <w:iCs/>
        </w:rPr>
        <w:t xml:space="preserve">Glukhin v. Russia</w:t>
      </w:r>
      <w:r>
        <w:t xml:space="preserve"> </w:t>
      </w:r>
      <w:r>
        <w:t xml:space="preserve">(Application no. 11519/20), Judgment of 04.07.2023, HUDOC ID 001-225655. URL: https://hudoc.echr.coe.int/eng?i=001-225655; Judgment of the Court in Case C-205/21 |</w:t>
      </w:r>
      <w:r>
        <w:t xml:space="preserve"> </w:t>
      </w:r>
      <w:r>
        <w:rPr>
          <w:i/>
          <w:iCs/>
        </w:rPr>
        <w:t xml:space="preserve">Ministerstvo na vatreshnite raboti (Recording of biometric and genetic data by the police)</w:t>
      </w:r>
      <w:r>
        <w:t xml:space="preserve">, 26.01.2023 // CURIA. URL: https://curia.europa.eu/jcms/upload/docs/application/pdf/2023-01/cp230016en.pdf; Regulation (EU) 2016/679 (GDPR). URL: https://eur-lex.europa.eu/eli/reg/2016/679/oj; Regulation (EU) 2024/1689 (AI Act). URL: https://eur-lex.europa.eu/legal-content/EN/TXT/?uri=celex:32024R1689; Opinion 11/2024 on the use of facial recognition to streamline airport passengers’ flow // European Data Protection Board. URL: https://www.edpb.europa.eu/system/files/2024-05/edpb_opinion_202411_facialrecognitionairports_en.pdf (дата обращения: 17.04.2026).</w:t>
      </w:r>
    </w:p>
  </w:footnote>
  <w:footnote w:id="16">
    <w:p>
      <w:pPr>
        <w:pStyle w:val="FootnoteText"/>
      </w:pPr>
      <w:r>
        <w:rPr>
          <w:rStyle w:val="FootnoteReference"/>
        </w:rPr>
        <w:footnoteRef/>
      </w:r>
      <w:r>
        <w:t xml:space="preserve"> </w:t>
      </w:r>
      <w:r>
        <w:t xml:space="preserve">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16.04.2026).</w:t>
      </w:r>
    </w:p>
  </w:footnote>
  <w:footnote w:id="17">
    <w:p>
      <w:pPr>
        <w:pStyle w:val="FootnoteText"/>
      </w:pPr>
      <w:r>
        <w:rPr>
          <w:rStyle w:val="FootnoteReference"/>
        </w:rPr>
        <w:footnoteRef/>
      </w:r>
      <w:r>
        <w:t xml:space="preserve"> </w:t>
      </w:r>
      <w:r>
        <w:t xml:space="preserve">Конституция Российской Федерации (принята всенародным голосованием 12.12.1993; с изм., одобренными в ходе общероссийского голосования 01.07.2020). Ст. 23, 24, 55. URL: https://www.consultant.ru/document/cons_doc_LAW_28399/ (дата обращения: 16.04.2026).</w:t>
      </w:r>
    </w:p>
  </w:footnote>
  <w:footnote w:id="18">
    <w:p>
      <w:pPr>
        <w:pStyle w:val="FootnoteText"/>
      </w:pPr>
      <w:r>
        <w:rPr>
          <w:rStyle w:val="FootnoteReference"/>
        </w:rPr>
        <w:footnoteRef/>
      </w:r>
      <w:r>
        <w:t xml:space="preserve"> </w:t>
      </w:r>
      <w:r>
        <w:t xml:space="preserve">Конституция Российской Федерации. Ст. 23. URL: https://www.consultant.ru/document/cons_doc_LAW_28399/ (дата обращения: 16.04.2026); 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2, 2.1. URL: https://www.consultant.ru/document/cons_doc_LAW_385041/ (дата обращения: 16.04.2026).</w:t>
      </w:r>
    </w:p>
  </w:footnote>
  <w:footnote w:id="19">
    <w:p>
      <w:pPr>
        <w:pStyle w:val="FootnoteText"/>
      </w:pPr>
      <w:r>
        <w:rPr>
          <w:rStyle w:val="FootnoteReference"/>
        </w:rPr>
        <w:footnoteRef/>
      </w:r>
      <w:r>
        <w:t xml:space="preserve"> </w:t>
      </w:r>
      <w:r>
        <w:t xml:space="preserve">Конституция Российской Федерации. Ст. 23 ч. 2. URL: https://www.consultant.ru/document/cons_doc_LAW_28399/ (дата обращения: 16.04.2026).</w:t>
      </w:r>
    </w:p>
  </w:footnote>
  <w:footnote w:id="20">
    <w:p>
      <w:pPr>
        <w:pStyle w:val="FootnoteText"/>
      </w:pPr>
      <w:r>
        <w:rPr>
          <w:rStyle w:val="FootnoteReference"/>
        </w:rPr>
        <w:footnoteRef/>
      </w:r>
      <w:r>
        <w:t xml:space="preserve"> </w:t>
      </w:r>
      <w:r>
        <w:t xml:space="preserve">Конституция Российской Федерации. Ст. 24. URL: https://www.consultant.ru/document/cons_doc_LAW_28399/ (дата обращения: 16.04.2026).</w:t>
      </w:r>
    </w:p>
  </w:footnote>
  <w:footnote w:id="21">
    <w:p>
      <w:pPr>
        <w:pStyle w:val="FootnoteText"/>
      </w:pPr>
      <w:r>
        <w:rPr>
          <w:rStyle w:val="FootnoteReference"/>
        </w:rPr>
        <w:footnoteRef/>
      </w:r>
      <w:r>
        <w:t xml:space="preserve"> </w:t>
      </w:r>
      <w:r>
        <w:t xml:space="preserve">Конституция Российской Федерации. Ст. 24. URL: https://www.consultant.ru/document/cons_doc_LAW_28399/ (дата обращения: 16.04.2026).</w:t>
      </w:r>
    </w:p>
  </w:footnote>
  <w:footnote w:id="22">
    <w:p>
      <w:pPr>
        <w:pStyle w:val="FootnoteText"/>
      </w:pPr>
      <w:r>
        <w:rPr>
          <w:rStyle w:val="FootnoteReference"/>
        </w:rPr>
        <w:footnoteRef/>
      </w:r>
      <w:r>
        <w:t xml:space="preserve"> </w:t>
      </w:r>
      <w:r>
        <w:t xml:space="preserve">Конституция Российской Федерации. Ст. 55. URL: https://www.consultant.ru/document/cons_doc_LAW_28399/ (дата обращения: 16.04.2026).</w:t>
      </w:r>
    </w:p>
  </w:footnote>
  <w:footnote w:id="23">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Ст. 10.1; ст. 11, ч. 1-3. В ч. 2 ст. 11 без согласия субъекта допускается обработка биометрических персональных данных лишь в прямо перечисленных законом случаях; действующая редакция учитывает, в частности, изменения, внесенные Федеральными законами от 28.12.2024 N 519-ФЗ и от 23.05.2025 N 121-ФЗ. URL: https://www.consultant.ru/document/cons_doc_LAW_61801/; https://www.consultant.ru/document/cons_doc_LAW_61801/7336c78762a98b5f4f698b8c3800dca1111acc16/ (дата обращения: 16.04.2026).</w:t>
      </w:r>
    </w:p>
  </w:footnote>
  <w:footnote w:id="24">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r>
        <w:t xml:space="preserve"> </w:t>
      </w:r>
      <w:r>
        <w:t xml:space="preserve">(ред. от 28.12.2024). Ст. 1, 3. Действующая редакция сформирована с учетом Федеральных законов от 08.08.2024 N 303-ФЗ, от 26.12.2024 N 494-ФЗ и от 28.12.2024 N 522-ФЗ. URL: https://www.consultant.ru/document/cons_doc_LAW_436110/; https://www.consultant.ru/document/cons_doc_LAW_436110/15f0efd3c8311b53608abd85f9c02157e1457f55/ (дата обращения: 16.04.2026).</w:t>
      </w:r>
    </w:p>
  </w:footnote>
  <w:footnote w:id="25">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2, 2.1. URL: https://www.consultant.ru/document/cons_doc_LAW_385041/ (дата обращения: 16.04.2026).</w:t>
      </w:r>
    </w:p>
  </w:footnote>
  <w:footnote w:id="26">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3, 3.1, 4, резолютивная часть. URL: https://www.consultant.ru/document/cons_doc_LAW_385041/ (дата обращения: 16.04.2026).</w:t>
      </w:r>
    </w:p>
  </w:footnote>
  <w:footnote w:id="27">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2, 2.1. URL: https://www.consultant.ru/document/cons_doc_LAW_385041/ (дата обращения: 16.04.2026); Постановление Конституционного Суда РФ от 09.07.2013 N 18-П</w:t>
      </w:r>
      <w:r>
        <w:t xml:space="preserve"> </w:t>
      </w:r>
      <w:r>
        <w:t xml:space="preserve">“По делу о проверке конституционности положений пунктов 1, 5 и 6 статьи 152 Гражданского кодекса Российской Федерации в связи с жалобой гражданина Е.В. Крылова”</w:t>
      </w:r>
      <w:r>
        <w:t xml:space="preserve">. П. 2. URL: https://www.consultant.ru/document/cons_doc_LAW_149168/ (дата обращения: 16.04.2026).</w:t>
      </w:r>
    </w:p>
  </w:footnote>
  <w:footnote w:id="28">
    <w:p>
      <w:pPr>
        <w:pStyle w:val="FootnoteText"/>
      </w:pPr>
      <w:r>
        <w:rPr>
          <w:rStyle w:val="FootnoteReference"/>
        </w:rPr>
        <w:footnoteRef/>
      </w:r>
      <w:r>
        <w:t xml:space="preserve"> </w:t>
      </w:r>
      <w:r>
        <w:t xml:space="preserve">Волкова Г. Е. Право на неприкосновенность частной жизни в цифровую эпоху //</w:t>
      </w:r>
      <w:r>
        <w:t xml:space="preserve"> </w:t>
      </w:r>
      <w:r>
        <w:rPr>
          <w:i/>
          <w:iCs/>
        </w:rPr>
        <w:t xml:space="preserve">Философия права</w:t>
      </w:r>
      <w:r>
        <w:t xml:space="preserve">. 2022. N 4(103). URL: https://cyberleninka.ru/article/n/pravo-na-neprikosnovennost-chastnoy-zhizni-v-tsifrovuyu-epohu;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16.04.2026).</w:t>
      </w:r>
    </w:p>
  </w:footnote>
  <w:footnote w:id="29">
    <w:p>
      <w:pPr>
        <w:pStyle w:val="FootnoteText"/>
      </w:pPr>
      <w:r>
        <w:rPr>
          <w:rStyle w:val="FootnoteReference"/>
        </w:rPr>
        <w:footnoteRef/>
      </w:r>
      <w:r>
        <w:t xml:space="preserve"> </w:t>
      </w:r>
      <w:r>
        <w:t xml:space="preserve">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(дата обращения: 16.04.2026).</w:t>
      </w:r>
    </w:p>
  </w:footnote>
  <w:footnote w:id="31">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11, ч. 1. URL: https://www.consultant.ru/document/cons_doc_LAW_61801/7336c78762a98b5f4f698b8c3800dca1111acc16/ (дата обращения: 16.04.2026).</w:t>
      </w:r>
    </w:p>
  </w:footnote>
  <w:footnote w:id="32">
    <w:p>
      <w:pPr>
        <w:pStyle w:val="FootnoteText"/>
      </w:pPr>
      <w:r>
        <w:rPr>
          <w:rStyle w:val="FootnoteReference"/>
        </w:rPr>
        <w:footnoteRef/>
      </w:r>
      <w:r>
        <w:t xml:space="preserve"> </w:t>
      </w:r>
      <w:r>
        <w:t xml:space="preserve">Regulation (EU) 2016/679 (GDPR). Art. 4(14), Art. 9(1), Recital 51. URL: https://eur-lex.europa.eu/eli/reg/2016/679/oj (дата обращения: 16.04.2026).</w:t>
      </w:r>
    </w:p>
  </w:footnote>
  <w:footnote w:id="33">
    <w:p>
      <w:pPr>
        <w:pStyle w:val="FootnoteText"/>
      </w:pPr>
      <w:r>
        <w:rPr>
          <w:rStyle w:val="FootnoteReference"/>
        </w:rPr>
        <w:footnoteRef/>
      </w:r>
      <w:r>
        <w:t xml:space="preserve"> </w:t>
      </w:r>
      <w:r>
        <w:t xml:space="preserve">Митянов З. О. Трансформация легальной дефиниции биометрических персональных данных в условиях развития систем искусственного интеллекта. 2025. URL: https://www.consultant.ru/edu/student/nauka/download/mityanov_z_o.pdf (дата обращения: 16.04.2026).</w:t>
      </w:r>
    </w:p>
  </w:footnote>
  <w:footnote w:id="34">
    <w:p>
      <w:pPr>
        <w:pStyle w:val="FootnoteText"/>
      </w:pPr>
      <w:r>
        <w:rPr>
          <w:rStyle w:val="FootnoteReference"/>
        </w:rPr>
        <w:footnoteRef/>
      </w:r>
      <w:r>
        <w:t xml:space="preserve"> </w:t>
      </w:r>
      <w:r>
        <w:t xml:space="preserve">Утеген Д., Рахметов Б. Ж. Технология распознавания лиц и обеспечение безопасности биометрических данных: компаративный анализ моделей правового регулирования //</w:t>
      </w:r>
      <w:r>
        <w:t xml:space="preserve"> </w:t>
      </w:r>
      <w:r>
        <w:rPr>
          <w:i/>
          <w:iCs/>
        </w:rPr>
        <w:t xml:space="preserve">Journal of Digital Technologies and Law</w:t>
      </w:r>
      <w:r>
        <w:t xml:space="preserve">. 2023. Т. 1. N 3. С. 825-844. DOI: 10.21202/jdtl.2023.36. URL: https://www.lawjournal.digital/jour/article/view/247;</w:t>
      </w:r>
      <w:r>
        <w:t xml:space="preserve"> </w:t>
      </w:r>
      <w:r>
        <w:rPr>
          <w:i/>
          <w:iCs/>
        </w:rPr>
        <w:t xml:space="preserve">Glukhin v. Russia</w:t>
      </w:r>
      <w:r>
        <w:t xml:space="preserve"> </w:t>
      </w:r>
      <w:r>
        <w:t xml:space="preserve">(Application no. 11519/20), Judgment of 04.07.2023, HUDOC ID 001-225655. URL: https://hudoc.echr.coe.int/eng?i=001-225655 (дата обращения: 16.04.2026).</w:t>
      </w:r>
    </w:p>
  </w:footnote>
  <w:footnote w:id="35">
    <w:p>
      <w:pPr>
        <w:pStyle w:val="FootnoteText"/>
      </w:pPr>
      <w:r>
        <w:rPr>
          <w:rStyle w:val="FootnoteReference"/>
        </w:rPr>
        <w:footnoteRef/>
      </w:r>
      <w:r>
        <w:t xml:space="preserve"> </w:t>
      </w:r>
      <w:r>
        <w:t xml:space="preserve">Митянов З. О. Трансформация легальной дефиниции биометрических персональных данных в условиях развития систем искусственного интеллекта. С. 2-4 PDF-версии. URL: https://www.consultant.ru/edu/student/nauka/download/mityanov_z_o.pdf (дата обращения: 16.04.2026).</w:t>
      </w:r>
    </w:p>
  </w:footnote>
  <w:footnote w:id="36">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11, ч. 3. URL: https://www.consultant.ru/document/cons_doc_LAW_61801/7336c78762a98b5f4f698b8c3800dca1111acc16/ (дата обращения: 16.04.2026).</w:t>
      </w:r>
    </w:p>
  </w:footnote>
  <w:footnote w:id="37">
    <w:p>
      <w:pPr>
        <w:pStyle w:val="FootnoteText"/>
      </w:pPr>
      <w:r>
        <w:rPr>
          <w:rStyle w:val="FootnoteReference"/>
        </w:rPr>
        <w:footnoteRef/>
      </w:r>
      <w:r>
        <w:t xml:space="preserve"> </w:t>
      </w:r>
      <w:r>
        <w:t xml:space="preserve">Постановление Правительства РФ от 06.07.2008 N 512 (ред. от 27.12.2012)</w:t>
      </w:r>
      <w:r>
        <w:t xml:space="preserve"> </w:t>
      </w:r>
      <w:r>
        <w:t xml:space="preserve">“Об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w:t>
      </w:r>
      <w:r>
        <w:t xml:space="preserve">. URL: https://www.consultant.ru/document/cons_doc_LAW_78154/ (дата обращения: 16.04.2026); Хандрыга Д. О. Правовое регулирование биометрических персональных данных в Российской Федерации //</w:t>
      </w:r>
      <w:r>
        <w:t xml:space="preserve"> </w:t>
      </w:r>
      <w:r>
        <w:rPr>
          <w:i/>
          <w:iCs/>
        </w:rPr>
        <w:t xml:space="preserve">Вестник Российской правовой академии</w:t>
      </w:r>
      <w:r>
        <w:t xml:space="preserve">. 2024. N 1. С. 191-201. DOI: 10.33874/2072-9936-2024-0-1-191-201. URL: https://journal.rpa-mu.ru/Media/journal/archiv/2024/1/VestnRPA_2024_1-s19.pdf (дата обращения: 16.04.2026).</w:t>
      </w:r>
    </w:p>
  </w:footnote>
  <w:footnote w:id="38">
    <w:p>
      <w:pPr>
        <w:pStyle w:val="FootnoteText"/>
      </w:pPr>
      <w:r>
        <w:rPr>
          <w:rStyle w:val="FootnoteReference"/>
        </w:rPr>
        <w:footnoteRef/>
      </w:r>
      <w:r>
        <w:t xml:space="preserve"> </w:t>
      </w:r>
      <w:r>
        <w:t xml:space="preserve">Федеральный закон от 29.12.2022 N 572-ФЗ. Ст. 3, ч. 11-16. URL: https://www.consultant.ru/document/cons_doc_LAW_436110/15f0efd3c8311b53608abd85f9c02157e1457f55/ (дата обращения: 16.04.2026).</w:t>
      </w:r>
    </w:p>
  </w:footnote>
  <w:footnote w:id="39">
    <w:p>
      <w:pPr>
        <w:pStyle w:val="FootnoteText"/>
      </w:pPr>
      <w:r>
        <w:rPr>
          <w:rStyle w:val="FootnoteReference"/>
        </w:rPr>
        <w:footnoteRef/>
      </w:r>
      <w:r>
        <w:t xml:space="preserve"> </w:t>
      </w:r>
      <w:r>
        <w:t xml:space="preserve">Федеральный закон от 29.12.2022 N 572-ФЗ. Ст. 15. URL: https://www.consultant.ru/document/cons_doc_LAW_436110/b599780118c89e6e1fba4fb8a98aa3e77fb72fcc/ (дата обращения: 16.04.2026).</w:t>
      </w:r>
    </w:p>
  </w:footnote>
  <w:footnote w:id="40">
    <w:p>
      <w:pPr>
        <w:pStyle w:val="FootnoteText"/>
      </w:pPr>
      <w:r>
        <w:rPr>
          <w:rStyle w:val="FootnoteReference"/>
        </w:rPr>
        <w:footnoteRef/>
      </w:r>
      <w:r>
        <w:t xml:space="preserve"> </w:t>
      </w:r>
      <w:r>
        <w:t xml:space="preserve">Постановление Правительства РФ от 01.04.2024 N 408</w:t>
      </w:r>
      <w:r>
        <w:t xml:space="preserve"> </w:t>
      </w:r>
      <w:r>
        <w:t xml:space="preserve">“О видах биометрических персональных данных, на которые распространяется действие Федерального закона…”</w:t>
      </w:r>
      <w:r>
        <w:t xml:space="preserve"> </w:t>
      </w:r>
      <w:r>
        <w:t xml:space="preserve">URL: https://www.consultant.ru/document/cons_doc_LAW_473908/ (дата обращения: 16.04.2026).</w:t>
      </w:r>
    </w:p>
  </w:footnote>
  <w:footnote w:id="41">
    <w:p>
      <w:pPr>
        <w:pStyle w:val="FootnoteText"/>
      </w:pPr>
      <w:r>
        <w:rPr>
          <w:rStyle w:val="FootnoteReference"/>
        </w:rPr>
        <w:footnoteRef/>
      </w:r>
      <w:r>
        <w:t xml:space="preserve"> </w:t>
      </w:r>
      <w:r>
        <w:t xml:space="preserve">Федеральный закон от 27.07.2006 N 152-ФЗ. Ст. 10, 10.1, 11 (ред. от 24.06.2025). URL: https://www.consultant.ru/document/cons_doc_LAW_61801/; ст. 10: https://www.consultant.ru/document/cons_doc_LAW_61801/26edb2934b899bf9c74c3a8f7e574651c6565e6d/ (дата обращения: 16.04.2026).</w:t>
      </w:r>
    </w:p>
  </w:footnote>
  <w:footnote w:id="42">
    <w:p>
      <w:pPr>
        <w:pStyle w:val="FootnoteText"/>
      </w:pPr>
      <w:r>
        <w:rPr>
          <w:rStyle w:val="FootnoteReference"/>
        </w:rPr>
        <w:footnoteRef/>
      </w:r>
      <w:r>
        <w:t xml:space="preserve"> </w:t>
      </w:r>
      <w:r>
        <w:t xml:space="preserve">Regulation (EU) 2016/679 (GDPR). Art. 4(14), Art. 9(1), Recital 51. URL: https://eur-lex.europa.eu/eli/reg/2016/679/oj (дата обращения: 16.04.2026).</w:t>
      </w:r>
    </w:p>
  </w:footnote>
  <w:footnote w:id="43">
    <w:p>
      <w:pPr>
        <w:pStyle w:val="FootnoteText"/>
      </w:pPr>
      <w:r>
        <w:rPr>
          <w:rStyle w:val="FootnoteReference"/>
        </w:rPr>
        <w:footnoteRef/>
      </w:r>
      <w:r>
        <w:t xml:space="preserve"> </w:t>
      </w:r>
      <w:r>
        <w:t xml:space="preserve">Федеральный закон от 29.12.2022 N 572-ФЗ. Ст. 3, ч. 8. URL: https://www.consultant.ru/document/cons_doc_LAW_436110/15f0efd3c8311b53608abd85f9c02157e1457f55/ (дата обращения: 16.04.2026); Regulation (EU) 2016/679 (GDPR). Art. 4(13), 4(14). URL: https://eur-lex.europa.eu/eli/reg/2016/679/oj (дата обращения: 16.04.2026).</w:t>
      </w:r>
    </w:p>
  </w:footnote>
  <w:footnote w:id="45">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r>
        <w:t xml:space="preserve"> </w:t>
      </w:r>
      <w:r>
        <w:t xml:space="preserve">(ред. от 28.12.2024). Ст. 2, 3, 4, 9, 10. URL: https://www.consultant.ru/document/cons_doc_LAW_436110/ (дата обращения: 16.04.2026).</w:t>
      </w:r>
    </w:p>
  </w:footnote>
  <w:footnote w:id="46">
    <w:p>
      <w:pPr>
        <w:pStyle w:val="FootnoteText"/>
      </w:pPr>
      <w:r>
        <w:rPr>
          <w:rStyle w:val="FootnoteReference"/>
        </w:rPr>
        <w:footnoteRef/>
      </w:r>
      <w:r>
        <w:t xml:space="preserve"> </w:t>
      </w:r>
      <w:r>
        <w:t xml:space="preserve">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(дата обращения: 16.04.2026);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16.04.2026).</w:t>
      </w:r>
    </w:p>
  </w:footnote>
  <w:footnote w:id="47">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r>
        <w:t xml:space="preserve"> </w:t>
      </w:r>
      <w:r>
        <w:t xml:space="preserve">(ред. от 28.12.2024). Ст. 2, 3, 4, 9, 10. URL: https://www.consultant.ru/document/cons_doc_LAW_436110/ (дата обращения: 16.04.2026).</w:t>
      </w:r>
    </w:p>
  </w:footnote>
  <w:footnote w:id="48">
    <w:p>
      <w:pPr>
        <w:pStyle w:val="FootnoteText"/>
      </w:pPr>
      <w:r>
        <w:rPr>
          <w:rStyle w:val="FootnoteReference"/>
        </w:rPr>
        <w:footnoteRef/>
      </w:r>
      <w:r>
        <w:t xml:space="preserve"> </w:t>
      </w:r>
      <w:r>
        <w:t xml:space="preserve">Приказ Минцифры России от 19.06.2025 N 553</w:t>
      </w:r>
      <w:r>
        <w:t xml:space="preserve"> </w:t>
      </w:r>
      <w:r>
        <w:t xml:space="preserve">“О внесении изменений в приложения N N 1, 2 и 5 к приказу Министерства цифрового развития, связи и массовых коммуникаций Российской Федерации от 12 мая 2023 г. N 453”</w:t>
      </w:r>
      <w:r>
        <w:t xml:space="preserve"> </w:t>
      </w:r>
      <w:r>
        <w:t xml:space="preserve">(зарегистрирован в Минюсте России 17.09.2025 N 83555; номер опубликования: 0001202509170002). URL: https://publication.pravo.gov.ru/document/0001202509170002 (дата обращения: 16.04.2026).</w:t>
      </w:r>
    </w:p>
  </w:footnote>
  <w:footnote w:id="49">
    <w:p>
      <w:pPr>
        <w:pStyle w:val="FootnoteText"/>
      </w:pPr>
      <w:r>
        <w:rPr>
          <w:rStyle w:val="FootnoteReference"/>
        </w:rPr>
        <w:footnoteRef/>
      </w:r>
      <w:r>
        <w:t xml:space="preserve"> </w:t>
      </w:r>
      <w:r>
        <w:t xml:space="preserve">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(дата обращения: 16.04.2026);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16.04.2026).</w:t>
      </w:r>
    </w:p>
  </w:footnote>
  <w:footnote w:id="50">
    <w:p>
      <w:pPr>
        <w:pStyle w:val="FootnoteText"/>
      </w:pPr>
      <w:r>
        <w:rPr>
          <w:rStyle w:val="FootnoteReference"/>
        </w:rPr>
        <w:footnoteRef/>
      </w:r>
      <w:r>
        <w:t xml:space="preserve"> </w:t>
      </w:r>
      <w:r>
        <w:t xml:space="preserve">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w:t>
      </w:r>
      <w:r>
        <w:t xml:space="preserve">(в ред. постановлений Правительства РФ от 18.01.2025 N 15, от 07.08.2025 N 1183, от 19.09.2025 N 1443). URL: https://government.ru/docs/all/141579/ (дата обращения: 16.04.2026); 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(дата обращения: 16.04.2026).</w:t>
      </w:r>
    </w:p>
  </w:footnote>
  <w:footnote w:id="51">
    <w:p>
      <w:pPr>
        <w:pStyle w:val="FootnoteText"/>
      </w:pPr>
      <w:r>
        <w:rPr>
          <w:rStyle w:val="FootnoteReference"/>
        </w:rPr>
        <w:footnoteRef/>
      </w:r>
      <w:r>
        <w:t xml:space="preserve"> </w:t>
      </w:r>
      <w:r>
        <w:t xml:space="preserve">Дмитрий Григоренко: Правительство внесло в Госдуму законопроект о биометрии в системах управления доступом // Правительство России. 24.01.2026. Законопроект N 1131094-8. URL: https://government.ru/news/57680/ (дата обращения: 16.04.2026).</w:t>
      </w:r>
    </w:p>
  </w:footnote>
  <w:footnote w:id="52">
    <w:p>
      <w:pPr>
        <w:pStyle w:val="FootnoteText"/>
      </w:pPr>
      <w:r>
        <w:rPr>
          <w:rStyle w:val="FootnoteReference"/>
        </w:rPr>
        <w:footnoteRef/>
      </w:r>
      <w:r>
        <w:t xml:space="preserve"> </w:t>
      </w:r>
      <w:r>
        <w:t xml:space="preserve">Федеральный закон от 01.04.2025 N 41-ФЗ</w:t>
      </w:r>
      <w:r>
        <w:t xml:space="preserve"> </w:t>
      </w:r>
      <w:r>
        <w:t xml:space="preserve">“О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w:t>
      </w:r>
      <w:r>
        <w:t xml:space="preserve">. Номер опубликования: 0001202504010010. URL: https://publication.pravo.gov.ru/document/0001202504010010 (дата обращения: 16.04.2026).</w:t>
      </w:r>
    </w:p>
  </w:footnote>
  <w:footnote w:id="53">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54">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55">
    <w:p>
      <w:pPr>
        <w:pStyle w:val="FootnoteText"/>
      </w:pPr>
      <w:r>
        <w:rPr>
          <w:rStyle w:val="FootnoteReference"/>
        </w:rPr>
        <w:footnoteRef/>
      </w:r>
      <w:r>
        <w:t xml:space="preserve"> </w:t>
      </w: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16.04.2026); Вестник Банка России N 2 (2591) от 21.01.2026. URL: https://www.cbr.ru/Queries/XsltBlock/File/185926/-1/2591 (дата обращения: 16.04.2026).</w:t>
      </w:r>
    </w:p>
  </w:footnote>
  <w:footnote w:id="56">
    <w:p>
      <w:pPr>
        <w:pStyle w:val="FootnoteText"/>
      </w:pPr>
      <w:r>
        <w:rPr>
          <w:rStyle w:val="FootnoteReference"/>
        </w:rPr>
        <w:footnoteRef/>
      </w:r>
      <w:r>
        <w:t xml:space="preserve"> </w:t>
      </w: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16.04.2026); Вестник Банка России N 2 (2591) от 21.01.2026. URL: https://www.cbr.ru/Queries/XsltBlock/File/185926/-1/2591 (дата обращения: 16.04.2026).</w:t>
      </w:r>
    </w:p>
  </w:footnote>
  <w:footnote w:id="57">
    <w:p>
      <w:pPr>
        <w:pStyle w:val="FootnoteText"/>
      </w:pPr>
      <w:r>
        <w:rPr>
          <w:rStyle w:val="FootnoteReference"/>
        </w:rPr>
        <w:footnoteRef/>
      </w:r>
      <w:r>
        <w:t xml:space="preserve"> </w:t>
      </w:r>
      <w:r>
        <w:t xml:space="preserve">Вопросы и ответы // Банк России. Обновлено: 18.02.2026. URL: https://www.cbr.ru/fintech/faq_fintech/ (дата обращения: 16.04.2026).</w:t>
      </w:r>
    </w:p>
  </w:footnote>
  <w:footnote w:id="58">
    <w:p>
      <w:pPr>
        <w:pStyle w:val="FootnoteText"/>
      </w:pPr>
      <w:r>
        <w:rPr>
          <w:rStyle w:val="FootnoteReference"/>
        </w:rPr>
        <w:footnoteRef/>
      </w:r>
      <w:r>
        <w:t xml:space="preserve"> </w:t>
      </w: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16.04.2026); Вестник Банка России N 2 (2591) от 21.01.2026. URL: https://www.cbr.ru/Queries/XsltBlock/File/185926/-1/2591 (дата обращения: 16.04.2026).</w:t>
      </w:r>
    </w:p>
  </w:footnote>
  <w:footnote w:id="59">
    <w:p>
      <w:pPr>
        <w:pStyle w:val="FootnoteText"/>
      </w:pPr>
      <w:r>
        <w:rPr>
          <w:rStyle w:val="FootnoteReference"/>
        </w:rPr>
        <w:footnoteRef/>
      </w:r>
      <w:r>
        <w:t xml:space="preserve"> </w:t>
      </w:r>
      <w:r>
        <w:t xml:space="preserve">Дмитрий Григоренко: Для российских МФЦ разработан сервис самообслуживания // Правительство России. 13.11.2025. URL: https://government.ru/news/56922/; Дмитрий Григоренко: В России успешно испытали сервис посадки на поезд по биометрии // Правительство России. 25.12.2025. URL: https://government.ru/news/57411/ (дата обращения: 16.04.2026).</w:t>
      </w:r>
    </w:p>
  </w:footnote>
  <w:footnote w:id="60">
    <w:p>
      <w:pPr>
        <w:pStyle w:val="FootnoteText"/>
      </w:pPr>
      <w:r>
        <w:rPr>
          <w:rStyle w:val="FootnoteReference"/>
        </w:rPr>
        <w:footnoteRef/>
      </w:r>
      <w:r>
        <w:t xml:space="preserve"> </w:t>
      </w:r>
      <w:r>
        <w:t xml:space="preserve">Дмитрий Григоренко: Для российских МФЦ разработан сервис самообслуживания // Правительство России. 13.11.2025. URL: https://government.ru/news/56922/; Дмитрий Григоренко: В России успешно испытали сервис посадки на поезд по биометрии // Правительство России. 25.12.2025. URL: https://government.ru/news/57411/ (дата обращения: 16.04.2026).</w:t>
      </w:r>
    </w:p>
  </w:footnote>
  <w:footnote w:id="61">
    <w:p>
      <w:pPr>
        <w:pStyle w:val="FootnoteText"/>
      </w:pPr>
      <w:r>
        <w:rPr>
          <w:rStyle w:val="FootnoteReference"/>
        </w:rPr>
        <w:footnoteRef/>
      </w:r>
      <w:r>
        <w:t xml:space="preserve"> </w:t>
      </w:r>
      <w:r>
        <w:t xml:space="preserve">Постановление Правительства РФ от 21.02.2026 N 174</w:t>
      </w:r>
      <w:r>
        <w:t xml:space="preserve"> </w:t>
      </w:r>
      <w:r>
        <w:t xml:space="preserve">“О внесении изменений в акты Правительства Российской Федерации”</w:t>
      </w:r>
      <w:r>
        <w:t xml:space="preserve">. URL: https://government.ru/docs/all/163611/ (дата обращения: 16.04.2026); Правила предоставления гостиничных услуг в Российской Федерации в актуальной редакции, учитывающей использование ЕБС. URL: https://government.ru/docs/all/130977/ (дата обращения: 16.04.2026).</w:t>
      </w:r>
    </w:p>
  </w:footnote>
  <w:footnote w:id="62">
    <w:p>
      <w:pPr>
        <w:pStyle w:val="FootnoteText"/>
      </w:pPr>
      <w:r>
        <w:rPr>
          <w:rStyle w:val="FootnoteReference"/>
        </w:rPr>
        <w:footnoteRef/>
      </w:r>
      <w:r>
        <w:t xml:space="preserve"> </w:t>
      </w:r>
      <w:r>
        <w:t xml:space="preserve">Постановление Правительства РФ от 21.02.2026 N 174</w:t>
      </w:r>
      <w:r>
        <w:t xml:space="preserve"> </w:t>
      </w:r>
      <w:r>
        <w:t xml:space="preserve">“О внесении изменений в акты Правительства Российской Федерации”</w:t>
      </w:r>
      <w:r>
        <w:t xml:space="preserve">. URL: https://government.ru/docs/all/163611/ (дата обращения: 16.04.2026); Правила предоставления гостиничных услуг в Российской Федерации в актуальной редакции, учитывающей использование ЕБС. URL: https://government.ru/docs/all/130977/ (дата обращения: 16.04.2026).</w:t>
      </w:r>
    </w:p>
  </w:footnote>
  <w:footnote w:id="63">
    <w:p>
      <w:pPr>
        <w:pStyle w:val="FootnoteText"/>
      </w:pPr>
      <w:r>
        <w:rPr>
          <w:rStyle w:val="FootnoteReference"/>
        </w:rPr>
        <w:footnoteRef/>
      </w:r>
      <w:r>
        <w:t xml:space="preserve"> </w:t>
      </w:r>
      <w:r>
        <w:t xml:space="preserve">Федеральный закон от 29.12.2022 N 572-ФЗ. Ст. 3, ч. 11-13, 16-18. URL: https://www.consultant.ru/document/cons_doc_LAW_436110/15f0efd3c8311b53608abd85f9c02157e1457f55/ (дата обращения: 16.04.2026); 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2-4. URL: https://www.consultant.ru/document/cons_doc_LAW_385041/ (дата обращения: 16.04.2026).</w:t>
      </w:r>
    </w:p>
  </w:footnote>
  <w:footnote w:id="64">
    <w:p>
      <w:pPr>
        <w:pStyle w:val="FootnoteText"/>
      </w:pPr>
      <w:r>
        <w:rPr>
          <w:rStyle w:val="FootnoteReference"/>
        </w:rPr>
        <w:footnoteRef/>
      </w:r>
      <w:r>
        <w:t xml:space="preserve"> </w:t>
      </w:r>
      <w:r>
        <w:t xml:space="preserve">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w:t>
      </w:r>
      <w:r>
        <w:t xml:space="preserve">(в ред. постановлений Правительства РФ от 18.01.2025 N 15, от 07.08.2025 N 1183, от 19.09.2025 N 1443). URL: https://government.ru/docs/all/141579/ (дата обращения: 16.04.2026); 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(дата обращения: 16.04.2026).</w:t>
      </w:r>
    </w:p>
  </w:footnote>
  <w:footnote w:id="65">
    <w:p>
      <w:pPr>
        <w:pStyle w:val="FootnoteText"/>
      </w:pPr>
      <w:r>
        <w:rPr>
          <w:rStyle w:val="FootnoteReference"/>
        </w:rPr>
        <w:footnoteRef/>
      </w:r>
      <w:r>
        <w:t xml:space="preserve"> </w:t>
      </w:r>
      <w:r>
        <w:t xml:space="preserve">Дмитрий Григоренко: Правительство внесло в Госдуму законопроект о биометрии в системах управления доступом // Правительство России. 24.01.2026. Законопроект N 1131094-8. URL: https://government.ru/news/57680/ (дата обращения: 16.04.2026).</w:t>
      </w:r>
    </w:p>
  </w:footnote>
  <w:footnote w:id="66">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67">
    <w:p>
      <w:pPr>
        <w:pStyle w:val="FootnoteText"/>
      </w:pPr>
      <w:r>
        <w:rPr>
          <w:rStyle w:val="FootnoteReference"/>
        </w:rPr>
        <w:footnoteRef/>
      </w:r>
      <w:r>
        <w:t xml:space="preserve"> </w:t>
      </w:r>
      <w:r>
        <w:t xml:space="preserve">Дмитрий Григоренко: Для российских МФЦ разработан сервис самообслуживания // Правительство России. 13.11.2025. URL: https://government.ru/news/56922/; Дмитрий Григоренко: В России успешно испытали сервис посадки на поезд по биометрии // Правительство России. 25.12.2025. URL: https://government.ru/news/57411/ (дата обращения: 16.04.2026).</w:t>
      </w:r>
    </w:p>
  </w:footnote>
  <w:footnote w:id="68">
    <w:p>
      <w:pPr>
        <w:pStyle w:val="FootnoteText"/>
      </w:pPr>
      <w:r>
        <w:rPr>
          <w:rStyle w:val="FootnoteReference"/>
        </w:rPr>
        <w:footnoteRef/>
      </w:r>
      <w:r>
        <w:t xml:space="preserve"> </w:t>
      </w:r>
      <w:r>
        <w:t xml:space="preserve">Постановление Правительства РФ от 21.02.2026 N 174</w:t>
      </w:r>
      <w:r>
        <w:t xml:space="preserve"> </w:t>
      </w:r>
      <w:r>
        <w:t xml:space="preserve">“О внесении изменений в акты Правительства Российской Федерации”</w:t>
      </w:r>
      <w:r>
        <w:t xml:space="preserve">. URL: https://government.ru/docs/all/163611/ (дата обращения: 16.04.2026); Правила предоставления гостиничных услуг в Российской Федерации в актуальной редакции, учитывающей использование ЕБС. URL: https://government.ru/docs/all/130977/ (дата обращения: 16.04.2026).</w:t>
      </w:r>
    </w:p>
  </w:footnote>
  <w:footnote w:id="71">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URL: https://www.consultant.ru/document/cons_doc_LAW_61801/; 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w:t>
      </w:r>
      <w:r>
        <w:t xml:space="preserve"> </w:t>
      </w:r>
      <w:r>
        <w:t xml:space="preserve">(ред. от 28.12.2024). URL: https://www.consultant.ru/document/cons_doc_LAW_436110/ (дата обращения: 16.04.2026).</w:t>
      </w:r>
    </w:p>
  </w:footnote>
  <w:footnote w:id="72">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Ст. 2, ст. 5. URL: https://www.consultant.ru/document/cons_doc_LAW_61801/; https://www.consultant.ru/document/cons_doc_LAW_61801/96fbc469f91f57235cc842a85e0516a99f23dc85/ (дата обращения: 16.04.2026).</w:t>
      </w:r>
    </w:p>
  </w:footnote>
  <w:footnote w:id="73">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9 (в ред. от 24.06.2025). URL: https://www.consultant.ru/document/cons_doc_LAW_61801/6c94959bc017ac80140621762d2ac59f6006b08c/ (дата обращения: 16.04.2026).</w:t>
      </w:r>
    </w:p>
  </w:footnote>
  <w:footnote w:id="74">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11, ч. 1-3. URL: https://www.consultant.ru/document/cons_doc_LAW_61801/7336c78762a98b5f4f698b8c3800dca1111acc16/ (дата обращения: 16.04.2026).</w:t>
      </w:r>
    </w:p>
  </w:footnote>
  <w:footnote w:id="75">
    <w:p>
      <w:pPr>
        <w:pStyle w:val="FootnoteText"/>
      </w:pPr>
      <w:r>
        <w:rPr>
          <w:rStyle w:val="FootnoteReference"/>
        </w:rPr>
        <w:footnoteRef/>
      </w:r>
      <w:r>
        <w:t xml:space="preserve"> </w:t>
      </w:r>
      <w:r>
        <w:t xml:space="preserve">Федеральный закон от 29.12.2022 N 572-ФЗ. Ст. 2, п. 4; ст. 8, ч. 1. URL: https://www.consultant.ru/document/cons_doc_LAW_436110/c5051782233acca771e9adb35b47d3fb82c9ff1c/; https://www.consultant.ru/document/cons_doc_LAW_436110/3a108d4b8ab193b90666a1cc410b2c5a7b6064ed/ (дата обращения: 16.04.2026).</w:t>
      </w:r>
    </w:p>
  </w:footnote>
  <w:footnote w:id="76">
    <w:p>
      <w:pPr>
        <w:pStyle w:val="FootnoteText"/>
      </w:pPr>
      <w:r>
        <w:rPr>
          <w:rStyle w:val="FootnoteReference"/>
        </w:rPr>
        <w:footnoteRef/>
      </w:r>
      <w:r>
        <w:t xml:space="preserve"> </w:t>
      </w:r>
      <w:r>
        <w:t xml:space="preserve">Федеральный закон от 29.12.2022 N 572-ФЗ. Ст. 3, ч. 1-3. URL: https://www.consultant.ru/document/cons_doc_LAW_436110/15f0efd3c8311b53608abd85f9c02157e1457f55/ (дата обращения: 16.04.2026).</w:t>
      </w:r>
    </w:p>
  </w:footnote>
  <w:footnote w:id="77">
    <w:p>
      <w:pPr>
        <w:pStyle w:val="FootnoteText"/>
      </w:pPr>
      <w:r>
        <w:rPr>
          <w:rStyle w:val="FootnoteReference"/>
        </w:rPr>
        <w:footnoteRef/>
      </w:r>
      <w:r>
        <w:t xml:space="preserve"> </w:t>
      </w:r>
      <w:r>
        <w:t xml:space="preserve">Федеральный закон от 29.12.2022 N 572-ФЗ. Ст. 3, ч. 11-13. URL: https://www.consultant.ru/document/cons_doc_LAW_436110/15f0efd3c8311b53608abd85f9c02157e1457f55/ (дата обращения: 16.04.2026).</w:t>
      </w:r>
    </w:p>
  </w:footnote>
  <w:footnote w:id="78">
    <w:p>
      <w:pPr>
        <w:pStyle w:val="FootnoteText"/>
      </w:pPr>
      <w:r>
        <w:rPr>
          <w:rStyle w:val="FootnoteReference"/>
        </w:rPr>
        <w:footnoteRef/>
      </w:r>
      <w:r>
        <w:t xml:space="preserve"> </w:t>
      </w:r>
      <w:r>
        <w:t xml:space="preserve">Федеральный закон от 29.12.2022 N 572-ФЗ. Ст. 3, ч. 14-18. URL: https://www.consultant.ru/document/cons_doc_LAW_436110/15f0efd3c8311b53608abd85f9c02157e1457f55/ (дата обращения: 16.04.2026).</w:t>
      </w:r>
    </w:p>
  </w:footnote>
  <w:footnote w:id="79">
    <w:p>
      <w:pPr>
        <w:pStyle w:val="FootnoteText"/>
      </w:pPr>
      <w:r>
        <w:rPr>
          <w:rStyle w:val="FootnoteReference"/>
        </w:rPr>
        <w:footnoteRef/>
      </w:r>
      <w:r>
        <w:t xml:space="preserve"> </w:t>
      </w:r>
      <w:r>
        <w:t xml:space="preserve">Федеральный закон от 29.12.2022 N 572-ФЗ. Ст. 3, ч. 8. URL: https://www.consultant.ru/document/cons_doc_LAW_436110/15f0efd3c8311b53608abd85f9c02157e1457f55/ (дата обращения: 16.04.2026).</w:t>
      </w:r>
    </w:p>
  </w:footnote>
  <w:footnote w:id="80">
    <w:p>
      <w:pPr>
        <w:pStyle w:val="FootnoteText"/>
      </w:pPr>
      <w:r>
        <w:rPr>
          <w:rStyle w:val="FootnoteReference"/>
        </w:rPr>
        <w:footnoteRef/>
      </w:r>
      <w:r>
        <w:t xml:space="preserve"> </w:t>
      </w:r>
      <w:r>
        <w:t xml:space="preserve">Федеральный закон от 29.12.2022 N 572-ФЗ. Ст. 4, ч. 1-13; ст. 9, ч. 3-5; ст. 10, ч. 1-6. URL: https://www.consultant.ru/document/cons_doc_LAW_436110/10aee05e12277c35818b46632ac3c9dd2d327657/; https://www.consultant.ru/document/cons_doc_LAW_436110/eb49e4b6b3961c97b3a6a669352f5e911234ccf1/; https://www.consultant.ru/document/cons_doc_LAW_436110/f3008796e35445a5adad9236c1a058645dc1fc4a/ (дата обращения: 16.04.2026).</w:t>
      </w:r>
    </w:p>
  </w:footnote>
  <w:footnote w:id="81">
    <w:p>
      <w:pPr>
        <w:pStyle w:val="FootnoteText"/>
      </w:pPr>
      <w:r>
        <w:rPr>
          <w:rStyle w:val="FootnoteReference"/>
        </w:rPr>
        <w:footnoteRef/>
      </w:r>
      <w:r>
        <w:t xml:space="preserve"> </w:t>
      </w:r>
      <w:r>
        <w:t xml:space="preserve">Федеральный закон от 29.12.2022 N 572-ФЗ. Ст. 4, ч. 2-5; ст. 9, ч. 3; ст. 10, ч. 2-4; ст. 26. URL: https://www.consultant.ru/document/cons_doc_LAW_436110/10aee05e12277c35818b46632ac3c9dd2d327657/; https://www.consultant.ru/document/cons_doc_LAW_436110/eb49e4b6b3961c97b3a6a669352f5e911234ccf1/; https://www.consultant.ru/document/cons_doc_LAW_436110/f3008796e35445a5adad9236c1a058645dc1fc4a/; https://www.consultant.ru/document/cons_doc_LAW_436110/4a2a63d890bdf41696c2c210ccc50ca55aacfa15/ (дата обращения: 16.04.2026).</w:t>
      </w:r>
    </w:p>
  </w:footnote>
  <w:footnote w:id="82">
    <w:p>
      <w:pPr>
        <w:pStyle w:val="FootnoteText"/>
      </w:pPr>
      <w:r>
        <w:rPr>
          <w:rStyle w:val="FootnoteReference"/>
        </w:rPr>
        <w:footnoteRef/>
      </w:r>
      <w:r>
        <w:t xml:space="preserve"> </w:t>
      </w:r>
      <w:r>
        <w:t xml:space="preserve">Постановление Правительства РФ от 01.04.2024 N 408</w:t>
      </w:r>
      <w:r>
        <w:t xml:space="preserve"> </w:t>
      </w:r>
      <w:r>
        <w:t xml:space="preserve">“О видах биометрических персональных данных, на которые распространяется действие Федерального закона…”</w:t>
      </w:r>
      <w:r>
        <w:t xml:space="preserve"> </w:t>
      </w:r>
      <w:r>
        <w:t xml:space="preserve">URL: https://publication.pravo.gov.ru/document/0001202404050032 (дата обращения: 16.04.2026).</w:t>
      </w:r>
    </w:p>
  </w:footnote>
  <w:footnote w:id="83">
    <w:p>
      <w:pPr>
        <w:pStyle w:val="FootnoteText"/>
      </w:pPr>
      <w:r>
        <w:rPr>
          <w:rStyle w:val="FootnoteReference"/>
        </w:rPr>
        <w:footnoteRef/>
      </w:r>
      <w:r>
        <w:t xml:space="preserve"> </w:t>
      </w:r>
      <w:r>
        <w:t xml:space="preserve">Постановление Правительства РФ от 17.03.2023 N 405</w:t>
      </w:r>
      <w:r>
        <w:t xml:space="preserve"> </w:t>
      </w:r>
      <w:r>
        <w:t xml:space="preserve">“Об утверждении Правил получения согласия, указанного в пункте 6 части 5 статьи 26 Федерального закона…”</w:t>
      </w:r>
      <w:r>
        <w:t xml:space="preserve"> </w:t>
      </w:r>
      <w:r>
        <w:t xml:space="preserve">URL: https://publication.pravo.gov.ru/Document/View/0001202303200017?index=2 (дата обращения: 16.04.2026).</w:t>
      </w:r>
    </w:p>
  </w:footnote>
  <w:footnote w:id="84">
    <w:p>
      <w:pPr>
        <w:pStyle w:val="FootnoteText"/>
      </w:pPr>
      <w:r>
        <w:rPr>
          <w:rStyle w:val="FootnoteReference"/>
        </w:rPr>
        <w:footnoteRef/>
      </w:r>
      <w:r>
        <w:t xml:space="preserve"> </w:t>
      </w:r>
      <w:r>
        <w:t xml:space="preserve">Постановление Правительства РФ от 31.05.2023 N 883</w:t>
      </w:r>
      <w:r>
        <w:t xml:space="preserve"> </w:t>
      </w:r>
      <w:r>
        <w:t xml:space="preserve">“Об утверждении Положения о единой биометрической системе, в том числе о ее региональных сегментах…”</w:t>
      </w:r>
      <w:r>
        <w:t xml:space="preserve"> </w:t>
      </w:r>
      <w:r>
        <w:t xml:space="preserve">URL: https://www.consultant.ru/document/cons_doc_LAW_448591/; Постановление Правительства РФ от 21.06.2024 N 834</w:t>
      </w:r>
      <w:r>
        <w:t xml:space="preserve"> </w:t>
      </w:r>
      <w:r>
        <w:t xml:space="preserve">“Об определении организации, осуществляющей функции оператора единой биометрической системы”</w:t>
      </w:r>
      <w:r>
        <w:t xml:space="preserve">. URL: https://www.consultant.ru/document/cons_doc_LAW_479247/ (дата обращения: 16.04.2026).</w:t>
      </w:r>
    </w:p>
  </w:footnote>
  <w:footnote w:id="85">
    <w:p>
      <w:pPr>
        <w:pStyle w:val="FootnoteText"/>
      </w:pPr>
      <w:r>
        <w:rPr>
          <w:rStyle w:val="FootnoteReference"/>
        </w:rPr>
        <w:footnoteRef/>
      </w:r>
      <w:r>
        <w:t xml:space="preserve"> </w:t>
      </w:r>
      <w:r>
        <w:t xml:space="preserve">Приказ Минцифры России от 19.06.2025 N 553</w:t>
      </w:r>
      <w:r>
        <w:t xml:space="preserve"> </w:t>
      </w:r>
      <w:r>
        <w:t xml:space="preserve">“О внесении изменений в приложения N N 1, 2 и 5 к приказу Министерства цифрового развития, связи и массовых коммуникаций Российской Федерации от 12 мая 2023 г. N 453”</w:t>
      </w:r>
      <w:r>
        <w:t xml:space="preserve"> </w:t>
      </w:r>
      <w:r>
        <w:t xml:space="preserve">(зарегистрирован в Минюсте России 17.09.2025 N 83555; номер опубликования: 0001202509170002). URL: https://publication.pravo.gov.ru/document/0001202509170002 (дата обращения: 16.04.2026).</w:t>
      </w:r>
    </w:p>
  </w:footnote>
  <w:footnote w:id="86">
    <w:p>
      <w:pPr>
        <w:pStyle w:val="FootnoteText"/>
      </w:pPr>
      <w:r>
        <w:rPr>
          <w:rStyle w:val="FootnoteReference"/>
        </w:rPr>
        <w:footnoteRef/>
      </w:r>
      <w:r>
        <w:t xml:space="preserve"> </w:t>
      </w:r>
      <w:r>
        <w:t xml:space="preserve">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URL: https://government.ru/docs/all/141579/ (дата обращения: 16.04.2026).</w:t>
      </w:r>
    </w:p>
  </w:footnote>
  <w:footnote w:id="87">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88">
    <w:p>
      <w:pPr>
        <w:pStyle w:val="FootnoteText"/>
      </w:pPr>
      <w:r>
        <w:rPr>
          <w:rStyle w:val="FootnoteReference"/>
        </w:rPr>
        <w:footnoteRef/>
      </w:r>
      <w:r>
        <w:t xml:space="preserve"> </w:t>
      </w:r>
      <w:r>
        <w:t xml:space="preserve">Федеральный закон от 01.04.2025 N 41-ФЗ</w:t>
      </w:r>
      <w:r>
        <w:t xml:space="preserve"> </w:t>
      </w:r>
      <w:r>
        <w:t xml:space="preserve">“О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w:t>
      </w:r>
      <w:r>
        <w:t xml:space="preserve">. Номер опубликования: 0001202504010010. URL: https://publication.pravo.gov.ru/document/0001202504010010 (дата обращения: 16.04.2026).</w:t>
      </w:r>
    </w:p>
  </w:footnote>
  <w:footnote w:id="89">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90">
    <w:p>
      <w:pPr>
        <w:pStyle w:val="FootnoteText"/>
      </w:pPr>
      <w:r>
        <w:rPr>
          <w:rStyle w:val="FootnoteReference"/>
        </w:rPr>
        <w:footnoteRef/>
      </w:r>
      <w:r>
        <w:t xml:space="preserve"> </w:t>
      </w:r>
      <w:r>
        <w:t xml:space="preserve">Обзор операций, совершенных без добровольного согласия клиентов финансовых организаций, за 2025 год // Банк России. URL: https://www.cbr.ru/analytics/ib/operations_survey/2025/ (дата обращения: 16.04.2026).</w:t>
      </w:r>
    </w:p>
  </w:footnote>
  <w:footnote w:id="91">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92">
    <w:p>
      <w:pPr>
        <w:pStyle w:val="FootnoteText"/>
      </w:pPr>
      <w:r>
        <w:rPr>
          <w:rStyle w:val="FootnoteReference"/>
        </w:rPr>
        <w:footnoteRef/>
      </w:r>
      <w:r>
        <w:t xml:space="preserve"> </w:t>
      </w: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16.04.2026).</w:t>
      </w:r>
    </w:p>
  </w:footnote>
  <w:footnote w:id="93">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94">
    <w:p>
      <w:pPr>
        <w:pStyle w:val="FootnoteText"/>
      </w:pPr>
      <w:r>
        <w:rPr>
          <w:rStyle w:val="FootnoteReference"/>
        </w:rPr>
        <w:footnoteRef/>
      </w:r>
      <w:r>
        <w:t xml:space="preserve"> </w:t>
      </w:r>
      <w:r>
        <w:t xml:space="preserve">Операторы финансовых платформ // Банк России. Последнее обновление страницы: 28.11.2025. URL: https://www.cbr.ru/finm_infrastructure/financial_platform_operators/ (дата обращения: 16.04.2026).</w:t>
      </w:r>
    </w:p>
  </w:footnote>
  <w:footnote w:id="95">
    <w:p>
      <w:pPr>
        <w:pStyle w:val="FootnoteText"/>
      </w:pPr>
      <w:r>
        <w:rPr>
          <w:rStyle w:val="FootnoteReference"/>
        </w:rPr>
        <w:footnoteRef/>
      </w:r>
      <w:r>
        <w:t xml:space="preserve"> </w:t>
      </w:r>
      <w:r>
        <w:t xml:space="preserve">Тенденции на рынке МФО за 2025 год // Банк России. URL: https://cbr.ru/analytics/microfinance/mfo/2025_4/; Операторы финансовых платформ // Банк России. URL: https://www.cbr.ru/finm_infrastructure/financial_platform_operators/ (дата обращения: 16.04.2026).</w:t>
      </w:r>
    </w:p>
  </w:footnote>
  <w:footnote w:id="96">
    <w:p>
      <w:pPr>
        <w:pStyle w:val="FootnoteText"/>
      </w:pPr>
      <w:r>
        <w:rPr>
          <w:rStyle w:val="FootnoteReference"/>
        </w:rPr>
        <w:footnoteRef/>
      </w:r>
      <w:r>
        <w:t xml:space="preserve"> </w:t>
      </w:r>
      <w:r>
        <w:t xml:space="preserve">Вопросы и ответы // Банк России. Обновлено: 18.02.2026. URL: https://www.cbr.ru/fintech/faq_fintech/ (дата обращения: 16.04.2026).</w:t>
      </w:r>
    </w:p>
  </w:footnote>
  <w:footnote w:id="98">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99">
    <w:p>
      <w:pPr>
        <w:pStyle w:val="FootnoteText"/>
      </w:pPr>
      <w:r>
        <w:rPr>
          <w:rStyle w:val="FootnoteReference"/>
        </w:rPr>
        <w:footnoteRef/>
      </w:r>
      <w:r>
        <w:t xml:space="preserve"> </w:t>
      </w:r>
      <w:r>
        <w:t xml:space="preserve">Дмитрий Григоренко: В России успешно испытали сервис посадки на поезд по биометрии // Правительство России. 25.12.2025. URL: https://government.ru/news/57411/; Дмитрий Григоренко: Для российских МФЦ разработан сервис самообслуживания // Правительство России. 13.11.2025. URL: https://government.ru/news/56922/;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16.04.2026).</w:t>
      </w:r>
    </w:p>
  </w:footnote>
  <w:footnote w:id="100">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101">
    <w:p>
      <w:pPr>
        <w:pStyle w:val="FootnoteText"/>
      </w:pPr>
      <w:r>
        <w:rPr>
          <w:rStyle w:val="FootnoteReference"/>
        </w:rPr>
        <w:footnoteRef/>
      </w:r>
      <w:r>
        <w:t xml:space="preserve"> </w:t>
      </w:r>
      <w:r>
        <w:t xml:space="preserve">Дмитрий Григоренко: В России успешно испытали сервис посадки на поезд по биометрии // Правительство России. 25.12.2025. URL: https://government.ru/news/57411/; Дмитрий Григоренко: Для российских МФЦ разработан сервис самообслуживания // Правительство России. 13.11.2025. URL: https://government.ru/news/56922/;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16.04.2026).</w:t>
      </w:r>
    </w:p>
  </w:footnote>
  <w:footnote w:id="102">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103">
    <w:p>
      <w:pPr>
        <w:pStyle w:val="FootnoteText"/>
      </w:pPr>
      <w:r>
        <w:rPr>
          <w:rStyle w:val="FootnoteReference"/>
        </w:rPr>
        <w:footnoteRef/>
      </w:r>
      <w:r>
        <w:t xml:space="preserve"> </w:t>
      </w:r>
      <w:r>
        <w:t xml:space="preserve">Федеральный закон от 29.12.2022 N 572-ФЗ. Ст. 4, ч. 1-13; ст. 9, ч. 3-5; ст. 10, ч. 1-6. URL: https://www.consultant.ru/document/cons_doc_LAW_436110/10aee05e12277c35818b46632ac3c9dd2d327657/; https://www.consultant.ru/document/cons_doc_LAW_436110/eb49e4b6b3961c97b3a6a669352f5e911234ccf1/; https://www.consultant.ru/document/cons_doc_LAW_436110/f3008796e35445a5adad9236c1a058645dc1fc4a/ (дата обращения: 16.04.2026).</w:t>
      </w:r>
    </w:p>
  </w:footnote>
  <w:footnote w:id="104">
    <w:p>
      <w:pPr>
        <w:pStyle w:val="FootnoteText"/>
      </w:pPr>
      <w:r>
        <w:rPr>
          <w:rStyle w:val="FootnoteReference"/>
        </w:rPr>
        <w:footnoteRef/>
      </w:r>
      <w:r>
        <w:t xml:space="preserve"> </w:t>
      </w:r>
      <w:r>
        <w:t xml:space="preserve">Постановление Правительства РФ от 17.03.2023 N 405</w:t>
      </w:r>
      <w:r>
        <w:t xml:space="preserve"> </w:t>
      </w:r>
      <w:r>
        <w:t xml:space="preserve">“Об утверждении Правил получения согласия, указанного в пункте 6 части 5 статьи 26 Федерального закона…”</w:t>
      </w:r>
      <w:r>
        <w:t xml:space="preserve"> </w:t>
      </w:r>
      <w:r>
        <w:t xml:space="preserve">URL: https://publication.pravo.gov.ru/Document/View/0001202303200017?index=2 (дата обращения: 16.04.2026).</w:t>
      </w:r>
    </w:p>
  </w:footnote>
  <w:footnote w:id="105">
    <w:p>
      <w:pPr>
        <w:pStyle w:val="FootnoteText"/>
      </w:pPr>
      <w:r>
        <w:rPr>
          <w:rStyle w:val="FootnoteReference"/>
        </w:rPr>
        <w:footnoteRef/>
      </w:r>
      <w:r>
        <w:t xml:space="preserve"> </w:t>
      </w:r>
      <w:r>
        <w:t xml:space="preserve">Федеральный закон от 29.12.2022 N 572-ФЗ. Ст. 3, ч. 14-18. URL: https://www.consultant.ru/document/cons_doc_LAW_436110/15f0efd3c8311b53608abd85f9c02157e1457f55/ (дата обращения: 16.04.2026).</w:t>
      </w:r>
    </w:p>
  </w:footnote>
  <w:footnote w:id="106">
    <w:p>
      <w:pPr>
        <w:pStyle w:val="FootnoteText"/>
      </w:pPr>
      <w:r>
        <w:rPr>
          <w:rStyle w:val="FootnoteReference"/>
        </w:rPr>
        <w:footnoteRef/>
      </w:r>
      <w:r>
        <w:t xml:space="preserve"> </w:t>
      </w:r>
      <w:r>
        <w:t xml:space="preserve">Удаленная идентификация // Банк России. URL: https://www.cbr.ru/fintech/digital_biometric_id/; Перечень банков, в которых можно будет пройти регистрацию в ЕСИА и Единой биометрической системе // Банк России. URL: https://cbr.ru/fintech/digital_biometric_id/credit/ (дата обращения: 16.04.2026).</w:t>
      </w:r>
    </w:p>
  </w:footnote>
  <w:footnote w:id="107">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9 (в ред. от 24.06.2025). URL: https://www.consultant.ru/document/cons_doc_LAW_61801/6c94959bc017ac80140621762d2ac59f6006b08c/ (дата обращения: 16.04.2026).</w:t>
      </w:r>
    </w:p>
  </w:footnote>
  <w:footnote w:id="108">
    <w:p>
      <w:pPr>
        <w:pStyle w:val="FootnoteText"/>
      </w:pPr>
      <w:r>
        <w:rPr>
          <w:rStyle w:val="FootnoteReference"/>
        </w:rPr>
        <w:footnoteRef/>
      </w:r>
      <w:r>
        <w:t xml:space="preserve"> </w:t>
      </w:r>
      <w:r>
        <w:t xml:space="preserve">Удаленная идентификация // Банк России. URL: https://www.cbr.ru/fintech/digital_biometric_id/; Перечень банков, в которых можно будет пройти регистрацию в ЕСИА и Единой биометрической системе // Банк России. URL: https://cbr.ru/fintech/digital_biometric_id/credit/ (дата обращения: 16.04.2026).</w:t>
      </w:r>
    </w:p>
  </w:footnote>
  <w:footnote w:id="109">
    <w:p>
      <w:pPr>
        <w:pStyle w:val="FootnoteText"/>
      </w:pPr>
      <w:r>
        <w:rPr>
          <w:rStyle w:val="FootnoteReference"/>
        </w:rPr>
        <w:footnoteRef/>
      </w:r>
      <w:r>
        <w:t xml:space="preserve"> </w:t>
      </w:r>
      <w:r>
        <w:t xml:space="preserve">Федеральный закон от 29.12.2022 N 572-ФЗ. Ст. 3, ч. 14-18. URL: https://www.consultant.ru/document/cons_doc_LAW_436110/15f0efd3c8311b53608abd85f9c02157e1457f55/ (дата обращения: 16.04.2026).</w:t>
      </w:r>
    </w:p>
  </w:footnote>
  <w:footnote w:id="110">
    <w:p>
      <w:pPr>
        <w:pStyle w:val="FootnoteText"/>
      </w:pPr>
      <w:r>
        <w:rPr>
          <w:rStyle w:val="FootnoteReference"/>
        </w:rPr>
        <w:footnoteRef/>
      </w:r>
      <w:r>
        <w:t xml:space="preserve"> </w:t>
      </w:r>
      <w:r>
        <w:t xml:space="preserve">Удаленная идентификация // Банк России. URL: https://www.cbr.ru/fintech/digital_biometric_id/; Перечень банков, в которых можно будет пройти регистрацию в ЕСИА и Единой биометрической системе // Банк России. URL: https://cbr.ru/fintech/digital_biometric_id/credit/ (дата обращения: 16.04.2026).</w:t>
      </w:r>
    </w:p>
  </w:footnote>
  <w:footnote w:id="111">
    <w:p>
      <w:pPr>
        <w:pStyle w:val="FootnoteText"/>
      </w:pPr>
      <w:r>
        <w:rPr>
          <w:rStyle w:val="FootnoteReference"/>
        </w:rPr>
        <w:footnoteRef/>
      </w:r>
      <w:r>
        <w:t xml:space="preserve"> </w:t>
      </w:r>
      <w:r>
        <w:t xml:space="preserve">Дмитрий Григоренко: В России успешно испытали сервис посадки на поезд по биометрии // Правительство России. 25.12.2025. URL: https://government.ru/news/57411/; Дмитрий Григоренко: Для российских МФЦ разработан сервис самообслуживания // Правительство России. 13.11.2025. URL: https://government.ru/news/56922/;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16.04.2026).</w:t>
      </w:r>
    </w:p>
  </w:footnote>
  <w:footnote w:id="112">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13">
    <w:p>
      <w:pPr>
        <w:pStyle w:val="FootnoteText"/>
      </w:pPr>
      <w:r>
        <w:rPr>
          <w:rStyle w:val="FootnoteReference"/>
        </w:rPr>
        <w:footnoteRef/>
      </w:r>
      <w:r>
        <w:t xml:space="preserve"> </w:t>
      </w:r>
      <w:r>
        <w:t xml:space="preserve">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URL: https://government.ru/docs/all/141579/ (дата обращения: 16.04.2026).</w:t>
      </w:r>
    </w:p>
  </w:footnote>
  <w:footnote w:id="114">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15">
    <w:p>
      <w:pPr>
        <w:pStyle w:val="FootnoteText"/>
      </w:pPr>
      <w:r>
        <w:rPr>
          <w:rStyle w:val="FootnoteReference"/>
        </w:rPr>
        <w:footnoteRef/>
      </w:r>
      <w:r>
        <w:t xml:space="preserve"> </w:t>
      </w:r>
      <w:r>
        <w:t xml:space="preserve">Дмитрий Григоренко: В России успешно испытали сервис посадки на поезд по биометрии // Правительство России. 25.12.2025. URL: https://government.ru/news/57411/; Дмитрий Григоренко: Для российских МФЦ разработан сервис самообслуживания // Правительство России. 13.11.2025. URL: https://government.ru/news/56922/;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16.04.2026).</w:t>
      </w:r>
    </w:p>
  </w:footnote>
  <w:footnote w:id="116">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17">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118">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119">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20">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121">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122">
    <w:p>
      <w:pPr>
        <w:pStyle w:val="FootnoteText"/>
      </w:pPr>
      <w:r>
        <w:rPr>
          <w:rStyle w:val="FootnoteReference"/>
        </w:rPr>
        <w:footnoteRef/>
      </w:r>
      <w:r>
        <w:t xml:space="preserve"> </w:t>
      </w:r>
      <w:r>
        <w:t xml:space="preserve">Удаленная идентификация // Банк России. URL: https://www.cbr.ru/fintech/digital_biometric_id/; Перечень банков, в которых можно будет пройти регистрацию в ЕСИА и Единой биометрической системе // Банк России. URL: https://cbr.ru/fintech/digital_biometric_id/credit/ (дата обращения: 16.04.2026).</w:t>
      </w:r>
    </w:p>
  </w:footnote>
  <w:footnote w:id="124">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Официальное опубликование: N 0001202105280003. URL: https://publication.pravo.gov.ru/Document/View/0001202105280003; дублирующий текст акта: https://www.consultant.ru/document/cons_doc_LAW_385041/ (дата обращения: 16.04.2026).</w:t>
      </w:r>
    </w:p>
  </w:footnote>
  <w:footnote w:id="125">
    <w:p>
      <w:pPr>
        <w:pStyle w:val="FootnoteText"/>
      </w:pPr>
      <w:r>
        <w:rPr>
          <w:rStyle w:val="FootnoteReference"/>
        </w:rPr>
        <w:footnoteRef/>
      </w:r>
      <w:r>
        <w:t xml:space="preserve"> </w:t>
      </w: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 «О персональных данных»”</w:t>
      </w:r>
      <w:r>
        <w:t xml:space="preserve">. URL: https://legalacts.ru/sud/opredelenie-konstitutsionnogo-suda-rf-ot-28092023-n-2201-o/ (дата обращения: 16.04.2026).</w:t>
      </w:r>
    </w:p>
  </w:footnote>
  <w:footnote w:id="126">
    <w:p>
      <w:pPr>
        <w:pStyle w:val="FootnoteText"/>
      </w:pPr>
      <w:r>
        <w:rPr>
          <w:rStyle w:val="FootnoteReference"/>
        </w:rPr>
        <w:footnoteRef/>
      </w:r>
      <w:r>
        <w:t xml:space="preserve"> </w:t>
      </w:r>
      <w:r>
        <w:rPr>
          <w:i/>
          <w:iCs/>
        </w:rPr>
        <w:t xml:space="preserve">Glukhin v. Russia</w:t>
      </w:r>
      <w:r>
        <w:t xml:space="preserve"> </w:t>
      </w:r>
      <w:r>
        <w:t xml:space="preserve">(Application no. 11519/20), Judgment of 04.07.2023, HUDOC ID 001-225655. URL: https://hudoc.echr.coe.int/eng?i=001-225655 (дата обращения: 16.04.2026).</w:t>
      </w:r>
    </w:p>
  </w:footnote>
  <w:footnote w:id="127">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Официальное опубликование: N 0001202105280003. URL: https://publication.pravo.gov.ru/Document/View/0001202105280003; дублирующий текст акта: https://www.consultant.ru/document/cons_doc_LAW_385041/ (дата обращения: 16.04.2026).</w:t>
      </w:r>
    </w:p>
  </w:footnote>
  <w:footnote w:id="128">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Официальное опубликование: N 0001202105280003. URL: https://publication.pravo.gov.ru/Document/View/0001202105280003; дублирующий текст акта: https://www.consultant.ru/document/cons_doc_LAW_385041/ (дата обращения: 16.04.2026).</w:t>
      </w:r>
    </w:p>
  </w:footnote>
  <w:footnote w:id="129">
    <w:p>
      <w:pPr>
        <w:pStyle w:val="FootnoteText"/>
      </w:pPr>
      <w:r>
        <w:rPr>
          <w:rStyle w:val="FootnoteReference"/>
        </w:rPr>
        <w:footnoteRef/>
      </w:r>
      <w:r>
        <w:t xml:space="preserve"> </w:t>
      </w: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 «О персональных данных»”</w:t>
      </w:r>
      <w:r>
        <w:t xml:space="preserve">. URL: https://legalacts.ru/sud/opredelenie-konstitutsionnogo-suda-rf-ot-28092023-n-2201-o/ (дата обращения: 16.04.2026).</w:t>
      </w:r>
    </w:p>
  </w:footnote>
  <w:footnote w:id="130">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9 (в ред. от 24.06.2025). URL: https://www.consultant.ru/document/cons_doc_LAW_61801/6c94959bc017ac80140621762d2ac59f6006b08c/ (дата обращения: 16.04.2026).</w:t>
      </w:r>
    </w:p>
  </w:footnote>
  <w:footnote w:id="131">
    <w:p>
      <w:pPr>
        <w:pStyle w:val="FootnoteText"/>
      </w:pPr>
      <w:r>
        <w:rPr>
          <w:rStyle w:val="FootnoteReference"/>
        </w:rPr>
        <w:footnoteRef/>
      </w:r>
      <w:r>
        <w:t xml:space="preserve"> </w:t>
      </w: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 «О персональных данных»”</w:t>
      </w:r>
      <w:r>
        <w:t xml:space="preserve">. URL: https://legalacts.ru/sud/opredelenie-konstitutsionnogo-suda-rf-ot-28092023-n-2201-o/ (дата обращения: 16.04.2026).</w:t>
      </w:r>
    </w:p>
  </w:footnote>
  <w:footnote w:id="132">
    <w:p>
      <w:pPr>
        <w:pStyle w:val="FootnoteText"/>
      </w:pPr>
      <w:r>
        <w:rPr>
          <w:rStyle w:val="FootnoteReference"/>
        </w:rPr>
        <w:footnoteRef/>
      </w:r>
      <w:r>
        <w:t xml:space="preserve"> </w:t>
      </w:r>
      <w:r>
        <w:rPr>
          <w:i/>
          <w:iCs/>
        </w:rPr>
        <w:t xml:space="preserve">Glukhin v. Russia</w:t>
      </w:r>
      <w:r>
        <w:t xml:space="preserve"> </w:t>
      </w:r>
      <w:r>
        <w:t xml:space="preserve">(Application no. 11519/20), Judgment of 04.07.2023, HUDOC ID 001-225655. URL: https://hudoc.echr.coe.int/eng?i=001-225655 (дата обращения: 16.04.2026).</w:t>
      </w:r>
    </w:p>
  </w:footnote>
  <w:footnote w:id="133">
    <w:p>
      <w:pPr>
        <w:pStyle w:val="FootnoteText"/>
      </w:pPr>
      <w:r>
        <w:rPr>
          <w:rStyle w:val="FootnoteReference"/>
        </w:rPr>
        <w:footnoteRef/>
      </w:r>
      <w:r>
        <w:t xml:space="preserve"> </w:t>
      </w:r>
      <w:r>
        <w:rPr>
          <w:i/>
          <w:iCs/>
        </w:rPr>
        <w:t xml:space="preserve">Glukhin v. Russia</w:t>
      </w:r>
      <w:r>
        <w:t xml:space="preserve"> </w:t>
      </w:r>
      <w:r>
        <w:t xml:space="preserve">(Application no. 11519/20), Judgment of 04.07.2023, HUDOC ID 001-225655. URL: https://hudoc.echr.coe.int/eng?i=001-225655 (дата обращения: 16.04.2026).</w:t>
      </w:r>
    </w:p>
  </w:footnote>
  <w:footnote w:id="134">
    <w:p>
      <w:pPr>
        <w:pStyle w:val="FootnoteText"/>
      </w:pPr>
      <w:r>
        <w:rPr>
          <w:rStyle w:val="FootnoteReference"/>
        </w:rPr>
        <w:footnoteRef/>
      </w:r>
      <w:r>
        <w:t xml:space="preserve"> </w:t>
      </w:r>
      <w:r>
        <w:t xml:space="preserve">Обзор операций, совершенных без добровольного согласия клиентов финансовых организаций, за 2025 год // Банк России. URL: https://www.cbr.ru/analytics/ib/operations_survey/2025/ (дата обращения: 16.04.2026).</w:t>
      </w:r>
    </w:p>
  </w:footnote>
  <w:footnote w:id="135">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136">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137">
    <w:p>
      <w:pPr>
        <w:pStyle w:val="FootnoteText"/>
      </w:pPr>
      <w:r>
        <w:rPr>
          <w:rStyle w:val="FootnoteReference"/>
        </w:rPr>
        <w:footnoteRef/>
      </w:r>
      <w:r>
        <w:t xml:space="preserve"> </w:t>
      </w:r>
      <w:r>
        <w:t xml:space="preserve">Дмитрий Григоренко: В России успешно испытали сервис посадки на поезд по биометрии // Правительство России. 25.12.2025. URL: https://government.ru/news/57411/; Дмитрий Григоренко: Для российских МФЦ разработан сервис самообслуживания // Правительство России. 13.11.2025. URL: https://government.ru/news/56922/;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16.04.2026).</w:t>
      </w:r>
    </w:p>
  </w:footnote>
  <w:footnote w:id="138">
    <w:p>
      <w:pPr>
        <w:pStyle w:val="FootnoteText"/>
      </w:pPr>
      <w:r>
        <w:rPr>
          <w:rStyle w:val="FootnoteReference"/>
        </w:rPr>
        <w:footnoteRef/>
      </w:r>
      <w:r>
        <w:t xml:space="preserve"> </w:t>
      </w:r>
      <w:r>
        <w:t xml:space="preserve">Удаленная идентификация // Банк России. URL: https://www.cbr.ru/fintech/digital_biometric_id/; Перечень банков, в которых можно будет пройти регистрацию в ЕСИА и Единой биометрической системе // Банк России. URL: https://cbr.ru/fintech/digital_biometric_id/credit/ (дата обращения: 16.04.2026).</w:t>
      </w:r>
    </w:p>
  </w:footnote>
  <w:footnote w:id="139">
    <w:p>
      <w:pPr>
        <w:pStyle w:val="FootnoteText"/>
      </w:pPr>
      <w:r>
        <w:rPr>
          <w:rStyle w:val="FootnoteReference"/>
        </w:rPr>
        <w:footnoteRef/>
      </w:r>
      <w:r>
        <w:t xml:space="preserve"> </w:t>
      </w:r>
      <w:r>
        <w:t xml:space="preserve">Дмитрий Григоренко: В России успешно испытали сервис посадки на поезд по биометрии // Правительство России. 25.12.2025. URL: https://government.ru/news/57411/; Дмитрий Григоренко: Для российских МФЦ разработан сервис самообслуживания // Правительство России. 13.11.2025. URL: https://government.ru/news/56922/;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16.04.2026).</w:t>
      </w:r>
    </w:p>
  </w:footnote>
  <w:footnote w:id="140">
    <w:p>
      <w:pPr>
        <w:pStyle w:val="FootnoteText"/>
      </w:pPr>
      <w:r>
        <w:rPr>
          <w:rStyle w:val="FootnoteReference"/>
        </w:rPr>
        <w:footnoteRef/>
      </w:r>
      <w:r>
        <w:t xml:space="preserve"> </w:t>
      </w:r>
      <w:r>
        <w:t xml:space="preserve">Удаленная идентификация // Банк России. URL: https://www.cbr.ru/fintech/digital_biometric_id/; Перечень банков, в которых можно будет пройти регистрацию в ЕСИА и Единой биометрической системе // Банк России. URL: https://cbr.ru/fintech/digital_biometric_id/credit/ (дата обращения: 16.04.2026).</w:t>
      </w:r>
    </w:p>
  </w:footnote>
  <w:footnote w:id="141">
    <w:p>
      <w:pPr>
        <w:pStyle w:val="FootnoteText"/>
      </w:pPr>
      <w:r>
        <w:rPr>
          <w:rStyle w:val="FootnoteReference"/>
        </w:rPr>
        <w:footnoteRef/>
      </w:r>
      <w:r>
        <w:t xml:space="preserve"> </w:t>
      </w:r>
      <w:r>
        <w:t xml:space="preserve">Федеральный закон от 29.12.2022 N 572-ФЗ. Ст. 3, ч. 14-18. URL: https://www.consultant.ru/document/cons_doc_LAW_436110/15f0efd3c8311b53608abd85f9c02157e1457f55/ (дата обращения: 16.04.2026).</w:t>
      </w:r>
    </w:p>
  </w:footnote>
  <w:footnote w:id="142">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143">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44">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Официальное опубликование: N 0001202105280003. URL: https://publication.pravo.gov.ru/Document/View/0001202105280003; дублирующий текст акта: https://www.consultant.ru/document/cons_doc_LAW_385041/ (дата обращения: 16.04.2026).</w:t>
      </w:r>
    </w:p>
  </w:footnote>
  <w:footnote w:id="145">
    <w:p>
      <w:pPr>
        <w:pStyle w:val="FootnoteText"/>
      </w:pPr>
      <w:r>
        <w:rPr>
          <w:rStyle w:val="FootnoteReference"/>
        </w:rPr>
        <w:footnoteRef/>
      </w:r>
      <w:r>
        <w:t xml:space="preserve"> </w:t>
      </w: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 «О персональных данных»”</w:t>
      </w:r>
      <w:r>
        <w:t xml:space="preserve">. URL: https://legalacts.ru/sud/opredelenie-konstitutsionnogo-suda-rf-ot-28092023-n-2201-o/ (дата обращения: 16.04.2026).</w:t>
      </w:r>
    </w:p>
  </w:footnote>
  <w:footnote w:id="146">
    <w:p>
      <w:pPr>
        <w:pStyle w:val="FootnoteText"/>
      </w:pPr>
      <w:r>
        <w:rPr>
          <w:rStyle w:val="FootnoteReference"/>
        </w:rPr>
        <w:footnoteRef/>
      </w:r>
      <w:r>
        <w:t xml:space="preserve"> </w:t>
      </w:r>
      <w:r>
        <w:rPr>
          <w:i/>
          <w:iCs/>
        </w:rPr>
        <w:t xml:space="preserve">Glukhin v. Russia</w:t>
      </w:r>
      <w:r>
        <w:t xml:space="preserve"> </w:t>
      </w:r>
      <w:r>
        <w:t xml:space="preserve">(Application no. 11519/20), Judgment of 04.07.2023, HUDOC ID 001-225655. URL: https://hudoc.echr.coe.int/eng?i=001-225655 (дата обращения: 16.04.2026).</w:t>
      </w:r>
    </w:p>
  </w:footnote>
  <w:footnote w:id="147">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148">
    <w:p>
      <w:pPr>
        <w:pStyle w:val="FootnoteText"/>
      </w:pPr>
      <w:r>
        <w:rPr>
          <w:rStyle w:val="FootnoteReference"/>
        </w:rPr>
        <w:footnoteRef/>
      </w:r>
      <w:r>
        <w:t xml:space="preserve"> </w:t>
      </w:r>
      <w:r>
        <w:t xml:space="preserve">Обзор операций, совершенных без добровольного согласия клиентов финансовых организаций, за 2025 год // Банк России. URL: https://www.cbr.ru/analytics/ib/operations_survey/2025/ (дата обращения: 16.04.2026).</w:t>
      </w:r>
    </w:p>
  </w:footnote>
  <w:footnote w:id="149">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50">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151">
    <w:p>
      <w:pPr>
        <w:pStyle w:val="FootnoteText"/>
      </w:pPr>
      <w:r>
        <w:rPr>
          <w:rStyle w:val="FootnoteReference"/>
        </w:rPr>
        <w:footnoteRef/>
      </w:r>
      <w:r>
        <w:t xml:space="preserve"> </w:t>
      </w:r>
      <w:r>
        <w:t xml:space="preserve">Дмитрий Григоренко: В России успешно испытали сервис посадки на поезд по биометрии // Правительство России. 25.12.2025. URL: https://government.ru/news/57411/; Дмитрий Григоренко: Для российских МФЦ разработан сервис самообслуживания // Правительство России. 13.11.2025. URL: https://government.ru/news/56922/; Правительство утвердило постановление о возможности заселения в гостиницы по водительскому удостоверению или загранпаспорту // Правительство России. 01.11.2025. URL: https://government.ru/news/56772/ (дата обращения: 16.04.2026).</w:t>
      </w:r>
    </w:p>
  </w:footnote>
  <w:footnote w:id="152">
    <w:p>
      <w:pPr>
        <w:pStyle w:val="FootnoteText"/>
      </w:pPr>
      <w:r>
        <w:rPr>
          <w:rStyle w:val="FootnoteReference"/>
        </w:rPr>
        <w:footnoteRef/>
      </w:r>
      <w:r>
        <w:t xml:space="preserve"> </w:t>
      </w:r>
      <w:r>
        <w:t xml:space="preserve">Удаленная идентификация // Банк России. URL: https://www.cbr.ru/fintech/digital_biometric_id/; Перечень банков, в которых можно будет пройти регистрацию в ЕСИА и Единой биометрической системе // Банк России. URL: https://cbr.ru/fintech/digital_biometric_id/credit/ (дата обращения: 16.04.2026).</w:t>
      </w:r>
    </w:p>
  </w:footnote>
  <w:footnote w:id="155">
    <w:p>
      <w:pPr>
        <w:pStyle w:val="FootnoteText"/>
      </w:pPr>
      <w:r>
        <w:rPr>
          <w:rStyle w:val="FootnoteReference"/>
        </w:rPr>
        <w:footnoteRef/>
      </w:r>
      <w:r>
        <w:t xml:space="preserve"> </w:t>
      </w:r>
      <w:r>
        <w:t xml:space="preserve">Regulation (EU) 2016/679 of the European Parliament and of the Council of 27 April 2016 (GDPR). Art. 4(14), 9(1), 35(1), 36(1), recitals 51, 75, 91. URL: https://eur-lex.europa.eu/eli/reg/2016/679/oj (дата обращения: 16.04.2026).</w:t>
      </w:r>
    </w:p>
  </w:footnote>
  <w:footnote w:id="156">
    <w:p>
      <w:pPr>
        <w:pStyle w:val="FootnoteText"/>
      </w:pPr>
      <w:r>
        <w:rPr>
          <w:rStyle w:val="FootnoteReference"/>
        </w:rPr>
        <w:footnoteRef/>
      </w:r>
      <w:r>
        <w:t xml:space="preserve"> </w:t>
      </w:r>
      <w:r>
        <w:t xml:space="preserve">Opinion 11/2024 on the use of facial recognition to streamline airport passengers’ flow (compatibility with Articles 5(1)(e) and (f), 25 and 32 GDPR), adopted on 23.05.2024 // European Data Protection Board. URL: https://www.edpb.europa.eu/system/files/2024-05/edpb_opinion_202411_facialrecognitionairports_en.pdf (дата обращения: 16.04.2026).</w:t>
      </w:r>
    </w:p>
  </w:footnote>
  <w:footnote w:id="157">
    <w:p>
      <w:pPr>
        <w:pStyle w:val="FootnoteText"/>
      </w:pPr>
      <w:r>
        <w:rPr>
          <w:rStyle w:val="FootnoteReference"/>
        </w:rPr>
        <w:footnoteRef/>
      </w:r>
      <w:r>
        <w:t xml:space="preserve"> </w:t>
      </w:r>
      <w:r>
        <w:t xml:space="preserve">Directive (EU) 2016/680 of the European Parliament and of the Council of 27 April 2016. Art. 8, 10. URL: https://eur-lex.europa.eu/legal-content/EN/AUTO/?uri=celex:02016L0680-20160504 (дата обращения: 16.04.2026).</w:t>
      </w:r>
    </w:p>
  </w:footnote>
  <w:footnote w:id="158">
    <w:p>
      <w:pPr>
        <w:pStyle w:val="FootnoteText"/>
      </w:pPr>
      <w:r>
        <w:rPr>
          <w:rStyle w:val="FootnoteReference"/>
        </w:rPr>
        <w:footnoteRef/>
      </w:r>
      <w:r>
        <w:t xml:space="preserve"> </w:t>
      </w:r>
      <w:r>
        <w:t xml:space="preserve">Judgment of the Court in Case C-205/21 |</w:t>
      </w:r>
      <w:r>
        <w:t xml:space="preserve"> </w:t>
      </w:r>
      <w:r>
        <w:rPr>
          <w:i/>
          <w:iCs/>
        </w:rPr>
        <w:t xml:space="preserve">Ministerstvo na vatreshnite raboti (Recording of biometric and genetic data by the police)</w:t>
      </w:r>
      <w:r>
        <w:t xml:space="preserve">, 26.01.2023; Press release No 16/23 // CURIA. URL: https://curia.europa.eu/jcms/upload/docs/application/pdf/2023-01/cp230016en.pdf; official summary // EUR-Lex. URL: https://eur-lex.europa.eu/legal-content/EN/SUM/?uri=CELEX:62021CJ0205_RES (дата обращения: 16.04.2026).</w:t>
      </w:r>
    </w:p>
  </w:footnote>
  <w:footnote w:id="159">
    <w:p>
      <w:pPr>
        <w:pStyle w:val="FootnoteText"/>
      </w:pPr>
      <w:r>
        <w:rPr>
          <w:rStyle w:val="FootnoteReference"/>
        </w:rPr>
        <w:footnoteRef/>
      </w:r>
      <w:r>
        <w:t xml:space="preserve"> </w:t>
      </w:r>
      <w:r>
        <w:rPr>
          <w:i/>
          <w:iCs/>
        </w:rPr>
        <w:t xml:space="preserve">Glukhin v. Russia</w:t>
      </w:r>
      <w:r>
        <w:t xml:space="preserve"> </w:t>
      </w:r>
      <w:r>
        <w:t xml:space="preserve">(Application no. 11519/20), Judgment of 04.07.2023, HUDOC ID 001-225655. URL: https://hudoc.echr.coe.int/eng?i=001-225655; Use of facial-recognition technology breached rights of Moscow underground protestor: press release on the judgment in</w:t>
      </w:r>
      <w:r>
        <w:t xml:space="preserve"> </w:t>
      </w:r>
      <w:r>
        <w:rPr>
          <w:i/>
          <w:iCs/>
        </w:rPr>
        <w:t xml:space="preserve">Glukhin v. Russia</w:t>
      </w:r>
      <w:r>
        <w:t xml:space="preserve"> </w:t>
      </w:r>
      <w:r>
        <w:t xml:space="preserve">// European Court of Human Rights. URL: https://hudoc.echr.coe.int/app/conversion/pdf/?filename=Judgment+Glukhin+v.+Russia+-+use+of+facial-recognition+technology+against+Moscow+underground+protestor.pdf&amp;id=003-7694109-10618091&amp;library=ECHR (дата обращения: 16.04.2026).</w:t>
      </w:r>
    </w:p>
  </w:footnote>
  <w:footnote w:id="160">
    <w:p>
      <w:pPr>
        <w:pStyle w:val="FootnoteText"/>
      </w:pPr>
      <w:r>
        <w:rPr>
          <w:rStyle w:val="FootnoteReference"/>
        </w:rPr>
        <w:footnoteRef/>
      </w:r>
      <w:r>
        <w:t xml:space="preserve"> </w:t>
      </w:r>
      <w:r>
        <w:t xml:space="preserve">Regulation (EU) 2024/1689 of the European Parliament and of the Council of 13 June 2024 (AI Act). Art. 5(1), points (d)-(h); art. 5(2)-(3); art. 27; Annex III, point 1. URL: https://eur-lex.europa.eu/legal-content/EN/TXT/?uri=celex:32024R1689 (дата обращения: 16.04.2026).</w:t>
      </w:r>
    </w:p>
  </w:footnote>
  <w:footnote w:id="161">
    <w:p>
      <w:pPr>
        <w:pStyle w:val="FootnoteText"/>
      </w:pPr>
      <w:r>
        <w:rPr>
          <w:rStyle w:val="FootnoteReference"/>
        </w:rPr>
        <w:footnoteRef/>
      </w:r>
      <w:r>
        <w:t xml:space="preserve"> </w:t>
      </w:r>
      <w:r>
        <w:t xml:space="preserve">Утеген Д., Рахметов Б. Ж. Технология распознавания лиц и обеспечение безопасности биометрических данных: компаративный анализ моделей правового регулирования //</w:t>
      </w:r>
      <w:r>
        <w:t xml:space="preserve"> </w:t>
      </w:r>
      <w:r>
        <w:rPr>
          <w:i/>
          <w:iCs/>
        </w:rPr>
        <w:t xml:space="preserve">Journal of Digital Technologies and Law</w:t>
      </w:r>
      <w:r>
        <w:t xml:space="preserve">. 2023. Т. 1. N 3. С. 825-844. DOI: 10.21202/jdtl.2023.36. URL: https://www.lawjournal.digital/jour/article/view/247 (дата обращения: 16.04.2026).</w:t>
      </w:r>
    </w:p>
  </w:footnote>
  <w:footnote w:id="163">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Ст. 11, 16, 23, 23.1. URL: https://www.consultant.ru/document/cons_doc_LAW_61801/; ст. 11: https://www.consultant.ru/document/cons_doc_LAW_61801/7336c78762a98b5f4f698b8c3800dca1111acc16/ (дата обращения: 16.04.2026).</w:t>
      </w:r>
    </w:p>
  </w:footnote>
  <w:footnote w:id="164">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w:t>
      </w:r>
      <w:r>
        <w:t xml:space="preserve"> </w:t>
      </w:r>
      <w:r>
        <w:t xml:space="preserve">(ред. от 28.12.2024). Ст. 3, ч. 1-8, 11-13, 18-22. URL: https://www.consultant.ru/document/cons_doc_LAW_436110/; ст. 3: https://www.consultant.ru/document/cons_doc_LAW_436110/15f0efd3c8311b53608abd85f9c02157e1457f55/ (дата обращения: 16.04.2026).</w:t>
      </w:r>
    </w:p>
  </w:footnote>
  <w:footnote w:id="165">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w:t>
      </w:r>
      <w:r>
        <w:t xml:space="preserve"> </w:t>
      </w:r>
      <w:r>
        <w:t xml:space="preserve">Официальное опубликование: 0001202105280003. URL: https://publication.pravo.gov.ru/Document/View/0001202105280003 (дата обращения: 16.04.2026).</w:t>
      </w:r>
    </w:p>
  </w:footnote>
  <w:footnote w:id="166">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Ст. 11, 16, 23, 23.1. URL: https://www.consultant.ru/document/cons_doc_LAW_61801/; ст. 11: https://www.consultant.ru/document/cons_doc_LAW_61801/7336c78762a98b5f4f698b8c3800dca1111acc16/ (дата обращения: 16.04.2026).</w:t>
      </w:r>
    </w:p>
  </w:footnote>
  <w:footnote w:id="167">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w:t>
      </w:r>
      <w:r>
        <w:t xml:space="preserve"> </w:t>
      </w:r>
      <w:r>
        <w:t xml:space="preserve">(ред. от 28.12.2024). Ст. 3, ч. 1-8, 11-13, 18-22. URL: https://www.consultant.ru/document/cons_doc_LAW_436110/; ст. 3: https://www.consultant.ru/document/cons_doc_LAW_436110/15f0efd3c8311b53608abd85f9c02157e1457f55/ (дата обращения: 16.04.2026).</w:t>
      </w:r>
    </w:p>
  </w:footnote>
  <w:footnote w:id="168">
    <w:p>
      <w:pPr>
        <w:pStyle w:val="FootnoteText"/>
      </w:pPr>
      <w:r>
        <w:rPr>
          <w:rStyle w:val="FootnoteReference"/>
        </w:rPr>
        <w:footnoteRef/>
      </w:r>
      <w:r>
        <w:t xml:space="preserve"> </w:t>
      </w:r>
      <w:r>
        <w:t xml:space="preserve">Насыров Р. Р., Ибрагимов Р. Р. Биометрические персональные данные: проблемы теории и правового регулирования //</w:t>
      </w:r>
      <w:r>
        <w:t xml:space="preserve"> </w:t>
      </w:r>
      <w:r>
        <w:rPr>
          <w:i/>
          <w:iCs/>
        </w:rPr>
        <w:t xml:space="preserve">Право и государство: теория и практика</w:t>
      </w:r>
      <w:r>
        <w:t xml:space="preserve">. 2024. N 7. URL: https://www.elibrary.ru/item.asp?id=68507670; Хандрыга Д. О. Правовое регулирование биометрических персональных данных в Российской Федерации //</w:t>
      </w:r>
      <w:r>
        <w:t xml:space="preserve"> </w:t>
      </w:r>
      <w:r>
        <w:rPr>
          <w:i/>
          <w:iCs/>
        </w:rPr>
        <w:t xml:space="preserve">Вестник Российской правовой академии</w:t>
      </w:r>
      <w:r>
        <w:t xml:space="preserve">. 2024. N 1. С. 191-201. DOI: 10.33874/2072-9936-2024-0-1-191-201. URL: https://journal.rpa-mu.ru/Media/journal/archiv/2024/1/VestnRPA_2024_1-s19.pdf (дата обращения: 16.04.2026).</w:t>
      </w:r>
    </w:p>
  </w:footnote>
  <w:footnote w:id="169">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Ст. 11, 16, 23, 23.1. URL: https://www.consultant.ru/document/cons_doc_LAW_61801/; ст. 11: https://www.consultant.ru/document/cons_doc_LAW_61801/7336c78762a98b5f4f698b8c3800dca1111acc16/ (дата обращения: 16.04.2026).</w:t>
      </w:r>
    </w:p>
  </w:footnote>
  <w:footnote w:id="170">
    <w:p>
      <w:pPr>
        <w:pStyle w:val="FootnoteText"/>
      </w:pPr>
      <w:r>
        <w:rPr>
          <w:rStyle w:val="FootnoteReference"/>
        </w:rPr>
        <w:footnoteRef/>
      </w:r>
      <w:r>
        <w:t xml:space="preserve"> </w:t>
      </w:r>
      <w:r>
        <w:rPr>
          <w:i/>
          <w:iCs/>
        </w:rPr>
        <w:t xml:space="preserve">Glukhin v. Russia</w:t>
      </w:r>
      <w:r>
        <w:t xml:space="preserve"> </w:t>
      </w:r>
      <w:r>
        <w:t xml:space="preserve">(Application no. 11519/20), Judgment of 04.07.2023, HUDOC ID 001-225655. URL: https://hudoc.echr.coe.int/eng?i=001-225655; Use of facial-recognition technology breached rights of Moscow underground protestor: press release on the judgment in</w:t>
      </w:r>
      <w:r>
        <w:t xml:space="preserve"> </w:t>
      </w:r>
      <w:r>
        <w:rPr>
          <w:i/>
          <w:iCs/>
        </w:rPr>
        <w:t xml:space="preserve">Glukhin v. Russia</w:t>
      </w:r>
      <w:r>
        <w:t xml:space="preserve"> </w:t>
      </w:r>
      <w:r>
        <w:t xml:space="preserve">// European Court of Human Rights. URL: https://hudoc.echr.coe.int/app/conversion/pdf/?filename=Judgment+Glukhin+v.+Russia+-+use+of+facial-recognition+technology+against+Moscow+underground+protestor.pdf&amp;id=003-7694109-10618091&amp;library=ECHR (дата обращения: 16.04.2026).</w:t>
      </w:r>
    </w:p>
  </w:footnote>
  <w:footnote w:id="171">
    <w:p>
      <w:pPr>
        <w:pStyle w:val="FootnoteText"/>
      </w:pPr>
      <w:r>
        <w:rPr>
          <w:rStyle w:val="FootnoteReference"/>
        </w:rPr>
        <w:footnoteRef/>
      </w:r>
      <w:r>
        <w:t xml:space="preserve"> </w:t>
      </w:r>
      <w:r>
        <w:t xml:space="preserve">Федеральный закон от 29.12.2022 N 572-ФЗ. Ст. 15. URL: https://www.consultant.ru/document/cons_doc_LAW_436110/b599780118c89e6e1fba4fb8a98aa3e77fb72fcc/ (дата обращения: 16.04.2026).</w:t>
      </w:r>
    </w:p>
  </w:footnote>
  <w:footnote w:id="172">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73">
    <w:p>
      <w:pPr>
        <w:pStyle w:val="FootnoteText"/>
      </w:pPr>
      <w:r>
        <w:rPr>
          <w:rStyle w:val="FootnoteReference"/>
        </w:rPr>
        <w:footnoteRef/>
      </w:r>
      <w:r>
        <w:t xml:space="preserve"> </w:t>
      </w:r>
      <w:r>
        <w:t xml:space="preserve">Обзор операций, совершенных без добровольного согласия клиентов финансовых организаций, за 2025 год // Банк России. URL: https://www.cbr.ru/analytics/ib/operations_survey/2025/; Тенденции на рынке МФО за 2025 год // Банк России. URL: https://cbr.ru/analytics/microfinance/mfo/2025_4/; Федеральный закон от 01.04.2025 N 41-ФЗ</w:t>
      </w:r>
      <w:r>
        <w:t xml:space="preserve"> </w:t>
      </w:r>
      <w:r>
        <w:t xml:space="preserve">“О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w:t>
      </w:r>
      <w:r>
        <w:t xml:space="preserve">. Номер опубликования: 0001202504010010. URL: https://publication.pravo.gov.ru/document/0001202504010010 (дата обращения: 16.04.2026).</w:t>
      </w:r>
    </w:p>
  </w:footnote>
  <w:footnote w:id="174">
    <w:p>
      <w:pPr>
        <w:pStyle w:val="FootnoteText"/>
      </w:pPr>
      <w:r>
        <w:rPr>
          <w:rStyle w:val="FootnoteReference"/>
        </w:rPr>
        <w:footnoteRef/>
      </w:r>
      <w:r>
        <w:t xml:space="preserve"> </w:t>
      </w:r>
      <w:r>
        <w:t xml:space="preserve">Regulation (EU) 2016/679 of the European Parliament and of the Council of 27 April 2016 (GDPR). Art. 4(14), 9(1), 35(1), 36(1), recitals 51, 75, 91. URL: https://eur-lex.europa.eu/eli/reg/2016/679/oj (дата обращения: 16.04.2026).</w:t>
      </w:r>
    </w:p>
  </w:footnote>
  <w:footnote w:id="175">
    <w:p>
      <w:pPr>
        <w:pStyle w:val="FootnoteText"/>
      </w:pPr>
      <w:r>
        <w:rPr>
          <w:rStyle w:val="FootnoteReference"/>
        </w:rPr>
        <w:footnoteRef/>
      </w:r>
      <w:r>
        <w:t xml:space="preserve"> </w:t>
      </w:r>
      <w:r>
        <w:t xml:space="preserve">Regulation (EU) 2024/1689 of the European Parliament and of the Council of 13 June 2024 (AI Act). Art. 5(1), points (d)-(h); art. 5(2)-(3); art. 27; Annex III, point 1. URL: https://eur-lex.europa.eu/legal-content/EN/TXT/?uri=celex:32024R1689 (дата обращения: 16.04.2026).</w:t>
      </w:r>
    </w:p>
  </w:footnote>
  <w:footnote w:id="176">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Ст. 11, 16, 23, 23.1. URL: https://www.consultant.ru/document/cons_doc_LAW_61801/; ст. 11: https://www.consultant.ru/document/cons_doc_LAW_61801/7336c78762a98b5f4f698b8c3800dca1111acc16/ (дата обращения: 16.04.2026).</w:t>
      </w:r>
    </w:p>
  </w:footnote>
  <w:footnote w:id="177">
    <w:p>
      <w:pPr>
        <w:pStyle w:val="FootnoteText"/>
      </w:pPr>
      <w:r>
        <w:rPr>
          <w:rStyle w:val="FootnoteReference"/>
        </w:rPr>
        <w:footnoteRef/>
      </w:r>
      <w:r>
        <w:t xml:space="preserve"> </w:t>
      </w:r>
      <w:r>
        <w:t xml:space="preserve">Волкова Г. Е. Право на неприкосновенность частной жизни в цифровую эпоху //</w:t>
      </w:r>
      <w:r>
        <w:t xml:space="preserve"> </w:t>
      </w:r>
      <w:r>
        <w:rPr>
          <w:i/>
          <w:iCs/>
        </w:rPr>
        <w:t xml:space="preserve">Философия права</w:t>
      </w:r>
      <w:r>
        <w:t xml:space="preserve">. 2022. N 4(103). URL: https://cyberleninka.ru/article/n/pravo-na-neprikosnovennost-chastnoy-zhizni-v-tsifrovuyu-epohu;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(дата обращения: 16.04.2026).</w:t>
      </w:r>
    </w:p>
  </w:footnote>
  <w:footnote w:id="178">
    <w:p>
      <w:pPr>
        <w:pStyle w:val="FootnoteText"/>
      </w:pPr>
      <w:r>
        <w:rPr>
          <w:rStyle w:val="FootnoteReference"/>
        </w:rPr>
        <w:footnoteRef/>
      </w:r>
      <w:r>
        <w:t xml:space="preserve"> </w:t>
      </w:r>
      <w:r>
        <w:t xml:space="preserve">Regulation (EU) 2024/1689 of the European Parliament and of the Council of 13 June 2024 (AI Act). Art. 5(1), points (d)-(h); art. 5(2)-(3); art. 27; Annex III, point 1. URL: https://eur-lex.europa.eu/legal-content/EN/TXT/?uri=celex:32024R1689 (дата обращения: 16.04.2026).</w:t>
      </w:r>
    </w:p>
  </w:footnote>
  <w:footnote w:id="179">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w:t>
      </w:r>
      <w:r>
        <w:t xml:space="preserve"> </w:t>
      </w:r>
      <w:r>
        <w:t xml:space="preserve">(ред. от 28.12.2024). Ст. 3, ч. 1-8, 11-13, 18-22. URL: https://www.consultant.ru/document/cons_doc_LAW_436110/; ст. 3: https://www.consultant.ru/document/cons_doc_LAW_436110/15f0efd3c8311b53608abd85f9c02157e1457f55/ (дата обращения: 16.04.2026).</w:t>
      </w:r>
    </w:p>
  </w:footnote>
  <w:footnote w:id="180">
    <w:p>
      <w:pPr>
        <w:pStyle w:val="FootnoteText"/>
      </w:pPr>
      <w:r>
        <w:rPr>
          <w:rStyle w:val="FootnoteReference"/>
        </w:rPr>
        <w:footnoteRef/>
      </w:r>
      <w:r>
        <w:t xml:space="preserve"> </w:t>
      </w:r>
      <w:r>
        <w:t xml:space="preserve">Opinion 11/2024 on the use of facial recognition to streamline airport passengers’ flow (compatibility with Articles 5(1)(e) and (f), 25 and 32 GDPR), adopted on 23.05.2024 // European Data Protection Board. URL: https://www.edpb.europa.eu/system/files/2024-05/edpb_opinion_202411_facialrecognitionairports_en.pdf (дата обращения: 16.04.2026).</w:t>
      </w:r>
    </w:p>
  </w:footnote>
  <w:footnote w:id="181">
    <w:p>
      <w:pPr>
        <w:pStyle w:val="FootnoteText"/>
      </w:pPr>
      <w:r>
        <w:rPr>
          <w:rStyle w:val="FootnoteReference"/>
        </w:rPr>
        <w:footnoteRef/>
      </w:r>
      <w:r>
        <w:t xml:space="preserve"> </w:t>
      </w:r>
      <w:r>
        <w:t xml:space="preserve">Regulation (EU) 2024/1689 of the European Parliament and of the Council of 13 June 2024 (AI Act). Art. 5(1), points (d)-(h); art. 5(2)-(3); art. 27; Annex III, point 1. URL: https://eur-lex.europa.eu/legal-content/EN/TXT/?uri=celex:32024R1689 (дата обращения: 16.04.2026).</w:t>
      </w:r>
    </w:p>
  </w:footnote>
  <w:footnote w:id="182">
    <w:p>
      <w:pPr>
        <w:pStyle w:val="FootnoteText"/>
      </w:pPr>
      <w:r>
        <w:rPr>
          <w:rStyle w:val="FootnoteReference"/>
        </w:rPr>
        <w:footnoteRef/>
      </w:r>
      <w:r>
        <w:t xml:space="preserve"> </w:t>
      </w:r>
      <w:r>
        <w:t xml:space="preserve">Дмитрий Григоренко: Правительство внесло в Госдуму законопроект о биометрии в системах управления доступом // Правительство России. 24.01.2026. Законопроект N 1131094-8. URL: https://government.ru/news/57680/ (дата обращения: 16.04.2026).</w:t>
      </w:r>
    </w:p>
  </w:footnote>
  <w:footnote w:id="183">
    <w:p>
      <w:pPr>
        <w:pStyle w:val="FootnoteText"/>
      </w:pPr>
      <w:r>
        <w:rPr>
          <w:rStyle w:val="FootnoteReference"/>
        </w:rPr>
        <w:footnoteRef/>
      </w:r>
      <w:r>
        <w:t xml:space="preserve"> </w:t>
      </w:r>
      <w:r>
        <w:t xml:space="preserve">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URL: https://government.ru/docs/all/141579/; Приказ Минцифры России от 19.06.2025 N 553</w:t>
      </w:r>
      <w:r>
        <w:t xml:space="preserve"> </w:t>
      </w:r>
      <w:r>
        <w:t xml:space="preserve">“О внесении изменений в приложения N N 1, 2 и 5 к приказу Министерства цифрового развития, связи и массовых коммуникаций Российской Федерации от 12 мая 2023 г. N 453”</w:t>
      </w:r>
      <w:r>
        <w:t xml:space="preserve">. Номер опубликования: 0001202509170002. URL: https://publication.pravo.gov.ru/document/0001202509170002 (дата обращения: 16.04.2026).</w:t>
      </w:r>
    </w:p>
  </w:footnote>
  <w:footnote w:id="185">
    <w:p>
      <w:pPr>
        <w:pStyle w:val="FootnoteText"/>
      </w:pPr>
      <w:r>
        <w:rPr>
          <w:rStyle w:val="FootnoteReference"/>
        </w:rPr>
        <w:footnoteRef/>
      </w:r>
      <w:r>
        <w:t xml:space="preserve"> </w:t>
      </w:r>
      <w:r>
        <w:t xml:space="preserve">Regulation (EU) 2016/679 of the European Parliament and of the Council of 27 April 2016 (GDPR). Art. 4(14), 9(1), 35(1), 36(1), recitals 51, 75, 91. URL: https://eur-lex.europa.eu/eli/reg/2016/679/oj (дата обращения: 16.04.2026).</w:t>
      </w:r>
    </w:p>
  </w:footnote>
  <w:footnote w:id="186">
    <w:p>
      <w:pPr>
        <w:pStyle w:val="FootnoteText"/>
      </w:pPr>
      <w:r>
        <w:rPr>
          <w:rStyle w:val="FootnoteReference"/>
        </w:rPr>
        <w:footnoteRef/>
      </w:r>
      <w:r>
        <w:t xml:space="preserve"> </w:t>
      </w:r>
      <w:r>
        <w:t xml:space="preserve">Regulation (EU) 2024/1689 of the European Parliament and of the Council of 13 June 2024 (AI Act). Art. 5(1), points (d)-(h); art. 5(2)-(3); art. 27; Annex III, point 1. URL: https://eur-lex.europa.eu/legal-content/EN/TXT/?uri=celex:32024R1689 (дата обращения: 16.04.2026).</w:t>
      </w:r>
    </w:p>
  </w:footnote>
  <w:footnote w:id="187">
    <w:p>
      <w:pPr>
        <w:pStyle w:val="FootnoteText"/>
      </w:pPr>
      <w:r>
        <w:rPr>
          <w:rStyle w:val="FootnoteReference"/>
        </w:rPr>
        <w:footnoteRef/>
      </w:r>
      <w:r>
        <w:t xml:space="preserve"> </w:t>
      </w:r>
      <w:r>
        <w:t xml:space="preserve">Regulation (EU) 2024/1689 of the European Parliament and of the Council of 13 June 2024 (AI Act). Art. 5(1), points (d)-(h); art. 5(2)-(3); art. 27; Annex III, point 1. URL: https://eur-lex.europa.eu/legal-content/EN/TXT/?uri=celex:32024R1689 (дата обращения: 16.04.2026).</w:t>
      </w:r>
    </w:p>
  </w:footnote>
  <w:footnote w:id="188">
    <w:p>
      <w:pPr>
        <w:pStyle w:val="FootnoteText"/>
      </w:pPr>
      <w:r>
        <w:rPr>
          <w:rStyle w:val="FootnoteReference"/>
        </w:rPr>
        <w:footnoteRef/>
      </w:r>
      <w:r>
        <w:t xml:space="preserve"> </w:t>
      </w:r>
      <w:r>
        <w:t xml:space="preserve">Дмитрий Григоренко: Правительство внесло в Госдуму законопроект о биометрии в системах управления доступом // Правительство России. 24.01.2026. Законопроект N 1131094-8. URL: https://government.ru/news/57680/ (дата обращения: 16.04.2026).</w:t>
      </w:r>
    </w:p>
  </w:footnote>
  <w:footnote w:id="189">
    <w:p>
      <w:pPr>
        <w:pStyle w:val="FootnoteText"/>
      </w:pPr>
      <w:r>
        <w:rPr>
          <w:rStyle w:val="FootnoteReference"/>
        </w:rPr>
        <w:footnoteRef/>
      </w:r>
      <w:r>
        <w:t xml:space="preserve"> </w:t>
      </w:r>
      <w:r>
        <w:t xml:space="preserve">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URL: https://government.ru/docs/all/141579/; Приказ Минцифры России от 19.06.2025 N 553</w:t>
      </w:r>
      <w:r>
        <w:t xml:space="preserve"> </w:t>
      </w:r>
      <w:r>
        <w:t xml:space="preserve">“О внесении изменений в приложения N N 1, 2 и 5 к приказу Министерства цифрового развития, связи и массовых коммуникаций Российской Федерации от 12 мая 2023 г. N 453”</w:t>
      </w:r>
      <w:r>
        <w:t xml:space="preserve">. Номер опубликования: 0001202509170002. URL: https://publication.pravo.gov.ru/document/0001202509170002 (дата обращения: 16.04.2026).</w:t>
      </w:r>
    </w:p>
  </w:footnote>
  <w:footnote w:id="190">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91">
    <w:p>
      <w:pPr>
        <w:pStyle w:val="FootnoteText"/>
      </w:pPr>
      <w:r>
        <w:rPr>
          <w:rStyle w:val="FootnoteReference"/>
        </w:rPr>
        <w:footnoteRef/>
      </w:r>
      <w:r>
        <w:t xml:space="preserve"> </w:t>
      </w:r>
      <w:r>
        <w:t xml:space="preserve">Вопросы и ответы // Банк России. Раздел</w:t>
      </w:r>
      <w:r>
        <w:t xml:space="preserve"> </w:t>
      </w:r>
      <w:r>
        <w:t xml:space="preserve">“Удаленная идентификация”</w:t>
      </w:r>
      <w:r>
        <w:t xml:space="preserve">. Обновлено: 18.02.2026. URL: https://www.cbr.ru/fintech/faq_fintech/ (дата обращения: 16.04.2026).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2026-04-18T09:52:50Z</dcterms:created>
  <dcterms:modified xsi:type="dcterms:W3CDTF">2026-04-18T09:52:50Z</dcterms:modified>
</cp:coreProperties>
</file>

<file path=docProps/custom.xml><?xml version="1.0" encoding="utf-8"?>
<Properties xmlns="http://schemas.openxmlformats.org/officeDocument/2006/custom-properties" xmlns:vt="http://schemas.openxmlformats.org/officeDocument/2006/docPropsVTypes"/>
</file>