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83581" w14:textId="77777777" w:rsidR="0071224D" w:rsidRDefault="0071224D">
      <w:pPr>
        <w:spacing w:after="1400"/>
      </w:pPr>
    </w:p>
    <w:p w14:paraId="43E98475" w14:textId="77777777" w:rsidR="0071224D" w:rsidRDefault="00000000">
      <w:pPr>
        <w:spacing w:after="120"/>
      </w:pPr>
      <w:r>
        <w:rPr>
          <w:rFonts w:ascii="Aptos" w:eastAsia="Aptos" w:hAnsi="Aptos" w:cs="Aptos"/>
          <w:b/>
          <w:bCs/>
          <w:color w:val="0F7C86"/>
          <w:sz w:val="19"/>
          <w:szCs w:val="19"/>
        </w:rPr>
        <w:t>PRODUCT VISION  |  COLIBRI HEALTHCARE  |  FHEA + ELITE NP</w:t>
      </w:r>
    </w:p>
    <w:p w14:paraId="708B5A3D" w14:textId="77777777" w:rsidR="0071224D" w:rsidRDefault="00000000">
      <w:pPr>
        <w:spacing w:after="100"/>
      </w:pPr>
      <w:r>
        <w:rPr>
          <w:rFonts w:ascii="Aptos" w:eastAsia="Aptos" w:hAnsi="Aptos" w:cs="Aptos"/>
          <w:b/>
          <w:bCs/>
          <w:color w:val="13294B"/>
          <w:sz w:val="52"/>
          <w:szCs w:val="52"/>
        </w:rPr>
        <w:t>Functional Medicine Certification</w:t>
      </w:r>
    </w:p>
    <w:p w14:paraId="2D11B8EB" w14:textId="77777777" w:rsidR="0071224D" w:rsidRDefault="00000000">
      <w:pPr>
        <w:spacing w:after="260"/>
      </w:pPr>
      <w:r>
        <w:rPr>
          <w:rFonts w:ascii="Aptos" w:eastAsia="Aptos" w:hAnsi="Aptos" w:cs="Aptos"/>
          <w:b/>
          <w:bCs/>
          <w:color w:val="13294B"/>
          <w:sz w:val="52"/>
          <w:szCs w:val="52"/>
        </w:rPr>
        <w:t>AI SDR Agent</w:t>
      </w:r>
    </w:p>
    <w:p w14:paraId="1BEFD26F" w14:textId="77777777" w:rsidR="0071224D" w:rsidRDefault="00000000">
      <w:pPr>
        <w:pBdr>
          <w:top w:val="single" w:sz="12" w:space="6" w:color="0F7C86"/>
        </w:pBdr>
        <w:spacing w:after="400"/>
      </w:pPr>
      <w:r>
        <w:rPr>
          <w:rFonts w:ascii="Aptos" w:eastAsia="Aptos" w:hAnsi="Aptos" w:cs="Aptos"/>
          <w:i/>
          <w:iCs/>
          <w:color w:val="4A4A4A"/>
          <w:sz w:val="23"/>
          <w:szCs w:val="23"/>
        </w:rPr>
        <w:t>An always on program advisor that meets nurse practitioners on the Functional Medicine Certification landing page, intervenes when a cart is about to be abandoned, and writes the follow up email itself.</w:t>
      </w:r>
    </w:p>
    <w:p w14:paraId="5A68B59A" w14:textId="77777777" w:rsidR="0071224D" w:rsidRDefault="0071224D">
      <w:pPr>
        <w:spacing w:after="600"/>
      </w:pPr>
    </w:p>
    <w:tbl>
      <w:tblPr>
        <w:tblW w:w="9360" w:type="dxa"/>
        <w:tblBorders>
          <w:top w:val="single" w:sz="2" w:space="0" w:color="C8D4D8"/>
          <w:left w:val="single" w:sz="2" w:space="0" w:color="C8D4D8"/>
          <w:bottom w:val="single" w:sz="2" w:space="0" w:color="C8D4D8"/>
          <w:right w:val="single" w:sz="2" w:space="0" w:color="C8D4D8"/>
          <w:insideH w:val="single" w:sz="2" w:space="0" w:color="C8D4D8"/>
          <w:insideV w:val="single" w:sz="2" w:space="0" w:color="C8D4D8"/>
        </w:tblBorders>
        <w:tblCellMar>
          <w:left w:w="10" w:type="dxa"/>
          <w:right w:w="10" w:type="dxa"/>
        </w:tblCellMar>
        <w:tblLook w:val="04A0" w:firstRow="1" w:lastRow="0" w:firstColumn="1" w:lastColumn="0" w:noHBand="0" w:noVBand="1"/>
      </w:tblPr>
      <w:tblGrid>
        <w:gridCol w:w="2400"/>
        <w:gridCol w:w="6960"/>
      </w:tblGrid>
      <w:tr w:rsidR="0071224D" w14:paraId="68C6AD9B" w14:textId="77777777">
        <w:tc>
          <w:tcPr>
            <w:tcW w:w="2400" w:type="dxa"/>
            <w:tcMar>
              <w:top w:w="90" w:type="dxa"/>
              <w:left w:w="130" w:type="dxa"/>
              <w:bottom w:w="90" w:type="dxa"/>
              <w:right w:w="130" w:type="dxa"/>
            </w:tcMar>
          </w:tcPr>
          <w:p w14:paraId="7E0BC782" w14:textId="77777777" w:rsidR="0071224D" w:rsidRDefault="00000000">
            <w:pPr>
              <w:spacing w:before="50" w:after="50" w:line="260" w:lineRule="auto"/>
            </w:pPr>
            <w:r>
              <w:rPr>
                <w:rFonts w:ascii="Aptos" w:eastAsia="Aptos" w:hAnsi="Aptos" w:cs="Aptos"/>
                <w:b/>
                <w:bCs/>
                <w:color w:val="1A1A1A"/>
                <w:sz w:val="19"/>
                <w:szCs w:val="19"/>
              </w:rPr>
              <w:t>Product</w:t>
            </w:r>
          </w:p>
        </w:tc>
        <w:tc>
          <w:tcPr>
            <w:tcW w:w="6960" w:type="dxa"/>
            <w:tcMar>
              <w:top w:w="90" w:type="dxa"/>
              <w:left w:w="130" w:type="dxa"/>
              <w:bottom w:w="90" w:type="dxa"/>
              <w:right w:w="130" w:type="dxa"/>
            </w:tcMar>
          </w:tcPr>
          <w:p w14:paraId="24F1BC04" w14:textId="552C04BD" w:rsidR="0071224D" w:rsidRDefault="00000000">
            <w:pPr>
              <w:spacing w:before="50" w:after="50" w:line="260" w:lineRule="auto"/>
            </w:pPr>
            <w:r>
              <w:rPr>
                <w:rFonts w:ascii="Aptos" w:eastAsia="Aptos" w:hAnsi="Aptos" w:cs="Aptos"/>
                <w:color w:val="1A1A1A"/>
                <w:sz w:val="19"/>
                <w:szCs w:val="19"/>
              </w:rPr>
              <w:t>Functional Medicine Certification (FMP-C) by Elite NP, sold on fhea.com and elitenp.com</w:t>
            </w:r>
          </w:p>
        </w:tc>
      </w:tr>
      <w:tr w:rsidR="0071224D" w14:paraId="4BF8A036" w14:textId="77777777">
        <w:tc>
          <w:tcPr>
            <w:tcW w:w="2400" w:type="dxa"/>
            <w:shd w:val="clear" w:color="auto" w:fill="F1F5F7"/>
            <w:tcMar>
              <w:top w:w="90" w:type="dxa"/>
              <w:left w:w="130" w:type="dxa"/>
              <w:bottom w:w="90" w:type="dxa"/>
              <w:right w:w="130" w:type="dxa"/>
            </w:tcMar>
          </w:tcPr>
          <w:p w14:paraId="28FF1071" w14:textId="77777777" w:rsidR="0071224D" w:rsidRDefault="00000000">
            <w:pPr>
              <w:spacing w:before="50" w:after="50" w:line="260" w:lineRule="auto"/>
            </w:pPr>
            <w:r>
              <w:rPr>
                <w:rFonts w:ascii="Aptos" w:eastAsia="Aptos" w:hAnsi="Aptos" w:cs="Aptos"/>
                <w:b/>
                <w:bCs/>
                <w:color w:val="1A1A1A"/>
                <w:sz w:val="19"/>
                <w:szCs w:val="19"/>
              </w:rPr>
              <w:t>List price</w:t>
            </w:r>
          </w:p>
        </w:tc>
        <w:tc>
          <w:tcPr>
            <w:tcW w:w="6960" w:type="dxa"/>
            <w:shd w:val="clear" w:color="auto" w:fill="F1F5F7"/>
            <w:tcMar>
              <w:top w:w="90" w:type="dxa"/>
              <w:left w:w="130" w:type="dxa"/>
              <w:bottom w:w="90" w:type="dxa"/>
              <w:right w:w="130" w:type="dxa"/>
            </w:tcMar>
          </w:tcPr>
          <w:p w14:paraId="5C267F90" w14:textId="7B011EC4" w:rsidR="0071224D" w:rsidRDefault="00000000">
            <w:pPr>
              <w:spacing w:before="50" w:after="50" w:line="260" w:lineRule="auto"/>
            </w:pPr>
            <w:r>
              <w:rPr>
                <w:rFonts w:ascii="Aptos" w:eastAsia="Aptos" w:hAnsi="Aptos" w:cs="Aptos"/>
                <w:color w:val="1A1A1A"/>
                <w:sz w:val="19"/>
                <w:szCs w:val="19"/>
              </w:rPr>
              <w:t>$3,999, one time, Affirm financing available (on FHEA only)</w:t>
            </w:r>
          </w:p>
        </w:tc>
      </w:tr>
      <w:tr w:rsidR="0071224D" w14:paraId="117E821F" w14:textId="77777777">
        <w:tc>
          <w:tcPr>
            <w:tcW w:w="2400" w:type="dxa"/>
            <w:tcMar>
              <w:top w:w="90" w:type="dxa"/>
              <w:left w:w="130" w:type="dxa"/>
              <w:bottom w:w="90" w:type="dxa"/>
              <w:right w:w="130" w:type="dxa"/>
            </w:tcMar>
          </w:tcPr>
          <w:p w14:paraId="1C271CD9" w14:textId="77777777" w:rsidR="0071224D" w:rsidRDefault="00000000">
            <w:pPr>
              <w:spacing w:before="50" w:after="50" w:line="260" w:lineRule="auto"/>
            </w:pPr>
            <w:r>
              <w:rPr>
                <w:rFonts w:ascii="Aptos" w:eastAsia="Aptos" w:hAnsi="Aptos" w:cs="Aptos"/>
                <w:b/>
                <w:bCs/>
                <w:color w:val="1A1A1A"/>
                <w:sz w:val="19"/>
                <w:szCs w:val="19"/>
              </w:rPr>
              <w:t>Prepared by</w:t>
            </w:r>
          </w:p>
        </w:tc>
        <w:tc>
          <w:tcPr>
            <w:tcW w:w="6960" w:type="dxa"/>
            <w:tcMar>
              <w:top w:w="90" w:type="dxa"/>
              <w:left w:w="130" w:type="dxa"/>
              <w:bottom w:w="90" w:type="dxa"/>
              <w:right w:w="130" w:type="dxa"/>
            </w:tcMar>
          </w:tcPr>
          <w:p w14:paraId="238A7385" w14:textId="77777777" w:rsidR="0071224D" w:rsidRDefault="00000000">
            <w:pPr>
              <w:spacing w:before="50" w:after="50" w:line="260" w:lineRule="auto"/>
            </w:pPr>
            <w:r>
              <w:rPr>
                <w:rFonts w:ascii="Aptos" w:eastAsia="Aptos" w:hAnsi="Aptos" w:cs="Aptos"/>
                <w:color w:val="1A1A1A"/>
                <w:sz w:val="19"/>
                <w:szCs w:val="19"/>
              </w:rPr>
              <w:t>Gail Applin, Sr. Director of Digital Marketing, Colibri Healthcare</w:t>
            </w:r>
          </w:p>
        </w:tc>
      </w:tr>
      <w:tr w:rsidR="0071224D" w14:paraId="2D96C41A" w14:textId="77777777">
        <w:tc>
          <w:tcPr>
            <w:tcW w:w="2400" w:type="dxa"/>
            <w:shd w:val="clear" w:color="auto" w:fill="F1F5F7"/>
            <w:tcMar>
              <w:top w:w="90" w:type="dxa"/>
              <w:left w:w="130" w:type="dxa"/>
              <w:bottom w:w="90" w:type="dxa"/>
              <w:right w:w="130" w:type="dxa"/>
            </w:tcMar>
          </w:tcPr>
          <w:p w14:paraId="3D5299B5" w14:textId="77777777" w:rsidR="0071224D" w:rsidRDefault="00000000">
            <w:pPr>
              <w:spacing w:before="50" w:after="50" w:line="260" w:lineRule="auto"/>
            </w:pPr>
            <w:r>
              <w:rPr>
                <w:rFonts w:ascii="Aptos" w:eastAsia="Aptos" w:hAnsi="Aptos" w:cs="Aptos"/>
                <w:b/>
                <w:bCs/>
                <w:color w:val="1A1A1A"/>
                <w:sz w:val="19"/>
                <w:szCs w:val="19"/>
              </w:rPr>
              <w:t>Date</w:t>
            </w:r>
          </w:p>
        </w:tc>
        <w:tc>
          <w:tcPr>
            <w:tcW w:w="6960" w:type="dxa"/>
            <w:shd w:val="clear" w:color="auto" w:fill="F1F5F7"/>
            <w:tcMar>
              <w:top w:w="90" w:type="dxa"/>
              <w:left w:w="130" w:type="dxa"/>
              <w:bottom w:w="90" w:type="dxa"/>
              <w:right w:w="130" w:type="dxa"/>
            </w:tcMar>
          </w:tcPr>
          <w:p w14:paraId="24DF824F" w14:textId="77777777" w:rsidR="0071224D" w:rsidRDefault="00000000">
            <w:pPr>
              <w:spacing w:before="50" w:after="50" w:line="260" w:lineRule="auto"/>
            </w:pPr>
            <w:r>
              <w:rPr>
                <w:rFonts w:ascii="Aptos" w:eastAsia="Aptos" w:hAnsi="Aptos" w:cs="Aptos"/>
                <w:color w:val="1A1A1A"/>
                <w:sz w:val="19"/>
                <w:szCs w:val="19"/>
              </w:rPr>
              <w:t>August 17, 2026</w:t>
            </w:r>
          </w:p>
        </w:tc>
      </w:tr>
    </w:tbl>
    <w:p w14:paraId="1E487B2D" w14:textId="77777777" w:rsidR="0071224D" w:rsidRDefault="00000000">
      <w:r>
        <w:br w:type="page"/>
      </w:r>
    </w:p>
    <w:p w14:paraId="6458A8EB" w14:textId="77777777" w:rsidR="0071224D" w:rsidRDefault="00000000">
      <w:pPr>
        <w:pStyle w:val="Heading1"/>
        <w:spacing w:before="380" w:after="160"/>
      </w:pPr>
      <w:r>
        <w:rPr>
          <w:b/>
          <w:bCs/>
          <w:sz w:val="30"/>
          <w:szCs w:val="30"/>
        </w:rPr>
        <w:lastRenderedPageBreak/>
        <w:t>1. Executive Summary</w:t>
      </w:r>
    </w:p>
    <w:p w14:paraId="38552400" w14:textId="2C742B1E" w:rsidR="0071224D" w:rsidRDefault="00000000">
      <w:pPr>
        <w:spacing w:after="140" w:line="276" w:lineRule="auto"/>
      </w:pPr>
      <w:r>
        <w:rPr>
          <w:rFonts w:ascii="Aptos" w:eastAsia="Aptos" w:hAnsi="Aptos" w:cs="Aptos"/>
          <w:color w:val="1A1A1A"/>
          <w:sz w:val="21"/>
          <w:szCs w:val="21"/>
        </w:rPr>
        <w:t xml:space="preserve">The Functional Medicine Certification is the highest value single SKU in the FHEA catalog at $3,999. </w:t>
      </w:r>
    </w:p>
    <w:p w14:paraId="3552EBAB" w14:textId="7FA6EF0B" w:rsidR="0071224D" w:rsidRDefault="00000000">
      <w:pPr>
        <w:spacing w:after="140" w:line="276" w:lineRule="auto"/>
      </w:pPr>
      <w:r>
        <w:rPr>
          <w:rFonts w:ascii="Aptos" w:eastAsia="Aptos" w:hAnsi="Aptos" w:cs="Aptos"/>
          <w:color w:val="1A1A1A"/>
          <w:sz w:val="21"/>
          <w:szCs w:val="21"/>
        </w:rPr>
        <w:t xml:space="preserve">A $3,999 clinical credential is a considered purchase. The nurse practitioner reading that page is weighing a career pivot, a cash pay practice, a year of evenings, and money that in many cases is coming out of a household budget. She has real questions, about accreditation, about state prescribing authority, about whether the business module actually teaches her to charge for this work, about whether her employer will reimburse it. Today she has nowhere to ask them at the moment she is asking them. </w:t>
      </w:r>
    </w:p>
    <w:p w14:paraId="4927C687" w14:textId="77777777" w:rsidR="0071224D" w:rsidRDefault="00000000">
      <w:pPr>
        <w:spacing w:after="140" w:line="276" w:lineRule="auto"/>
      </w:pPr>
      <w:r>
        <w:rPr>
          <w:rFonts w:ascii="Aptos" w:eastAsia="Aptos" w:hAnsi="Aptos" w:cs="Aptos"/>
          <w:color w:val="1A1A1A"/>
          <w:sz w:val="21"/>
          <w:szCs w:val="21"/>
        </w:rPr>
        <w:t>This document proposes an AI SDR agent, positioned to the customer as a Functional Medicine program advisor, that closes that gap in three places. It greets and qualifies on the landing page when behavior signals hesitation rather than disinterest. It intervenes at the cart and checkout when a nurse practitioner has committed enough to add the certification but is stalling. And when she still leaves, it writes her cart recovery email itself, grounded in what she actually asked and did, rather than sending her the same generic sequence everyone else gets.</w:t>
      </w:r>
    </w:p>
    <w:p w14:paraId="4796A239" w14:textId="77777777" w:rsidR="0071224D" w:rsidRDefault="00000000">
      <w:pPr>
        <w:pStyle w:val="Heading1"/>
        <w:spacing w:before="380" w:after="160"/>
      </w:pPr>
      <w:r>
        <w:rPr>
          <w:b/>
          <w:bCs/>
          <w:sz w:val="30"/>
          <w:szCs w:val="30"/>
        </w:rPr>
        <w:t>2. The vision</w:t>
      </w:r>
    </w:p>
    <w:p w14:paraId="78DA3387" w14:textId="77777777" w:rsidR="0071224D" w:rsidRDefault="00000000">
      <w:pPr>
        <w:spacing w:after="140" w:line="276" w:lineRule="auto"/>
      </w:pPr>
      <w:r>
        <w:rPr>
          <w:rFonts w:ascii="Aptos" w:eastAsia="Aptos" w:hAnsi="Aptos" w:cs="Aptos"/>
          <w:color w:val="1A1A1A"/>
          <w:sz w:val="21"/>
          <w:szCs w:val="21"/>
        </w:rPr>
        <w:t xml:space="preserve">We are building a single agent with one identity across three touchpoints, not three disconnected automations. She has a name, a consistent voice, memory of the conversation, and a defined scope of authority. Internally she is the Functional Medicine AI SDR. To the customer she is a program advisor, and she says plainly that she is an AI assistant </w:t>
      </w:r>
      <w:r>
        <w:rPr>
          <w:rFonts w:ascii="Aptos" w:eastAsia="Aptos" w:hAnsi="Aptos" w:cs="Aptos"/>
          <w:color w:val="1A1A1A"/>
          <w:sz w:val="21"/>
          <w:szCs w:val="21"/>
          <w:highlight w:val="yellow"/>
        </w:rPr>
        <w:t>with a human colleague one message away</w:t>
      </w:r>
      <w:r>
        <w:rPr>
          <w:rFonts w:ascii="Aptos" w:eastAsia="Aptos" w:hAnsi="Aptos" w:cs="Aptos"/>
          <w:color w:val="1A1A1A"/>
          <w:sz w:val="21"/>
          <w:szCs w:val="21"/>
        </w:rPr>
        <w:t>.</w:t>
      </w:r>
    </w:p>
    <w:p w14:paraId="05185164" w14:textId="63EE9E19" w:rsidR="0071224D" w:rsidRDefault="00000000">
      <w:pPr>
        <w:pStyle w:val="Heading2"/>
        <w:spacing w:before="260" w:after="110"/>
      </w:pPr>
      <w:r>
        <w:rPr>
          <w:b/>
          <w:bCs/>
          <w:sz w:val="24"/>
          <w:szCs w:val="24"/>
        </w:rPr>
        <w:t>2.1 The three touchpoints</w:t>
      </w:r>
    </w:p>
    <w:p w14:paraId="10F71850" w14:textId="77777777" w:rsidR="0071224D" w:rsidRDefault="0071224D">
      <w:pPr>
        <w:spacing w:after="60"/>
      </w:pPr>
    </w:p>
    <w:tbl>
      <w:tblPr>
        <w:tblW w:w="9360" w:type="dxa"/>
        <w:tblBorders>
          <w:top w:val="single" w:sz="2" w:space="0" w:color="C8D4D8"/>
          <w:left w:val="single" w:sz="2" w:space="0" w:color="C8D4D8"/>
          <w:bottom w:val="single" w:sz="2" w:space="0" w:color="C8D4D8"/>
          <w:right w:val="single" w:sz="2" w:space="0" w:color="C8D4D8"/>
          <w:insideH w:val="single" w:sz="2" w:space="0" w:color="C8D4D8"/>
          <w:insideV w:val="single" w:sz="2" w:space="0" w:color="C8D4D8"/>
        </w:tblBorders>
        <w:tblCellMar>
          <w:left w:w="10" w:type="dxa"/>
          <w:right w:w="10" w:type="dxa"/>
        </w:tblCellMar>
        <w:tblLook w:val="04A0" w:firstRow="1" w:lastRow="0" w:firstColumn="1" w:lastColumn="0" w:noHBand="0" w:noVBand="1"/>
      </w:tblPr>
      <w:tblGrid>
        <w:gridCol w:w="2000"/>
        <w:gridCol w:w="3400"/>
        <w:gridCol w:w="3960"/>
      </w:tblGrid>
      <w:tr w:rsidR="0071224D" w14:paraId="29BA1A9C" w14:textId="77777777">
        <w:trPr>
          <w:tblHeader/>
        </w:trPr>
        <w:tc>
          <w:tcPr>
            <w:tcW w:w="2000" w:type="dxa"/>
            <w:shd w:val="clear" w:color="auto" w:fill="13294B"/>
            <w:tcMar>
              <w:top w:w="90" w:type="dxa"/>
              <w:left w:w="130" w:type="dxa"/>
              <w:bottom w:w="90" w:type="dxa"/>
              <w:right w:w="130" w:type="dxa"/>
            </w:tcMar>
          </w:tcPr>
          <w:p w14:paraId="726C6444" w14:textId="77777777" w:rsidR="0071224D" w:rsidRDefault="00000000">
            <w:pPr>
              <w:spacing w:before="50" w:after="50" w:line="260" w:lineRule="auto"/>
            </w:pPr>
            <w:r>
              <w:rPr>
                <w:rFonts w:ascii="Aptos" w:eastAsia="Aptos" w:hAnsi="Aptos" w:cs="Aptos"/>
                <w:b/>
                <w:bCs/>
                <w:color w:val="FFFFFF"/>
                <w:sz w:val="19"/>
                <w:szCs w:val="19"/>
              </w:rPr>
              <w:t>Touchpoint</w:t>
            </w:r>
          </w:p>
        </w:tc>
        <w:tc>
          <w:tcPr>
            <w:tcW w:w="3400" w:type="dxa"/>
            <w:shd w:val="clear" w:color="auto" w:fill="13294B"/>
            <w:tcMar>
              <w:top w:w="90" w:type="dxa"/>
              <w:left w:w="130" w:type="dxa"/>
              <w:bottom w:w="90" w:type="dxa"/>
              <w:right w:w="130" w:type="dxa"/>
            </w:tcMar>
          </w:tcPr>
          <w:p w14:paraId="434F6F2D" w14:textId="77777777" w:rsidR="0071224D" w:rsidRDefault="00000000">
            <w:pPr>
              <w:spacing w:before="50" w:after="50" w:line="260" w:lineRule="auto"/>
            </w:pPr>
            <w:r>
              <w:rPr>
                <w:rFonts w:ascii="Aptos" w:eastAsia="Aptos" w:hAnsi="Aptos" w:cs="Aptos"/>
                <w:b/>
                <w:bCs/>
                <w:color w:val="FFFFFF"/>
                <w:sz w:val="19"/>
                <w:szCs w:val="19"/>
              </w:rPr>
              <w:t>Moment</w:t>
            </w:r>
          </w:p>
        </w:tc>
        <w:tc>
          <w:tcPr>
            <w:tcW w:w="3960" w:type="dxa"/>
            <w:shd w:val="clear" w:color="auto" w:fill="13294B"/>
            <w:tcMar>
              <w:top w:w="90" w:type="dxa"/>
              <w:left w:w="130" w:type="dxa"/>
              <w:bottom w:w="90" w:type="dxa"/>
              <w:right w:w="130" w:type="dxa"/>
            </w:tcMar>
          </w:tcPr>
          <w:p w14:paraId="5968EF88" w14:textId="77777777" w:rsidR="0071224D" w:rsidRDefault="00000000">
            <w:pPr>
              <w:spacing w:before="50" w:after="50" w:line="260" w:lineRule="auto"/>
            </w:pPr>
            <w:r>
              <w:rPr>
                <w:rFonts w:ascii="Aptos" w:eastAsia="Aptos" w:hAnsi="Aptos" w:cs="Aptos"/>
                <w:b/>
                <w:bCs/>
                <w:color w:val="FFFFFF"/>
                <w:sz w:val="19"/>
                <w:szCs w:val="19"/>
              </w:rPr>
              <w:t>Job to be done</w:t>
            </w:r>
          </w:p>
        </w:tc>
      </w:tr>
      <w:tr w:rsidR="0071224D" w14:paraId="22001905" w14:textId="77777777">
        <w:tc>
          <w:tcPr>
            <w:tcW w:w="2000" w:type="dxa"/>
            <w:tcMar>
              <w:top w:w="90" w:type="dxa"/>
              <w:left w:w="130" w:type="dxa"/>
              <w:bottom w:w="90" w:type="dxa"/>
              <w:right w:w="130" w:type="dxa"/>
            </w:tcMar>
          </w:tcPr>
          <w:p w14:paraId="639BA338" w14:textId="77777777" w:rsidR="0071224D" w:rsidRDefault="00000000">
            <w:pPr>
              <w:spacing w:before="50" w:after="50" w:line="260" w:lineRule="auto"/>
            </w:pPr>
            <w:r>
              <w:rPr>
                <w:rFonts w:ascii="Aptos" w:eastAsia="Aptos" w:hAnsi="Aptos" w:cs="Aptos"/>
                <w:b/>
                <w:bCs/>
                <w:color w:val="1A1A1A"/>
                <w:sz w:val="19"/>
                <w:szCs w:val="19"/>
              </w:rPr>
              <w:t>Landing page advisor</w:t>
            </w:r>
          </w:p>
        </w:tc>
        <w:tc>
          <w:tcPr>
            <w:tcW w:w="3400" w:type="dxa"/>
            <w:tcMar>
              <w:top w:w="90" w:type="dxa"/>
              <w:left w:w="130" w:type="dxa"/>
              <w:bottom w:w="90" w:type="dxa"/>
              <w:right w:w="130" w:type="dxa"/>
            </w:tcMar>
          </w:tcPr>
          <w:p w14:paraId="64D17F4C" w14:textId="77777777" w:rsidR="0071224D" w:rsidRDefault="00000000">
            <w:pPr>
              <w:spacing w:before="50" w:after="50" w:line="260" w:lineRule="auto"/>
            </w:pPr>
            <w:r>
              <w:rPr>
                <w:rFonts w:ascii="Aptos" w:eastAsia="Aptos" w:hAnsi="Aptos" w:cs="Aptos"/>
                <w:color w:val="1A1A1A"/>
                <w:sz w:val="19"/>
                <w:szCs w:val="19"/>
              </w:rPr>
              <w:t>On /functional-medicine-certification/, when behavior signals hesitation rather than disinterest</w:t>
            </w:r>
          </w:p>
        </w:tc>
        <w:tc>
          <w:tcPr>
            <w:tcW w:w="3960" w:type="dxa"/>
            <w:tcMar>
              <w:top w:w="90" w:type="dxa"/>
              <w:left w:w="130" w:type="dxa"/>
              <w:bottom w:w="90" w:type="dxa"/>
              <w:right w:w="130" w:type="dxa"/>
            </w:tcMar>
          </w:tcPr>
          <w:p w14:paraId="540D6C49" w14:textId="422D6E56" w:rsidR="0071224D" w:rsidRDefault="00000000">
            <w:pPr>
              <w:spacing w:before="50" w:after="50" w:line="260" w:lineRule="auto"/>
            </w:pPr>
            <w:r>
              <w:rPr>
                <w:rFonts w:ascii="Aptos" w:eastAsia="Aptos" w:hAnsi="Aptos" w:cs="Aptos"/>
                <w:color w:val="1A1A1A"/>
                <w:sz w:val="19"/>
                <w:szCs w:val="19"/>
              </w:rPr>
              <w:t xml:space="preserve">Answer the unasked question, classify the decision state, capture identity, move her to cart </w:t>
            </w:r>
          </w:p>
        </w:tc>
      </w:tr>
      <w:tr w:rsidR="0071224D" w14:paraId="70DFBE6D" w14:textId="77777777">
        <w:tc>
          <w:tcPr>
            <w:tcW w:w="2000" w:type="dxa"/>
            <w:shd w:val="clear" w:color="auto" w:fill="F1F5F7"/>
            <w:tcMar>
              <w:top w:w="90" w:type="dxa"/>
              <w:left w:w="130" w:type="dxa"/>
              <w:bottom w:w="90" w:type="dxa"/>
              <w:right w:w="130" w:type="dxa"/>
            </w:tcMar>
          </w:tcPr>
          <w:p w14:paraId="78CC88E3" w14:textId="77777777" w:rsidR="0071224D" w:rsidRDefault="00000000">
            <w:pPr>
              <w:spacing w:before="50" w:after="50" w:line="260" w:lineRule="auto"/>
            </w:pPr>
            <w:r>
              <w:rPr>
                <w:rFonts w:ascii="Aptos" w:eastAsia="Aptos" w:hAnsi="Aptos" w:cs="Aptos"/>
                <w:b/>
                <w:bCs/>
                <w:color w:val="1A1A1A"/>
                <w:sz w:val="19"/>
                <w:szCs w:val="19"/>
              </w:rPr>
              <w:t>Cart and checkout rescue</w:t>
            </w:r>
          </w:p>
        </w:tc>
        <w:tc>
          <w:tcPr>
            <w:tcW w:w="3400" w:type="dxa"/>
            <w:shd w:val="clear" w:color="auto" w:fill="F1F5F7"/>
            <w:tcMar>
              <w:top w:w="90" w:type="dxa"/>
              <w:left w:w="130" w:type="dxa"/>
              <w:bottom w:w="90" w:type="dxa"/>
              <w:right w:w="130" w:type="dxa"/>
            </w:tcMar>
          </w:tcPr>
          <w:p w14:paraId="59AC75E2" w14:textId="77777777" w:rsidR="0071224D" w:rsidRDefault="00000000">
            <w:pPr>
              <w:spacing w:before="50" w:after="50" w:line="260" w:lineRule="auto"/>
            </w:pPr>
            <w:r>
              <w:rPr>
                <w:rFonts w:ascii="Aptos" w:eastAsia="Aptos" w:hAnsi="Aptos" w:cs="Aptos"/>
                <w:color w:val="1A1A1A"/>
                <w:sz w:val="19"/>
                <w:szCs w:val="19"/>
              </w:rPr>
              <w:t>After add to cart, on exit intent, on payment stall, on coupon hunting</w:t>
            </w:r>
          </w:p>
        </w:tc>
        <w:tc>
          <w:tcPr>
            <w:tcW w:w="3960" w:type="dxa"/>
            <w:shd w:val="clear" w:color="auto" w:fill="F1F5F7"/>
            <w:tcMar>
              <w:top w:w="90" w:type="dxa"/>
              <w:left w:w="130" w:type="dxa"/>
              <w:bottom w:w="90" w:type="dxa"/>
              <w:right w:w="130" w:type="dxa"/>
            </w:tcMar>
          </w:tcPr>
          <w:p w14:paraId="48333E09" w14:textId="77777777" w:rsidR="0071224D" w:rsidRDefault="00000000">
            <w:pPr>
              <w:spacing w:before="50" w:after="50" w:line="260" w:lineRule="auto"/>
            </w:pPr>
            <w:r>
              <w:rPr>
                <w:rFonts w:ascii="Aptos" w:eastAsia="Aptos" w:hAnsi="Aptos" w:cs="Aptos"/>
                <w:color w:val="1A1A1A"/>
                <w:sz w:val="19"/>
                <w:szCs w:val="19"/>
              </w:rPr>
              <w:t>Name and remove the single specific blocker in the next thirty seconds, or capture permission to follow up</w:t>
            </w:r>
          </w:p>
        </w:tc>
      </w:tr>
      <w:tr w:rsidR="0071224D" w14:paraId="60D6D7A5" w14:textId="77777777">
        <w:tc>
          <w:tcPr>
            <w:tcW w:w="2000" w:type="dxa"/>
            <w:tcMar>
              <w:top w:w="90" w:type="dxa"/>
              <w:left w:w="130" w:type="dxa"/>
              <w:bottom w:w="90" w:type="dxa"/>
              <w:right w:w="130" w:type="dxa"/>
            </w:tcMar>
          </w:tcPr>
          <w:p w14:paraId="52994FA9" w14:textId="77777777" w:rsidR="0071224D" w:rsidRDefault="00000000">
            <w:pPr>
              <w:spacing w:before="50" w:after="50" w:line="260" w:lineRule="auto"/>
            </w:pPr>
            <w:r>
              <w:rPr>
                <w:rFonts w:ascii="Aptos" w:eastAsia="Aptos" w:hAnsi="Aptos" w:cs="Aptos"/>
                <w:b/>
                <w:bCs/>
                <w:color w:val="1A1A1A"/>
                <w:sz w:val="19"/>
                <w:szCs w:val="19"/>
              </w:rPr>
              <w:t>Agent written recovery email</w:t>
            </w:r>
          </w:p>
        </w:tc>
        <w:tc>
          <w:tcPr>
            <w:tcW w:w="3400" w:type="dxa"/>
            <w:tcMar>
              <w:top w:w="90" w:type="dxa"/>
              <w:left w:w="130" w:type="dxa"/>
              <w:bottom w:w="90" w:type="dxa"/>
              <w:right w:w="130" w:type="dxa"/>
            </w:tcMar>
          </w:tcPr>
          <w:p w14:paraId="5E91EE2B" w14:textId="40966A3C" w:rsidR="0071224D" w:rsidRDefault="0048516D">
            <w:pPr>
              <w:spacing w:before="50" w:after="50" w:line="260" w:lineRule="auto"/>
            </w:pPr>
            <w:r>
              <w:rPr>
                <w:rFonts w:ascii="Aptos" w:eastAsia="Aptos" w:hAnsi="Aptos" w:cs="Aptos"/>
                <w:color w:val="1A1A1A"/>
                <w:sz w:val="19"/>
                <w:szCs w:val="19"/>
              </w:rPr>
              <w:t>After abandonment, in HubSpot</w:t>
            </w:r>
          </w:p>
        </w:tc>
        <w:tc>
          <w:tcPr>
            <w:tcW w:w="3960" w:type="dxa"/>
            <w:tcMar>
              <w:top w:w="90" w:type="dxa"/>
              <w:left w:w="130" w:type="dxa"/>
              <w:bottom w:w="90" w:type="dxa"/>
              <w:right w:w="130" w:type="dxa"/>
            </w:tcMar>
          </w:tcPr>
          <w:p w14:paraId="1F6AD76B" w14:textId="77777777" w:rsidR="0071224D" w:rsidRDefault="00000000">
            <w:pPr>
              <w:spacing w:before="50" w:after="50" w:line="260" w:lineRule="auto"/>
            </w:pPr>
            <w:r>
              <w:rPr>
                <w:rFonts w:ascii="Aptos" w:eastAsia="Aptos" w:hAnsi="Aptos" w:cs="Aptos"/>
                <w:color w:val="1A1A1A"/>
                <w:sz w:val="19"/>
                <w:szCs w:val="19"/>
              </w:rPr>
              <w:t>Continue the actual conversation she had, not a generic reminder that she left something in a cart</w:t>
            </w:r>
          </w:p>
        </w:tc>
      </w:tr>
    </w:tbl>
    <w:p w14:paraId="2D1BC27D" w14:textId="77777777" w:rsidR="0071224D" w:rsidRDefault="0071224D">
      <w:pPr>
        <w:spacing w:after="120"/>
      </w:pPr>
    </w:p>
    <w:p w14:paraId="1D00FE51" w14:textId="77777777" w:rsidR="0071224D" w:rsidRDefault="00000000">
      <w:pPr>
        <w:spacing w:after="140" w:line="276" w:lineRule="auto"/>
      </w:pPr>
      <w:r>
        <w:rPr>
          <w:rFonts w:ascii="Aptos" w:eastAsia="Aptos" w:hAnsi="Aptos" w:cs="Aptos"/>
          <w:color w:val="1A1A1A"/>
          <w:sz w:val="21"/>
          <w:szCs w:val="21"/>
        </w:rPr>
        <w:t>The third touchpoint is what makes this different from a chatbot. Most cart abandon programs send a template. Here, the agent that had the conversation writes the email, so the subject line references her actual objection, the body answers it, and the sequence stops as soon as it is resolved.</w:t>
      </w:r>
    </w:p>
    <w:p w14:paraId="2A824AD6" w14:textId="77777777" w:rsidR="0071224D" w:rsidRDefault="00000000">
      <w:pPr>
        <w:pStyle w:val="Heading1"/>
        <w:spacing w:before="380" w:after="160"/>
      </w:pPr>
      <w:r>
        <w:rPr>
          <w:b/>
          <w:bCs/>
          <w:sz w:val="30"/>
          <w:szCs w:val="30"/>
        </w:rPr>
        <w:lastRenderedPageBreak/>
        <w:t>3. Touchpoint one: the landing page advisor</w:t>
      </w:r>
    </w:p>
    <w:p w14:paraId="637DBA06" w14:textId="77777777" w:rsidR="0071224D" w:rsidRDefault="00000000">
      <w:pPr>
        <w:spacing w:after="140" w:line="276" w:lineRule="auto"/>
      </w:pPr>
      <w:r>
        <w:rPr>
          <w:rFonts w:ascii="Aptos" w:eastAsia="Aptos" w:hAnsi="Aptos" w:cs="Aptos"/>
          <w:color w:val="1A1A1A"/>
          <w:sz w:val="21"/>
          <w:szCs w:val="21"/>
        </w:rPr>
        <w:t>The failure mode of proactive chat is interrupting people who are already converting and ignoring the ones who are stuck. So the agent does not greet on page load. It greets on evidence of hesitation.</w:t>
      </w:r>
    </w:p>
    <w:p w14:paraId="6956608D" w14:textId="77777777" w:rsidR="0071224D" w:rsidRDefault="00000000">
      <w:pPr>
        <w:pStyle w:val="Heading2"/>
        <w:spacing w:before="260" w:after="110"/>
      </w:pPr>
      <w:r>
        <w:rPr>
          <w:b/>
          <w:bCs/>
          <w:sz w:val="24"/>
          <w:szCs w:val="24"/>
        </w:rPr>
        <w:t>3.1 Trigger inventory</w:t>
      </w:r>
    </w:p>
    <w:p w14:paraId="31C30266" w14:textId="77777777" w:rsidR="0071224D" w:rsidRDefault="0071224D">
      <w:pPr>
        <w:spacing w:after="60"/>
      </w:pPr>
    </w:p>
    <w:tbl>
      <w:tblPr>
        <w:tblW w:w="9360" w:type="dxa"/>
        <w:tblBorders>
          <w:top w:val="single" w:sz="2" w:space="0" w:color="C8D4D8"/>
          <w:left w:val="single" w:sz="2" w:space="0" w:color="C8D4D8"/>
          <w:bottom w:val="single" w:sz="2" w:space="0" w:color="C8D4D8"/>
          <w:right w:val="single" w:sz="2" w:space="0" w:color="C8D4D8"/>
          <w:insideH w:val="single" w:sz="2" w:space="0" w:color="C8D4D8"/>
          <w:insideV w:val="single" w:sz="2" w:space="0" w:color="C8D4D8"/>
        </w:tblBorders>
        <w:tblCellMar>
          <w:left w:w="10" w:type="dxa"/>
          <w:right w:w="10" w:type="dxa"/>
        </w:tblCellMar>
        <w:tblLook w:val="04A0" w:firstRow="1" w:lastRow="0" w:firstColumn="1" w:lastColumn="0" w:noHBand="0" w:noVBand="1"/>
      </w:tblPr>
      <w:tblGrid>
        <w:gridCol w:w="3000"/>
        <w:gridCol w:w="3200"/>
        <w:gridCol w:w="3160"/>
      </w:tblGrid>
      <w:tr w:rsidR="0071224D" w14:paraId="2866437C" w14:textId="77777777">
        <w:trPr>
          <w:tblHeader/>
        </w:trPr>
        <w:tc>
          <w:tcPr>
            <w:tcW w:w="3000" w:type="dxa"/>
            <w:shd w:val="clear" w:color="auto" w:fill="13294B"/>
            <w:tcMar>
              <w:top w:w="90" w:type="dxa"/>
              <w:left w:w="130" w:type="dxa"/>
              <w:bottom w:w="90" w:type="dxa"/>
              <w:right w:w="130" w:type="dxa"/>
            </w:tcMar>
          </w:tcPr>
          <w:p w14:paraId="213FE297" w14:textId="77777777" w:rsidR="0071224D" w:rsidRDefault="00000000">
            <w:pPr>
              <w:spacing w:before="50" w:after="50" w:line="260" w:lineRule="auto"/>
            </w:pPr>
            <w:r>
              <w:rPr>
                <w:rFonts w:ascii="Aptos" w:eastAsia="Aptos" w:hAnsi="Aptos" w:cs="Aptos"/>
                <w:b/>
                <w:bCs/>
                <w:color w:val="FFFFFF"/>
                <w:sz w:val="19"/>
                <w:szCs w:val="19"/>
              </w:rPr>
              <w:t>Signal</w:t>
            </w:r>
          </w:p>
        </w:tc>
        <w:tc>
          <w:tcPr>
            <w:tcW w:w="3200" w:type="dxa"/>
            <w:shd w:val="clear" w:color="auto" w:fill="13294B"/>
            <w:tcMar>
              <w:top w:w="90" w:type="dxa"/>
              <w:left w:w="130" w:type="dxa"/>
              <w:bottom w:w="90" w:type="dxa"/>
              <w:right w:w="130" w:type="dxa"/>
            </w:tcMar>
          </w:tcPr>
          <w:p w14:paraId="2AE48509" w14:textId="77777777" w:rsidR="0071224D" w:rsidRDefault="00000000">
            <w:pPr>
              <w:spacing w:before="50" w:after="50" w:line="260" w:lineRule="auto"/>
            </w:pPr>
            <w:r>
              <w:rPr>
                <w:rFonts w:ascii="Aptos" w:eastAsia="Aptos" w:hAnsi="Aptos" w:cs="Aptos"/>
                <w:b/>
                <w:bCs/>
                <w:color w:val="FFFFFF"/>
                <w:sz w:val="19"/>
                <w:szCs w:val="19"/>
              </w:rPr>
              <w:t>Threshold</w:t>
            </w:r>
          </w:p>
        </w:tc>
        <w:tc>
          <w:tcPr>
            <w:tcW w:w="3160" w:type="dxa"/>
            <w:shd w:val="clear" w:color="auto" w:fill="13294B"/>
            <w:tcMar>
              <w:top w:w="90" w:type="dxa"/>
              <w:left w:w="130" w:type="dxa"/>
              <w:bottom w:w="90" w:type="dxa"/>
              <w:right w:w="130" w:type="dxa"/>
            </w:tcMar>
          </w:tcPr>
          <w:p w14:paraId="1BD07D5E" w14:textId="77777777" w:rsidR="0071224D" w:rsidRDefault="00000000">
            <w:pPr>
              <w:spacing w:before="50" w:after="50" w:line="260" w:lineRule="auto"/>
            </w:pPr>
            <w:r>
              <w:rPr>
                <w:rFonts w:ascii="Aptos" w:eastAsia="Aptos" w:hAnsi="Aptos" w:cs="Aptos"/>
                <w:b/>
                <w:bCs/>
                <w:color w:val="FFFFFF"/>
                <w:sz w:val="19"/>
                <w:szCs w:val="19"/>
              </w:rPr>
              <w:t>Agent opening move</w:t>
            </w:r>
          </w:p>
        </w:tc>
      </w:tr>
      <w:tr w:rsidR="0071224D" w14:paraId="31850D17" w14:textId="77777777">
        <w:tc>
          <w:tcPr>
            <w:tcW w:w="3000" w:type="dxa"/>
            <w:tcMar>
              <w:top w:w="90" w:type="dxa"/>
              <w:left w:w="130" w:type="dxa"/>
              <w:bottom w:w="90" w:type="dxa"/>
              <w:right w:w="130" w:type="dxa"/>
            </w:tcMar>
          </w:tcPr>
          <w:p w14:paraId="7637B8B2" w14:textId="77777777" w:rsidR="0071224D" w:rsidRDefault="00000000">
            <w:pPr>
              <w:spacing w:before="50" w:after="50" w:line="260" w:lineRule="auto"/>
            </w:pPr>
            <w:r>
              <w:rPr>
                <w:rFonts w:ascii="Aptos" w:eastAsia="Aptos" w:hAnsi="Aptos" w:cs="Aptos"/>
                <w:b/>
                <w:bCs/>
                <w:color w:val="1A1A1A"/>
                <w:sz w:val="19"/>
                <w:szCs w:val="19"/>
              </w:rPr>
              <w:t>Engaged dwell with no CTA click</w:t>
            </w:r>
          </w:p>
        </w:tc>
        <w:tc>
          <w:tcPr>
            <w:tcW w:w="3200" w:type="dxa"/>
            <w:tcMar>
              <w:top w:w="90" w:type="dxa"/>
              <w:left w:w="130" w:type="dxa"/>
              <w:bottom w:w="90" w:type="dxa"/>
              <w:right w:w="130" w:type="dxa"/>
            </w:tcMar>
          </w:tcPr>
          <w:p w14:paraId="52B57DE6" w14:textId="77777777" w:rsidR="0071224D" w:rsidRDefault="00000000">
            <w:pPr>
              <w:spacing w:before="50" w:after="50" w:line="260" w:lineRule="auto"/>
            </w:pPr>
            <w:r>
              <w:rPr>
                <w:rFonts w:ascii="Aptos" w:eastAsia="Aptos" w:hAnsi="Aptos" w:cs="Aptos"/>
                <w:color w:val="1A1A1A"/>
                <w:sz w:val="19"/>
                <w:szCs w:val="19"/>
              </w:rPr>
              <w:t>45 seconds and 60% scroll depth</w:t>
            </w:r>
          </w:p>
        </w:tc>
        <w:tc>
          <w:tcPr>
            <w:tcW w:w="3160" w:type="dxa"/>
            <w:tcMar>
              <w:top w:w="90" w:type="dxa"/>
              <w:left w:w="130" w:type="dxa"/>
              <w:bottom w:w="90" w:type="dxa"/>
              <w:right w:w="130" w:type="dxa"/>
            </w:tcMar>
          </w:tcPr>
          <w:p w14:paraId="17ABB680" w14:textId="77777777" w:rsidR="0071224D" w:rsidRDefault="00000000">
            <w:pPr>
              <w:spacing w:before="50" w:after="50" w:line="260" w:lineRule="auto"/>
            </w:pPr>
            <w:r>
              <w:rPr>
                <w:rFonts w:ascii="Aptos" w:eastAsia="Aptos" w:hAnsi="Aptos" w:cs="Aptos"/>
                <w:color w:val="1A1A1A"/>
                <w:sz w:val="19"/>
                <w:szCs w:val="19"/>
              </w:rPr>
              <w:t>Offer the one thing most people at that scroll position ask about</w:t>
            </w:r>
          </w:p>
        </w:tc>
      </w:tr>
      <w:tr w:rsidR="0071224D" w14:paraId="051A1961" w14:textId="77777777">
        <w:tc>
          <w:tcPr>
            <w:tcW w:w="3000" w:type="dxa"/>
            <w:shd w:val="clear" w:color="auto" w:fill="F1F5F7"/>
            <w:tcMar>
              <w:top w:w="90" w:type="dxa"/>
              <w:left w:w="130" w:type="dxa"/>
              <w:bottom w:w="90" w:type="dxa"/>
              <w:right w:w="130" w:type="dxa"/>
            </w:tcMar>
          </w:tcPr>
          <w:p w14:paraId="5853F4DC" w14:textId="77777777" w:rsidR="0071224D" w:rsidRDefault="00000000">
            <w:pPr>
              <w:spacing w:before="50" w:after="50" w:line="260" w:lineRule="auto"/>
            </w:pPr>
            <w:r>
              <w:rPr>
                <w:rFonts w:ascii="Aptos" w:eastAsia="Aptos" w:hAnsi="Aptos" w:cs="Aptos"/>
                <w:b/>
                <w:bCs/>
                <w:color w:val="1A1A1A"/>
                <w:sz w:val="19"/>
                <w:szCs w:val="19"/>
              </w:rPr>
              <w:t>Pricing section dwell</w:t>
            </w:r>
          </w:p>
        </w:tc>
        <w:tc>
          <w:tcPr>
            <w:tcW w:w="3200" w:type="dxa"/>
            <w:shd w:val="clear" w:color="auto" w:fill="F1F5F7"/>
            <w:tcMar>
              <w:top w:w="90" w:type="dxa"/>
              <w:left w:w="130" w:type="dxa"/>
              <w:bottom w:w="90" w:type="dxa"/>
              <w:right w:w="130" w:type="dxa"/>
            </w:tcMar>
          </w:tcPr>
          <w:p w14:paraId="27E57D08" w14:textId="77777777" w:rsidR="0071224D" w:rsidRDefault="00000000">
            <w:pPr>
              <w:spacing w:before="50" w:after="50" w:line="260" w:lineRule="auto"/>
            </w:pPr>
            <w:r>
              <w:rPr>
                <w:rFonts w:ascii="Aptos" w:eastAsia="Aptos" w:hAnsi="Aptos" w:cs="Aptos"/>
                <w:color w:val="1A1A1A"/>
                <w:sz w:val="19"/>
                <w:szCs w:val="19"/>
              </w:rPr>
              <w:t>10 seconds in view of the price block</w:t>
            </w:r>
          </w:p>
        </w:tc>
        <w:tc>
          <w:tcPr>
            <w:tcW w:w="3160" w:type="dxa"/>
            <w:shd w:val="clear" w:color="auto" w:fill="F1F5F7"/>
            <w:tcMar>
              <w:top w:w="90" w:type="dxa"/>
              <w:left w:w="130" w:type="dxa"/>
              <w:bottom w:w="90" w:type="dxa"/>
              <w:right w:w="130" w:type="dxa"/>
            </w:tcMar>
          </w:tcPr>
          <w:p w14:paraId="29FA5EF8" w14:textId="77777777" w:rsidR="0071224D" w:rsidRDefault="00000000">
            <w:pPr>
              <w:spacing w:before="50" w:after="50" w:line="260" w:lineRule="auto"/>
            </w:pPr>
            <w:r>
              <w:rPr>
                <w:rFonts w:ascii="Aptos" w:eastAsia="Aptos" w:hAnsi="Aptos" w:cs="Aptos"/>
                <w:color w:val="1A1A1A"/>
                <w:sz w:val="19"/>
                <w:szCs w:val="19"/>
              </w:rPr>
              <w:t>Lead with total cost clarity and the Affirm monthly figure, unprompted</w:t>
            </w:r>
          </w:p>
        </w:tc>
      </w:tr>
      <w:tr w:rsidR="0071224D" w14:paraId="3615C746" w14:textId="77777777">
        <w:tc>
          <w:tcPr>
            <w:tcW w:w="3000" w:type="dxa"/>
            <w:tcMar>
              <w:top w:w="90" w:type="dxa"/>
              <w:left w:w="130" w:type="dxa"/>
              <w:bottom w:w="90" w:type="dxa"/>
              <w:right w:w="130" w:type="dxa"/>
            </w:tcMar>
          </w:tcPr>
          <w:p w14:paraId="554C4413" w14:textId="77777777" w:rsidR="0071224D" w:rsidRDefault="00000000">
            <w:pPr>
              <w:spacing w:before="50" w:after="50" w:line="260" w:lineRule="auto"/>
            </w:pPr>
            <w:r>
              <w:rPr>
                <w:rFonts w:ascii="Aptos" w:eastAsia="Aptos" w:hAnsi="Aptos" w:cs="Aptos"/>
                <w:b/>
                <w:bCs/>
                <w:color w:val="1A1A1A"/>
                <w:sz w:val="19"/>
                <w:szCs w:val="19"/>
              </w:rPr>
              <w:t>FAQ accordion opened twice</w:t>
            </w:r>
          </w:p>
        </w:tc>
        <w:tc>
          <w:tcPr>
            <w:tcW w:w="3200" w:type="dxa"/>
            <w:tcMar>
              <w:top w:w="90" w:type="dxa"/>
              <w:left w:w="130" w:type="dxa"/>
              <w:bottom w:w="90" w:type="dxa"/>
              <w:right w:w="130" w:type="dxa"/>
            </w:tcMar>
          </w:tcPr>
          <w:p w14:paraId="69DC82B0" w14:textId="77777777" w:rsidR="0071224D" w:rsidRDefault="00000000">
            <w:pPr>
              <w:spacing w:before="50" w:after="50" w:line="260" w:lineRule="auto"/>
            </w:pPr>
            <w:r>
              <w:rPr>
                <w:rFonts w:ascii="Aptos" w:eastAsia="Aptos" w:hAnsi="Aptos" w:cs="Aptos"/>
                <w:color w:val="1A1A1A"/>
                <w:sz w:val="19"/>
                <w:szCs w:val="19"/>
              </w:rPr>
              <w:t>Two or more opens</w:t>
            </w:r>
          </w:p>
        </w:tc>
        <w:tc>
          <w:tcPr>
            <w:tcW w:w="3160" w:type="dxa"/>
            <w:tcMar>
              <w:top w:w="90" w:type="dxa"/>
              <w:left w:w="130" w:type="dxa"/>
              <w:bottom w:w="90" w:type="dxa"/>
              <w:right w:w="130" w:type="dxa"/>
            </w:tcMar>
          </w:tcPr>
          <w:p w14:paraId="4B8E8875" w14:textId="77777777" w:rsidR="0071224D" w:rsidRDefault="00000000">
            <w:pPr>
              <w:spacing w:before="50" w:after="50" w:line="260" w:lineRule="auto"/>
            </w:pPr>
            <w:r>
              <w:rPr>
                <w:rFonts w:ascii="Aptos" w:eastAsia="Aptos" w:hAnsi="Aptos" w:cs="Aptos"/>
                <w:color w:val="1A1A1A"/>
                <w:sz w:val="19"/>
                <w:szCs w:val="19"/>
              </w:rPr>
              <w:t>Answer the category she is opening rather than making her read</w:t>
            </w:r>
          </w:p>
        </w:tc>
      </w:tr>
      <w:tr w:rsidR="0071224D" w14:paraId="33C56A6A" w14:textId="77777777">
        <w:tc>
          <w:tcPr>
            <w:tcW w:w="3000" w:type="dxa"/>
            <w:shd w:val="clear" w:color="auto" w:fill="F1F5F7"/>
            <w:tcMar>
              <w:top w:w="90" w:type="dxa"/>
              <w:left w:w="130" w:type="dxa"/>
              <w:bottom w:w="90" w:type="dxa"/>
              <w:right w:w="130" w:type="dxa"/>
            </w:tcMar>
          </w:tcPr>
          <w:p w14:paraId="7C8A88F1" w14:textId="77777777" w:rsidR="0071224D" w:rsidRDefault="00000000">
            <w:pPr>
              <w:spacing w:before="50" w:after="50" w:line="260" w:lineRule="auto"/>
            </w:pPr>
            <w:r>
              <w:rPr>
                <w:rFonts w:ascii="Aptos" w:eastAsia="Aptos" w:hAnsi="Aptos" w:cs="Aptos"/>
                <w:b/>
                <w:bCs/>
                <w:color w:val="1A1A1A"/>
                <w:sz w:val="19"/>
                <w:szCs w:val="19"/>
              </w:rPr>
              <w:t>Repeat visit</w:t>
            </w:r>
          </w:p>
        </w:tc>
        <w:tc>
          <w:tcPr>
            <w:tcW w:w="3200" w:type="dxa"/>
            <w:shd w:val="clear" w:color="auto" w:fill="F1F5F7"/>
            <w:tcMar>
              <w:top w:w="90" w:type="dxa"/>
              <w:left w:w="130" w:type="dxa"/>
              <w:bottom w:w="90" w:type="dxa"/>
              <w:right w:w="130" w:type="dxa"/>
            </w:tcMar>
          </w:tcPr>
          <w:p w14:paraId="69B46E73" w14:textId="77777777" w:rsidR="0071224D" w:rsidRDefault="00000000">
            <w:pPr>
              <w:spacing w:before="50" w:after="50" w:line="260" w:lineRule="auto"/>
            </w:pPr>
            <w:r>
              <w:rPr>
                <w:rFonts w:ascii="Aptos" w:eastAsia="Aptos" w:hAnsi="Aptos" w:cs="Aptos"/>
                <w:color w:val="1A1A1A"/>
                <w:sz w:val="19"/>
                <w:szCs w:val="19"/>
              </w:rPr>
              <w:t>Second or later visit within 14 days</w:t>
            </w:r>
          </w:p>
        </w:tc>
        <w:tc>
          <w:tcPr>
            <w:tcW w:w="3160" w:type="dxa"/>
            <w:shd w:val="clear" w:color="auto" w:fill="F1F5F7"/>
            <w:tcMar>
              <w:top w:w="90" w:type="dxa"/>
              <w:left w:w="130" w:type="dxa"/>
              <w:bottom w:w="90" w:type="dxa"/>
              <w:right w:w="130" w:type="dxa"/>
            </w:tcMar>
          </w:tcPr>
          <w:p w14:paraId="49FE1701" w14:textId="77777777" w:rsidR="0071224D" w:rsidRDefault="00000000">
            <w:pPr>
              <w:spacing w:before="50" w:after="50" w:line="260" w:lineRule="auto"/>
            </w:pPr>
            <w:r>
              <w:rPr>
                <w:rFonts w:ascii="Aptos" w:eastAsia="Aptos" w:hAnsi="Aptos" w:cs="Aptos"/>
                <w:color w:val="1A1A1A"/>
                <w:sz w:val="19"/>
                <w:szCs w:val="19"/>
              </w:rPr>
              <w:t>Acknowledge the return and ask what is still open</w:t>
            </w:r>
          </w:p>
        </w:tc>
      </w:tr>
      <w:tr w:rsidR="0071224D" w14:paraId="6E30780E" w14:textId="77777777">
        <w:tc>
          <w:tcPr>
            <w:tcW w:w="3000" w:type="dxa"/>
            <w:tcMar>
              <w:top w:w="90" w:type="dxa"/>
              <w:left w:w="130" w:type="dxa"/>
              <w:bottom w:w="90" w:type="dxa"/>
              <w:right w:w="130" w:type="dxa"/>
            </w:tcMar>
          </w:tcPr>
          <w:p w14:paraId="3790314F" w14:textId="77777777" w:rsidR="0071224D" w:rsidRDefault="00000000">
            <w:pPr>
              <w:spacing w:before="50" w:after="50" w:line="260" w:lineRule="auto"/>
            </w:pPr>
            <w:r>
              <w:rPr>
                <w:rFonts w:ascii="Aptos" w:eastAsia="Aptos" w:hAnsi="Aptos" w:cs="Aptos"/>
                <w:b/>
                <w:bCs/>
                <w:color w:val="1A1A1A"/>
                <w:sz w:val="19"/>
                <w:szCs w:val="19"/>
              </w:rPr>
              <w:t>Paid search cost intent</w:t>
            </w:r>
          </w:p>
        </w:tc>
        <w:tc>
          <w:tcPr>
            <w:tcW w:w="3200" w:type="dxa"/>
            <w:tcMar>
              <w:top w:w="90" w:type="dxa"/>
              <w:left w:w="130" w:type="dxa"/>
              <w:bottom w:w="90" w:type="dxa"/>
              <w:right w:w="130" w:type="dxa"/>
            </w:tcMar>
          </w:tcPr>
          <w:p w14:paraId="31C08482" w14:textId="77777777" w:rsidR="0071224D" w:rsidRDefault="00000000">
            <w:pPr>
              <w:spacing w:before="50" w:after="50" w:line="260" w:lineRule="auto"/>
            </w:pPr>
            <w:r>
              <w:rPr>
                <w:rFonts w:ascii="Aptos" w:eastAsia="Aptos" w:hAnsi="Aptos" w:cs="Aptos"/>
                <w:color w:val="1A1A1A"/>
                <w:sz w:val="19"/>
                <w:szCs w:val="19"/>
              </w:rPr>
              <w:t>Keyword or ad group containing cost, price, financing, worth it</w:t>
            </w:r>
          </w:p>
        </w:tc>
        <w:tc>
          <w:tcPr>
            <w:tcW w:w="3160" w:type="dxa"/>
            <w:tcMar>
              <w:top w:w="90" w:type="dxa"/>
              <w:left w:w="130" w:type="dxa"/>
              <w:bottom w:w="90" w:type="dxa"/>
              <w:right w:w="130" w:type="dxa"/>
            </w:tcMar>
          </w:tcPr>
          <w:p w14:paraId="41A83CC7" w14:textId="77777777" w:rsidR="0071224D" w:rsidRDefault="00000000">
            <w:pPr>
              <w:spacing w:before="50" w:after="50" w:line="260" w:lineRule="auto"/>
            </w:pPr>
            <w:r>
              <w:rPr>
                <w:rFonts w:ascii="Aptos" w:eastAsia="Aptos" w:hAnsi="Aptos" w:cs="Aptos"/>
                <w:color w:val="1A1A1A"/>
                <w:sz w:val="19"/>
                <w:szCs w:val="19"/>
              </w:rPr>
              <w:t>Open on price and payment before she has to ask</w:t>
            </w:r>
          </w:p>
        </w:tc>
      </w:tr>
      <w:tr w:rsidR="0071224D" w14:paraId="4321A2FA" w14:textId="77777777">
        <w:tc>
          <w:tcPr>
            <w:tcW w:w="3000" w:type="dxa"/>
            <w:shd w:val="clear" w:color="auto" w:fill="F1F5F7"/>
            <w:tcMar>
              <w:top w:w="90" w:type="dxa"/>
              <w:left w:w="130" w:type="dxa"/>
              <w:bottom w:w="90" w:type="dxa"/>
              <w:right w:w="130" w:type="dxa"/>
            </w:tcMar>
          </w:tcPr>
          <w:p w14:paraId="547AA227" w14:textId="77777777" w:rsidR="0071224D" w:rsidRDefault="00000000">
            <w:pPr>
              <w:spacing w:before="50" w:after="50" w:line="260" w:lineRule="auto"/>
            </w:pPr>
            <w:r>
              <w:rPr>
                <w:rFonts w:ascii="Aptos" w:eastAsia="Aptos" w:hAnsi="Aptos" w:cs="Aptos"/>
                <w:b/>
                <w:bCs/>
                <w:color w:val="1A1A1A"/>
                <w:sz w:val="19"/>
                <w:szCs w:val="19"/>
              </w:rPr>
              <w:t>Known contact from email</w:t>
            </w:r>
          </w:p>
        </w:tc>
        <w:tc>
          <w:tcPr>
            <w:tcW w:w="3200" w:type="dxa"/>
            <w:shd w:val="clear" w:color="auto" w:fill="F1F5F7"/>
            <w:tcMar>
              <w:top w:w="90" w:type="dxa"/>
              <w:left w:w="130" w:type="dxa"/>
              <w:bottom w:w="90" w:type="dxa"/>
              <w:right w:w="130" w:type="dxa"/>
            </w:tcMar>
          </w:tcPr>
          <w:p w14:paraId="7FAB8FC0" w14:textId="77777777" w:rsidR="0071224D" w:rsidRDefault="00000000">
            <w:pPr>
              <w:spacing w:before="50" w:after="50" w:line="260" w:lineRule="auto"/>
            </w:pPr>
            <w:r>
              <w:rPr>
                <w:rFonts w:ascii="Aptos" w:eastAsia="Aptos" w:hAnsi="Aptos" w:cs="Aptos"/>
                <w:color w:val="1A1A1A"/>
                <w:sz w:val="19"/>
                <w:szCs w:val="19"/>
              </w:rPr>
              <w:t>HubSpot cookie match</w:t>
            </w:r>
          </w:p>
        </w:tc>
        <w:tc>
          <w:tcPr>
            <w:tcW w:w="3160" w:type="dxa"/>
            <w:shd w:val="clear" w:color="auto" w:fill="F1F5F7"/>
            <w:tcMar>
              <w:top w:w="90" w:type="dxa"/>
              <w:left w:w="130" w:type="dxa"/>
              <w:bottom w:w="90" w:type="dxa"/>
              <w:right w:w="130" w:type="dxa"/>
            </w:tcMar>
          </w:tcPr>
          <w:p w14:paraId="73B6B3EE" w14:textId="77777777" w:rsidR="0071224D" w:rsidRDefault="00000000">
            <w:pPr>
              <w:spacing w:before="50" w:after="50" w:line="260" w:lineRule="auto"/>
            </w:pPr>
            <w:r>
              <w:rPr>
                <w:rFonts w:ascii="Aptos" w:eastAsia="Aptos" w:hAnsi="Aptos" w:cs="Aptos"/>
                <w:color w:val="1A1A1A"/>
                <w:sz w:val="19"/>
                <w:szCs w:val="19"/>
              </w:rPr>
              <w:t>Skip discovery, reference what she already told us, go straight to the open question</w:t>
            </w:r>
          </w:p>
        </w:tc>
      </w:tr>
      <w:tr w:rsidR="0071224D" w14:paraId="67BEEC1B" w14:textId="77777777">
        <w:tc>
          <w:tcPr>
            <w:tcW w:w="3000" w:type="dxa"/>
            <w:tcMar>
              <w:top w:w="90" w:type="dxa"/>
              <w:left w:w="130" w:type="dxa"/>
              <w:bottom w:w="90" w:type="dxa"/>
              <w:right w:w="130" w:type="dxa"/>
            </w:tcMar>
          </w:tcPr>
          <w:p w14:paraId="7C7631D9" w14:textId="77777777" w:rsidR="0071224D" w:rsidRDefault="00000000">
            <w:pPr>
              <w:spacing w:before="50" w:after="50" w:line="260" w:lineRule="auto"/>
            </w:pPr>
            <w:r>
              <w:rPr>
                <w:rFonts w:ascii="Aptos" w:eastAsia="Aptos" w:hAnsi="Aptos" w:cs="Aptos"/>
                <w:b/>
                <w:bCs/>
                <w:color w:val="1A1A1A"/>
                <w:sz w:val="19"/>
                <w:szCs w:val="19"/>
              </w:rPr>
              <w:t>Copy or print attempt</w:t>
            </w:r>
          </w:p>
        </w:tc>
        <w:tc>
          <w:tcPr>
            <w:tcW w:w="3200" w:type="dxa"/>
            <w:tcMar>
              <w:top w:w="90" w:type="dxa"/>
              <w:left w:w="130" w:type="dxa"/>
              <w:bottom w:w="90" w:type="dxa"/>
              <w:right w:w="130" w:type="dxa"/>
            </w:tcMar>
          </w:tcPr>
          <w:p w14:paraId="5D635AA6" w14:textId="77777777" w:rsidR="0071224D" w:rsidRDefault="00000000">
            <w:pPr>
              <w:spacing w:before="50" w:after="50" w:line="260" w:lineRule="auto"/>
            </w:pPr>
            <w:r>
              <w:rPr>
                <w:rFonts w:ascii="Aptos" w:eastAsia="Aptos" w:hAnsi="Aptos" w:cs="Aptos"/>
                <w:color w:val="1A1A1A"/>
                <w:sz w:val="19"/>
                <w:szCs w:val="19"/>
              </w:rPr>
              <w:t>Selection copy or print dialog</w:t>
            </w:r>
          </w:p>
        </w:tc>
        <w:tc>
          <w:tcPr>
            <w:tcW w:w="3160" w:type="dxa"/>
            <w:tcMar>
              <w:top w:w="90" w:type="dxa"/>
              <w:left w:w="130" w:type="dxa"/>
              <w:bottom w:w="90" w:type="dxa"/>
              <w:right w:w="130" w:type="dxa"/>
            </w:tcMar>
          </w:tcPr>
          <w:p w14:paraId="47998638" w14:textId="77777777" w:rsidR="0071224D" w:rsidRDefault="00000000">
            <w:pPr>
              <w:spacing w:before="50" w:after="50" w:line="260" w:lineRule="auto"/>
            </w:pPr>
            <w:r>
              <w:rPr>
                <w:rFonts w:ascii="Aptos" w:eastAsia="Aptos" w:hAnsi="Aptos" w:cs="Aptos"/>
                <w:color w:val="1A1A1A"/>
                <w:sz w:val="19"/>
                <w:szCs w:val="19"/>
              </w:rPr>
              <w:t>Offer the employer justification one pager and an invoice</w:t>
            </w:r>
          </w:p>
        </w:tc>
      </w:tr>
      <w:tr w:rsidR="0071224D" w14:paraId="22F932C7" w14:textId="77777777">
        <w:tc>
          <w:tcPr>
            <w:tcW w:w="3000" w:type="dxa"/>
            <w:shd w:val="clear" w:color="auto" w:fill="F1F5F7"/>
            <w:tcMar>
              <w:top w:w="90" w:type="dxa"/>
              <w:left w:w="130" w:type="dxa"/>
              <w:bottom w:w="90" w:type="dxa"/>
              <w:right w:w="130" w:type="dxa"/>
            </w:tcMar>
          </w:tcPr>
          <w:p w14:paraId="2274B8E1" w14:textId="77777777" w:rsidR="0071224D" w:rsidRDefault="00000000">
            <w:pPr>
              <w:spacing w:before="50" w:after="50" w:line="260" w:lineRule="auto"/>
            </w:pPr>
            <w:r>
              <w:rPr>
                <w:rFonts w:ascii="Aptos" w:eastAsia="Aptos" w:hAnsi="Aptos" w:cs="Aptos"/>
                <w:b/>
                <w:bCs/>
                <w:color w:val="1A1A1A"/>
                <w:sz w:val="19"/>
                <w:szCs w:val="19"/>
              </w:rPr>
              <w:t>Idle mid page</w:t>
            </w:r>
          </w:p>
        </w:tc>
        <w:tc>
          <w:tcPr>
            <w:tcW w:w="3200" w:type="dxa"/>
            <w:shd w:val="clear" w:color="auto" w:fill="F1F5F7"/>
            <w:tcMar>
              <w:top w:w="90" w:type="dxa"/>
              <w:left w:w="130" w:type="dxa"/>
              <w:bottom w:w="90" w:type="dxa"/>
              <w:right w:w="130" w:type="dxa"/>
            </w:tcMar>
          </w:tcPr>
          <w:p w14:paraId="72E546E2" w14:textId="77777777" w:rsidR="0071224D" w:rsidRDefault="00000000">
            <w:pPr>
              <w:spacing w:before="50" w:after="50" w:line="260" w:lineRule="auto"/>
            </w:pPr>
            <w:r>
              <w:rPr>
                <w:rFonts w:ascii="Aptos" w:eastAsia="Aptos" w:hAnsi="Aptos" w:cs="Aptos"/>
                <w:color w:val="1A1A1A"/>
                <w:sz w:val="19"/>
                <w:szCs w:val="19"/>
              </w:rPr>
              <w:t>90 seconds without interaction</w:t>
            </w:r>
          </w:p>
        </w:tc>
        <w:tc>
          <w:tcPr>
            <w:tcW w:w="3160" w:type="dxa"/>
            <w:shd w:val="clear" w:color="auto" w:fill="F1F5F7"/>
            <w:tcMar>
              <w:top w:w="90" w:type="dxa"/>
              <w:left w:w="130" w:type="dxa"/>
              <w:bottom w:w="90" w:type="dxa"/>
              <w:right w:w="130" w:type="dxa"/>
            </w:tcMar>
          </w:tcPr>
          <w:p w14:paraId="60DD4050" w14:textId="77777777" w:rsidR="0071224D" w:rsidRDefault="00000000">
            <w:pPr>
              <w:spacing w:before="50" w:after="50" w:line="260" w:lineRule="auto"/>
            </w:pPr>
            <w:r>
              <w:rPr>
                <w:rFonts w:ascii="Aptos" w:eastAsia="Aptos" w:hAnsi="Aptos" w:cs="Aptos"/>
                <w:color w:val="1A1A1A"/>
                <w:sz w:val="19"/>
                <w:szCs w:val="19"/>
              </w:rPr>
              <w:t>Single low friction offer, then go quiet</w:t>
            </w:r>
          </w:p>
        </w:tc>
      </w:tr>
    </w:tbl>
    <w:p w14:paraId="4D1DBD7B" w14:textId="77777777" w:rsidR="0071224D" w:rsidRDefault="0071224D">
      <w:pPr>
        <w:spacing w:after="120"/>
      </w:pPr>
    </w:p>
    <w:p w14:paraId="08FAF293" w14:textId="77777777" w:rsidR="0071224D" w:rsidRDefault="00000000">
      <w:pPr>
        <w:pStyle w:val="Heading2"/>
        <w:spacing w:before="260" w:after="110"/>
      </w:pPr>
      <w:r>
        <w:rPr>
          <w:b/>
          <w:bCs/>
          <w:sz w:val="24"/>
          <w:szCs w:val="24"/>
        </w:rPr>
        <w:t>3.2 Rules of engagement</w:t>
      </w:r>
    </w:p>
    <w:p w14:paraId="1E38B18B" w14:textId="77777777" w:rsidR="0071224D" w:rsidRDefault="00000000">
      <w:pPr>
        <w:spacing w:after="140" w:line="276" w:lineRule="auto"/>
      </w:pPr>
      <w:r>
        <w:rPr>
          <w:rFonts w:ascii="Aptos" w:eastAsia="Aptos" w:hAnsi="Aptos" w:cs="Aptos"/>
          <w:color w:val="1A1A1A"/>
          <w:sz w:val="21"/>
          <w:szCs w:val="21"/>
        </w:rPr>
        <w:t>One proactive attempt per session. If she dismisses, the widget stays available but never speaks again in that session. No proactive greeting on the checkout page, where the only correct behavior is to get out of the way. No proactive greeting to a logged in member who already owns the certification. And a hard cap on message length, because a wall of text at second forty five reads as a pop up, not a person.</w:t>
      </w:r>
    </w:p>
    <w:p w14:paraId="7FFFE78D" w14:textId="77777777" w:rsidR="0071224D" w:rsidRDefault="00000000">
      <w:pPr>
        <w:pStyle w:val="Heading2"/>
        <w:spacing w:before="260" w:after="110"/>
      </w:pPr>
      <w:r>
        <w:rPr>
          <w:b/>
          <w:bCs/>
          <w:sz w:val="24"/>
          <w:szCs w:val="24"/>
        </w:rPr>
        <w:t>3.3 Sample conversation, the Clinically Curious</w:t>
      </w:r>
    </w:p>
    <w:p w14:paraId="1763060F" w14:textId="77777777" w:rsidR="0071224D" w:rsidRDefault="0071224D">
      <w:pPr>
        <w:spacing w:after="60"/>
      </w:pPr>
    </w:p>
    <w:tbl>
      <w:tblPr>
        <w:tblW w:w="9360" w:type="dxa"/>
        <w:tblBorders>
          <w:top w:val="single" w:sz="2" w:space="0" w:color="C8D4D8"/>
          <w:left w:val="single" w:sz="2" w:space="0" w:color="C8D4D8"/>
          <w:bottom w:val="single" w:sz="2" w:space="0" w:color="C8D4D8"/>
          <w:right w:val="single" w:sz="2" w:space="0" w:color="C8D4D8"/>
          <w:insideH w:val="single" w:sz="2" w:space="0" w:color="DCE6E9"/>
          <w:insideV w:val="single" w:sz="2" w:space="0" w:color="DCE6E9"/>
        </w:tblBorders>
        <w:tblCellMar>
          <w:left w:w="10" w:type="dxa"/>
          <w:right w:w="10" w:type="dxa"/>
        </w:tblCellMar>
        <w:tblLook w:val="04A0" w:firstRow="1" w:lastRow="0" w:firstColumn="1" w:lastColumn="0" w:noHBand="0" w:noVBand="1"/>
      </w:tblPr>
      <w:tblGrid>
        <w:gridCol w:w="1500"/>
        <w:gridCol w:w="7860"/>
      </w:tblGrid>
      <w:tr w:rsidR="0071224D" w14:paraId="4ADED446" w14:textId="77777777">
        <w:tc>
          <w:tcPr>
            <w:tcW w:w="1500" w:type="dxa"/>
            <w:tcMar>
              <w:top w:w="90" w:type="dxa"/>
              <w:left w:w="130" w:type="dxa"/>
              <w:bottom w:w="90" w:type="dxa"/>
              <w:right w:w="130" w:type="dxa"/>
            </w:tcMar>
          </w:tcPr>
          <w:p w14:paraId="4CEC2E69" w14:textId="77777777" w:rsidR="0071224D" w:rsidRDefault="00000000">
            <w:pPr>
              <w:spacing w:before="50" w:after="50" w:line="260" w:lineRule="auto"/>
            </w:pPr>
            <w:r>
              <w:rPr>
                <w:rFonts w:ascii="Aptos" w:eastAsia="Aptos" w:hAnsi="Aptos" w:cs="Aptos"/>
                <w:b/>
                <w:bCs/>
                <w:color w:val="13294B"/>
                <w:sz w:val="18"/>
                <w:szCs w:val="18"/>
              </w:rPr>
              <w:t>Trigger</w:t>
            </w:r>
          </w:p>
        </w:tc>
        <w:tc>
          <w:tcPr>
            <w:tcW w:w="7860" w:type="dxa"/>
            <w:tcMar>
              <w:top w:w="90" w:type="dxa"/>
              <w:left w:w="130" w:type="dxa"/>
              <w:bottom w:w="90" w:type="dxa"/>
              <w:right w:w="130" w:type="dxa"/>
            </w:tcMar>
          </w:tcPr>
          <w:p w14:paraId="1BBD5E7E" w14:textId="77777777" w:rsidR="0071224D" w:rsidRDefault="00000000">
            <w:pPr>
              <w:spacing w:before="50" w:after="50" w:line="260" w:lineRule="auto"/>
            </w:pPr>
            <w:r>
              <w:rPr>
                <w:rFonts w:ascii="Aptos" w:eastAsia="Aptos" w:hAnsi="Aptos" w:cs="Aptos"/>
                <w:i/>
                <w:iCs/>
                <w:color w:val="1A1A1A"/>
                <w:sz w:val="19"/>
                <w:szCs w:val="19"/>
              </w:rPr>
              <w:t>Organic search entry, 52 seconds dwell, scrolled past the curriculum block, no CTA click.</w:t>
            </w:r>
          </w:p>
        </w:tc>
      </w:tr>
      <w:tr w:rsidR="0071224D" w14:paraId="72218792" w14:textId="77777777">
        <w:tc>
          <w:tcPr>
            <w:tcW w:w="1500" w:type="dxa"/>
            <w:shd w:val="clear" w:color="auto" w:fill="F1F5F7"/>
            <w:tcMar>
              <w:top w:w="90" w:type="dxa"/>
              <w:left w:w="130" w:type="dxa"/>
              <w:bottom w:w="90" w:type="dxa"/>
              <w:right w:w="130" w:type="dxa"/>
            </w:tcMar>
          </w:tcPr>
          <w:p w14:paraId="61826CBA" w14:textId="77777777" w:rsidR="0071224D" w:rsidRDefault="00000000">
            <w:pPr>
              <w:spacing w:before="50" w:after="50" w:line="260" w:lineRule="auto"/>
            </w:pPr>
            <w:r>
              <w:rPr>
                <w:rFonts w:ascii="Aptos" w:eastAsia="Aptos" w:hAnsi="Aptos" w:cs="Aptos"/>
                <w:b/>
                <w:bCs/>
                <w:color w:val="0F7C86"/>
                <w:sz w:val="18"/>
                <w:szCs w:val="18"/>
              </w:rPr>
              <w:lastRenderedPageBreak/>
              <w:t>Agent</w:t>
            </w:r>
          </w:p>
        </w:tc>
        <w:tc>
          <w:tcPr>
            <w:tcW w:w="7860" w:type="dxa"/>
            <w:shd w:val="clear" w:color="auto" w:fill="F1F5F7"/>
            <w:tcMar>
              <w:top w:w="90" w:type="dxa"/>
              <w:left w:w="130" w:type="dxa"/>
              <w:bottom w:w="90" w:type="dxa"/>
              <w:right w:w="130" w:type="dxa"/>
            </w:tcMar>
          </w:tcPr>
          <w:p w14:paraId="6391F99A" w14:textId="77777777" w:rsidR="0071224D" w:rsidRDefault="00000000">
            <w:pPr>
              <w:spacing w:before="50" w:after="50" w:line="260" w:lineRule="auto"/>
            </w:pPr>
            <w:r>
              <w:rPr>
                <w:rFonts w:ascii="Aptos" w:eastAsia="Aptos" w:hAnsi="Aptos" w:cs="Aptos"/>
                <w:color w:val="1A1A1A"/>
                <w:sz w:val="19"/>
                <w:szCs w:val="19"/>
              </w:rPr>
              <w:t>Hi, I am the FHEA program advisor and I am an AI assistant, so you can ask me anything about this certification without a sales call. Most nurse practitioners at this point in the page are trying to work out how clinically deep it actually goes. Want me to walk you through the lab interpretation and prescribing content?</w:t>
            </w:r>
          </w:p>
        </w:tc>
      </w:tr>
      <w:tr w:rsidR="0071224D" w14:paraId="510CE4F4" w14:textId="77777777">
        <w:tc>
          <w:tcPr>
            <w:tcW w:w="1500" w:type="dxa"/>
            <w:tcMar>
              <w:top w:w="90" w:type="dxa"/>
              <w:left w:w="130" w:type="dxa"/>
              <w:bottom w:w="90" w:type="dxa"/>
              <w:right w:w="130" w:type="dxa"/>
            </w:tcMar>
          </w:tcPr>
          <w:p w14:paraId="0B5AEB32" w14:textId="77777777" w:rsidR="0071224D" w:rsidRDefault="00000000">
            <w:pPr>
              <w:spacing w:before="50" w:after="50" w:line="260" w:lineRule="auto"/>
            </w:pPr>
            <w:r>
              <w:rPr>
                <w:rFonts w:ascii="Aptos" w:eastAsia="Aptos" w:hAnsi="Aptos" w:cs="Aptos"/>
                <w:b/>
                <w:bCs/>
                <w:color w:val="13294B"/>
                <w:sz w:val="18"/>
                <w:szCs w:val="18"/>
              </w:rPr>
              <w:t>NP</w:t>
            </w:r>
          </w:p>
        </w:tc>
        <w:tc>
          <w:tcPr>
            <w:tcW w:w="7860" w:type="dxa"/>
            <w:tcMar>
              <w:top w:w="90" w:type="dxa"/>
              <w:left w:w="130" w:type="dxa"/>
              <w:bottom w:w="90" w:type="dxa"/>
              <w:right w:w="130" w:type="dxa"/>
            </w:tcMar>
          </w:tcPr>
          <w:p w14:paraId="39FD9A15" w14:textId="77777777" w:rsidR="0071224D" w:rsidRDefault="00000000">
            <w:pPr>
              <w:spacing w:before="50" w:after="50" w:line="260" w:lineRule="auto"/>
            </w:pPr>
            <w:r>
              <w:rPr>
                <w:rFonts w:ascii="Aptos" w:eastAsia="Aptos" w:hAnsi="Aptos" w:cs="Aptos"/>
                <w:color w:val="1A1A1A"/>
                <w:sz w:val="19"/>
                <w:szCs w:val="19"/>
              </w:rPr>
              <w:t>Honestly yes. I have looked at three functional medicine programs and two of them were basically supplements and vibes.</w:t>
            </w:r>
          </w:p>
        </w:tc>
      </w:tr>
      <w:tr w:rsidR="0071224D" w14:paraId="0733613C" w14:textId="77777777">
        <w:tc>
          <w:tcPr>
            <w:tcW w:w="1500" w:type="dxa"/>
            <w:shd w:val="clear" w:color="auto" w:fill="F1F5F7"/>
            <w:tcMar>
              <w:top w:w="90" w:type="dxa"/>
              <w:left w:w="130" w:type="dxa"/>
              <w:bottom w:w="90" w:type="dxa"/>
              <w:right w:w="130" w:type="dxa"/>
            </w:tcMar>
          </w:tcPr>
          <w:p w14:paraId="76B84FDC" w14:textId="77777777" w:rsidR="0071224D" w:rsidRDefault="00000000">
            <w:pPr>
              <w:spacing w:before="50" w:after="50" w:line="260" w:lineRule="auto"/>
            </w:pPr>
            <w:r>
              <w:rPr>
                <w:rFonts w:ascii="Aptos" w:eastAsia="Aptos" w:hAnsi="Aptos" w:cs="Aptos"/>
                <w:b/>
                <w:bCs/>
                <w:color w:val="0F7C86"/>
                <w:sz w:val="18"/>
                <w:szCs w:val="18"/>
              </w:rPr>
              <w:t>Agent</w:t>
            </w:r>
          </w:p>
        </w:tc>
        <w:tc>
          <w:tcPr>
            <w:tcW w:w="7860" w:type="dxa"/>
            <w:shd w:val="clear" w:color="auto" w:fill="F1F5F7"/>
            <w:tcMar>
              <w:top w:w="90" w:type="dxa"/>
              <w:left w:w="130" w:type="dxa"/>
              <w:bottom w:w="90" w:type="dxa"/>
              <w:right w:w="130" w:type="dxa"/>
            </w:tcMar>
          </w:tcPr>
          <w:p w14:paraId="17DCA85B" w14:textId="77777777" w:rsidR="0071224D" w:rsidRDefault="00000000">
            <w:pPr>
              <w:spacing w:before="50" w:after="50" w:line="260" w:lineRule="auto"/>
            </w:pPr>
            <w:r>
              <w:rPr>
                <w:rFonts w:ascii="Aptos" w:eastAsia="Aptos" w:hAnsi="Aptos" w:cs="Aptos"/>
                <w:color w:val="1A1A1A"/>
                <w:sz w:val="19"/>
                <w:szCs w:val="19"/>
              </w:rPr>
              <w:t>That is a fair filter. Here is the concrete answer. The program is 95 contact hours, IACET accredited, and 24 of those hours are pharmacology, so it counts toward Rx requirements. There is a full module on lab interpretation in functional medicine, and separate modules on cardiometabolic health, HPA axis dysregulation, immunity and inflammation, and gut health. It is led by Jenni Gallagher, MSN, NP-C, with six subject matter experts. If you want, I can send you the full module by module outline so you can compare it side by side with the other two.</w:t>
            </w:r>
          </w:p>
        </w:tc>
      </w:tr>
      <w:tr w:rsidR="0071224D" w14:paraId="69AF6393" w14:textId="77777777">
        <w:tc>
          <w:tcPr>
            <w:tcW w:w="1500" w:type="dxa"/>
            <w:tcMar>
              <w:top w:w="90" w:type="dxa"/>
              <w:left w:w="130" w:type="dxa"/>
              <w:bottom w:w="90" w:type="dxa"/>
              <w:right w:w="130" w:type="dxa"/>
            </w:tcMar>
          </w:tcPr>
          <w:p w14:paraId="5925FAC9" w14:textId="77777777" w:rsidR="0071224D" w:rsidRDefault="00000000">
            <w:pPr>
              <w:spacing w:before="50" w:after="50" w:line="260" w:lineRule="auto"/>
            </w:pPr>
            <w:r>
              <w:rPr>
                <w:rFonts w:ascii="Aptos" w:eastAsia="Aptos" w:hAnsi="Aptos" w:cs="Aptos"/>
                <w:b/>
                <w:bCs/>
                <w:color w:val="13294B"/>
                <w:sz w:val="18"/>
                <w:szCs w:val="18"/>
              </w:rPr>
              <w:t>NP</w:t>
            </w:r>
          </w:p>
        </w:tc>
        <w:tc>
          <w:tcPr>
            <w:tcW w:w="7860" w:type="dxa"/>
            <w:tcMar>
              <w:top w:w="90" w:type="dxa"/>
              <w:left w:w="130" w:type="dxa"/>
              <w:bottom w:w="90" w:type="dxa"/>
              <w:right w:w="130" w:type="dxa"/>
            </w:tcMar>
          </w:tcPr>
          <w:p w14:paraId="2112CF82" w14:textId="77777777" w:rsidR="0071224D" w:rsidRDefault="00000000">
            <w:pPr>
              <w:spacing w:before="50" w:after="50" w:line="260" w:lineRule="auto"/>
            </w:pPr>
            <w:r>
              <w:rPr>
                <w:rFonts w:ascii="Aptos" w:eastAsia="Aptos" w:hAnsi="Aptos" w:cs="Aptos"/>
                <w:color w:val="1A1A1A"/>
                <w:sz w:val="19"/>
                <w:szCs w:val="19"/>
              </w:rPr>
              <w:t>Send the outline. And how long does it take?</w:t>
            </w:r>
          </w:p>
        </w:tc>
      </w:tr>
      <w:tr w:rsidR="0071224D" w14:paraId="34BE9930" w14:textId="77777777">
        <w:tc>
          <w:tcPr>
            <w:tcW w:w="1500" w:type="dxa"/>
            <w:shd w:val="clear" w:color="auto" w:fill="F1F5F7"/>
            <w:tcMar>
              <w:top w:w="90" w:type="dxa"/>
              <w:left w:w="130" w:type="dxa"/>
              <w:bottom w:w="90" w:type="dxa"/>
              <w:right w:w="130" w:type="dxa"/>
            </w:tcMar>
          </w:tcPr>
          <w:p w14:paraId="088BE4D5" w14:textId="77777777" w:rsidR="0071224D" w:rsidRDefault="00000000">
            <w:pPr>
              <w:spacing w:before="50" w:after="50" w:line="260" w:lineRule="auto"/>
            </w:pPr>
            <w:r>
              <w:rPr>
                <w:rFonts w:ascii="Aptos" w:eastAsia="Aptos" w:hAnsi="Aptos" w:cs="Aptos"/>
                <w:b/>
                <w:bCs/>
                <w:color w:val="0F7C86"/>
                <w:sz w:val="18"/>
                <w:szCs w:val="18"/>
              </w:rPr>
              <w:t>Agent</w:t>
            </w:r>
          </w:p>
        </w:tc>
        <w:tc>
          <w:tcPr>
            <w:tcW w:w="7860" w:type="dxa"/>
            <w:shd w:val="clear" w:color="auto" w:fill="F1F5F7"/>
            <w:tcMar>
              <w:top w:w="90" w:type="dxa"/>
              <w:left w:w="130" w:type="dxa"/>
              <w:bottom w:w="90" w:type="dxa"/>
              <w:right w:w="130" w:type="dxa"/>
            </w:tcMar>
          </w:tcPr>
          <w:p w14:paraId="79D67E77" w14:textId="77777777" w:rsidR="0071224D" w:rsidRDefault="00000000">
            <w:pPr>
              <w:spacing w:before="50" w:after="50" w:line="260" w:lineRule="auto"/>
            </w:pPr>
            <w:r>
              <w:rPr>
                <w:rFonts w:ascii="Aptos" w:eastAsia="Aptos" w:hAnsi="Aptos" w:cs="Aptos"/>
                <w:color w:val="1A1A1A"/>
                <w:sz w:val="19"/>
                <w:szCs w:val="19"/>
              </w:rPr>
              <w:t>It is fully online and self paced with a year of access, and most providers finish in three to six months. What is your email and I will send the outline now. I will also flag the two modules people find most demanding so you can plan around them.</w:t>
            </w:r>
          </w:p>
        </w:tc>
      </w:tr>
      <w:tr w:rsidR="0071224D" w14:paraId="23270094" w14:textId="77777777">
        <w:tc>
          <w:tcPr>
            <w:tcW w:w="1500" w:type="dxa"/>
            <w:tcMar>
              <w:top w:w="90" w:type="dxa"/>
              <w:left w:w="130" w:type="dxa"/>
              <w:bottom w:w="90" w:type="dxa"/>
              <w:right w:w="130" w:type="dxa"/>
            </w:tcMar>
          </w:tcPr>
          <w:p w14:paraId="0F0786F4" w14:textId="77777777" w:rsidR="0071224D" w:rsidRDefault="00000000">
            <w:pPr>
              <w:spacing w:before="50" w:after="50" w:line="260" w:lineRule="auto"/>
            </w:pPr>
            <w:r>
              <w:rPr>
                <w:rFonts w:ascii="Aptos" w:eastAsia="Aptos" w:hAnsi="Aptos" w:cs="Aptos"/>
                <w:b/>
                <w:bCs/>
                <w:color w:val="13294B"/>
                <w:sz w:val="18"/>
                <w:szCs w:val="18"/>
              </w:rPr>
              <w:t>Outcome</w:t>
            </w:r>
          </w:p>
        </w:tc>
        <w:tc>
          <w:tcPr>
            <w:tcW w:w="7860" w:type="dxa"/>
            <w:tcMar>
              <w:top w:w="90" w:type="dxa"/>
              <w:left w:w="130" w:type="dxa"/>
              <w:bottom w:w="90" w:type="dxa"/>
              <w:right w:w="130" w:type="dxa"/>
            </w:tcMar>
          </w:tcPr>
          <w:p w14:paraId="2ED1012E" w14:textId="77777777" w:rsidR="0071224D" w:rsidRDefault="00000000">
            <w:pPr>
              <w:spacing w:before="50" w:after="50" w:line="260" w:lineRule="auto"/>
            </w:pPr>
            <w:r>
              <w:rPr>
                <w:rFonts w:ascii="Aptos" w:eastAsia="Aptos" w:hAnsi="Aptos" w:cs="Aptos"/>
                <w:i/>
                <w:iCs/>
                <w:color w:val="1A1A1A"/>
                <w:sz w:val="19"/>
                <w:szCs w:val="19"/>
              </w:rPr>
              <w:t>Lead captured, decision state tagged Clinically Curious, primary objection tagged rigor, outline delivered, contact enters a nurture path that leads with depth rather than discount.</w:t>
            </w:r>
          </w:p>
        </w:tc>
      </w:tr>
    </w:tbl>
    <w:p w14:paraId="2A4DF074" w14:textId="77777777" w:rsidR="0071224D" w:rsidRDefault="0071224D">
      <w:pPr>
        <w:spacing w:after="120"/>
      </w:pPr>
    </w:p>
    <w:p w14:paraId="0B0E5EF2" w14:textId="77777777" w:rsidR="0071224D" w:rsidRDefault="00000000">
      <w:pPr>
        <w:spacing w:after="140" w:line="276" w:lineRule="auto"/>
      </w:pPr>
      <w:r>
        <w:rPr>
          <w:rFonts w:ascii="Aptos" w:eastAsia="Aptos" w:hAnsi="Aptos" w:cs="Aptos"/>
          <w:color w:val="1A1A1A"/>
          <w:sz w:val="21"/>
          <w:szCs w:val="21"/>
        </w:rPr>
        <w:t>Note what the agent did not do. It did not mention price. A Clinically Curious nurse practitioner who is not yet convinced the program is serious will read a price as a reason to leave. Price becomes relevant the moment rigor is resolved, and not before.</w:t>
      </w:r>
    </w:p>
    <w:sectPr w:rsidR="0071224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8BEB4" w14:textId="77777777" w:rsidR="00040265" w:rsidRDefault="00040265">
      <w:r>
        <w:separator/>
      </w:r>
    </w:p>
  </w:endnote>
  <w:endnote w:type="continuationSeparator" w:id="0">
    <w:p w14:paraId="02D7600D" w14:textId="77777777" w:rsidR="00040265" w:rsidRDefault="000402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5C9A7" w14:textId="77777777" w:rsidR="0071224D" w:rsidRDefault="00000000">
    <w:pPr>
      <w:jc w:val="center"/>
    </w:pPr>
    <w:r>
      <w:rPr>
        <w:rFonts w:ascii="Aptos" w:eastAsia="Aptos" w:hAnsi="Aptos" w:cs="Aptos"/>
        <w:color w:val="8A9AA0"/>
        <w:sz w:val="16"/>
        <w:szCs w:val="16"/>
      </w:rPr>
      <w:t xml:space="preserve">Functional Medicine Certification AI SDR Agent   |   Colibri Healthcare   |   </w:t>
    </w:r>
    <w:r>
      <w:rPr>
        <w:rFonts w:ascii="Aptos" w:eastAsia="Aptos" w:hAnsi="Aptos" w:cs="Aptos"/>
        <w:color w:val="8A9AA0"/>
        <w:sz w:val="16"/>
        <w:szCs w:val="16"/>
      </w:rPr>
      <w:fldChar w:fldCharType="begin"/>
    </w:r>
    <w:r>
      <w:rPr>
        <w:rFonts w:ascii="Aptos" w:eastAsia="Aptos" w:hAnsi="Aptos" w:cs="Aptos"/>
        <w:color w:val="8A9AA0"/>
        <w:sz w:val="16"/>
        <w:szCs w:val="16"/>
      </w:rPr>
      <w:instrText>PAGE</w:instrText>
    </w:r>
    <w:r>
      <w:rPr>
        <w:rFonts w:ascii="Aptos" w:eastAsia="Aptos" w:hAnsi="Aptos" w:cs="Aptos"/>
        <w:color w:val="8A9AA0"/>
        <w:sz w:val="16"/>
        <w:szCs w:val="16"/>
      </w:rPr>
      <w:fldChar w:fldCharType="separate"/>
    </w:r>
    <w:r w:rsidR="0048516D">
      <w:rPr>
        <w:rFonts w:ascii="Aptos" w:eastAsia="Aptos" w:hAnsi="Aptos" w:cs="Aptos"/>
        <w:noProof/>
        <w:color w:val="8A9AA0"/>
        <w:sz w:val="16"/>
        <w:szCs w:val="16"/>
      </w:rPr>
      <w:t>1</w:t>
    </w:r>
    <w:r>
      <w:rPr>
        <w:rFonts w:ascii="Aptos" w:eastAsia="Aptos" w:hAnsi="Aptos" w:cs="Aptos"/>
        <w:color w:val="8A9AA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CFBA0" w14:textId="77777777" w:rsidR="00040265" w:rsidRDefault="00040265">
      <w:r>
        <w:separator/>
      </w:r>
    </w:p>
  </w:footnote>
  <w:footnote w:type="continuationSeparator" w:id="0">
    <w:p w14:paraId="669459DC" w14:textId="77777777" w:rsidR="00040265" w:rsidRDefault="000402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F383A"/>
    <w:multiLevelType w:val="hybridMultilevel"/>
    <w:tmpl w:val="551EE080"/>
    <w:lvl w:ilvl="0" w:tplc="50345E2C">
      <w:start w:val="1"/>
      <w:numFmt w:val="bullet"/>
      <w:lvlText w:val="●"/>
      <w:lvlJc w:val="left"/>
      <w:pPr>
        <w:ind w:left="720" w:hanging="360"/>
      </w:pPr>
    </w:lvl>
    <w:lvl w:ilvl="1" w:tplc="32BCA6EC">
      <w:start w:val="1"/>
      <w:numFmt w:val="bullet"/>
      <w:lvlText w:val="○"/>
      <w:lvlJc w:val="left"/>
      <w:pPr>
        <w:ind w:left="1440" w:hanging="360"/>
      </w:pPr>
    </w:lvl>
    <w:lvl w:ilvl="2" w:tplc="38E2B148">
      <w:start w:val="1"/>
      <w:numFmt w:val="bullet"/>
      <w:lvlText w:val="■"/>
      <w:lvlJc w:val="left"/>
      <w:pPr>
        <w:ind w:left="2160" w:hanging="360"/>
      </w:pPr>
    </w:lvl>
    <w:lvl w:ilvl="3" w:tplc="CB60B9CC">
      <w:start w:val="1"/>
      <w:numFmt w:val="bullet"/>
      <w:lvlText w:val="●"/>
      <w:lvlJc w:val="left"/>
      <w:pPr>
        <w:ind w:left="2880" w:hanging="360"/>
      </w:pPr>
    </w:lvl>
    <w:lvl w:ilvl="4" w:tplc="4D5E9B58">
      <w:start w:val="1"/>
      <w:numFmt w:val="bullet"/>
      <w:lvlText w:val="○"/>
      <w:lvlJc w:val="left"/>
      <w:pPr>
        <w:ind w:left="3600" w:hanging="360"/>
      </w:pPr>
    </w:lvl>
    <w:lvl w:ilvl="5" w:tplc="08A03FB8">
      <w:start w:val="1"/>
      <w:numFmt w:val="bullet"/>
      <w:lvlText w:val="■"/>
      <w:lvlJc w:val="left"/>
      <w:pPr>
        <w:ind w:left="4320" w:hanging="360"/>
      </w:pPr>
    </w:lvl>
    <w:lvl w:ilvl="6" w:tplc="FEC0CF4A">
      <w:start w:val="1"/>
      <w:numFmt w:val="bullet"/>
      <w:lvlText w:val="●"/>
      <w:lvlJc w:val="left"/>
      <w:pPr>
        <w:ind w:left="5040" w:hanging="360"/>
      </w:pPr>
    </w:lvl>
    <w:lvl w:ilvl="7" w:tplc="DE786332">
      <w:start w:val="1"/>
      <w:numFmt w:val="bullet"/>
      <w:lvlText w:val="●"/>
      <w:lvlJc w:val="left"/>
      <w:pPr>
        <w:ind w:left="5760" w:hanging="360"/>
      </w:pPr>
    </w:lvl>
    <w:lvl w:ilvl="8" w:tplc="D47C2A4E">
      <w:start w:val="1"/>
      <w:numFmt w:val="bullet"/>
      <w:lvlText w:val="●"/>
      <w:lvlJc w:val="left"/>
      <w:pPr>
        <w:ind w:left="6480" w:hanging="360"/>
      </w:pPr>
    </w:lvl>
  </w:abstractNum>
  <w:num w:numId="1" w16cid:durableId="16567170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24D"/>
    <w:rsid w:val="00040265"/>
    <w:rsid w:val="0048516D"/>
    <w:rsid w:val="0071224D"/>
    <w:rsid w:val="007D7A31"/>
    <w:rsid w:val="00CD4601"/>
    <w:rsid w:val="00D40359"/>
    <w:rsid w:val="00F82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58576"/>
  <w15:docId w15:val="{20B38F65-390C-41B0-84B9-C23317F85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Aptos" w:eastAsia="Aptos" w:hAnsi="Aptos" w:cs="Aptos"/>
      <w:color w:val="13294B"/>
    </w:rPr>
  </w:style>
  <w:style w:type="paragraph" w:styleId="Heading2">
    <w:name w:val="heading 2"/>
    <w:uiPriority w:val="9"/>
    <w:unhideWhenUsed/>
    <w:qFormat/>
    <w:pPr>
      <w:outlineLvl w:val="1"/>
    </w:pPr>
    <w:rPr>
      <w:rFonts w:ascii="Aptos" w:eastAsia="Aptos" w:hAnsi="Aptos" w:cs="Aptos"/>
      <w:color w:val="0F7C86"/>
    </w:rPr>
  </w:style>
  <w:style w:type="paragraph" w:styleId="Heading3">
    <w:name w:val="heading 3"/>
    <w:uiPriority w:val="9"/>
    <w:semiHidden/>
    <w:unhideWhenUsed/>
    <w:qFormat/>
    <w:pPr>
      <w:outlineLvl w:val="2"/>
    </w:pPr>
    <w:rPr>
      <w:rFonts w:ascii="Aptos" w:eastAsia="Aptos" w:hAnsi="Aptos" w:cs="Aptos"/>
      <w:color w:val="4A4A4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1113</Words>
  <Characters>5554</Characters>
  <Application>Microsoft Office Word</Application>
  <DocSecurity>0</DocSecurity>
  <Lines>150</Lines>
  <Paragraphs>80</Paragraphs>
  <ScaleCrop>false</ScaleCrop>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Medicine Certification AI SDR Agent, Product Vision</dc:title>
  <dc:creator>Gail Applin, Colibri Healthcare</dc:creator>
  <dc:description>Vision for an AI SDR agent driving FHEA Functional Medicine Certification enrollments</dc:description>
  <cp:lastModifiedBy>Gail Applin</cp:lastModifiedBy>
  <cp:revision>2</cp:revision>
  <dcterms:created xsi:type="dcterms:W3CDTF">2026-08-17T20:34:00Z</dcterms:created>
  <dcterms:modified xsi:type="dcterms:W3CDTF">2026-08-17T20:34:00Z</dcterms:modified>
</cp:coreProperties>
</file>