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 Requirement Analysis</w:t>
      </w:r>
    </w:p>
    <w:p>
      <w:pPr>
        <w:pStyle w:val="Heading1"/>
      </w:pPr>
      <w:r>
        <w:t>Introduction</w:t>
      </w:r>
    </w:p>
    <w:p>
      <w:r>
        <w:t>Requirement analysis identifies what the system must achieve before implementation.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Functional Requirements</w:t>
      </w:r>
    </w:p>
    <w:p>
      <w:r>
        <w:t>The system should create a Flow, trigger from Service Catalog, generate a Catalog Task, update the short description, assign the Hardware group, and activate the Flow.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Non-Functional Requirements</w:t>
      </w:r>
    </w:p>
    <w:p>
      <w:r>
        <w:t>The automation should be reliable, secure, scalable, and easy to maintain.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Software Requirements</w:t>
      </w:r>
    </w:p>
    <w:p>
      <w:r>
        <w:t>ServiceNow, Flow Designer, Service Catalog, and a web browser are required.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Scope</w:t>
      </w:r>
    </w:p>
    <w:p>
      <w:r>
        <w:t>The project focuses on Standard Laptop requests and their automatic task creation after approval.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