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C8AD" w14:textId="00914C49" w:rsidR="00024A99" w:rsidRPr="00024A99" w:rsidRDefault="00024A99" w:rsidP="00024A99">
      <w:pPr>
        <w:jc w:val="center"/>
        <w:rPr>
          <w:rFonts w:ascii="Times New Roman" w:hAnsi="Times New Roman" w:cs="Times New Roman"/>
          <w:b/>
          <w:bCs/>
          <w:sz w:val="32"/>
          <w:szCs w:val="32"/>
        </w:rPr>
      </w:pPr>
      <w:r w:rsidRPr="00024A99">
        <w:rPr>
          <w:rFonts w:ascii="Times New Roman" w:hAnsi="Times New Roman" w:cs="Times New Roman"/>
          <w:b/>
          <w:bCs/>
          <w:sz w:val="32"/>
          <w:szCs w:val="32"/>
        </w:rPr>
        <w:t>Introduction</w:t>
      </w:r>
    </w:p>
    <w:p w14:paraId="61345F69" w14:textId="3063075A" w:rsidR="00024A99" w:rsidRPr="00024A99" w:rsidRDefault="00024A99" w:rsidP="00024A99">
      <w:pPr>
        <w:rPr>
          <w:rFonts w:ascii="Times New Roman" w:hAnsi="Times New Roman" w:cs="Times New Roman"/>
          <w:sz w:val="28"/>
          <w:szCs w:val="28"/>
        </w:rPr>
      </w:pPr>
      <w:r w:rsidRPr="00024A99">
        <w:rPr>
          <w:rFonts w:ascii="Times New Roman" w:hAnsi="Times New Roman" w:cs="Times New Roman"/>
          <w:b/>
          <w:bCs/>
          <w:sz w:val="28"/>
          <w:szCs w:val="28"/>
        </w:rPr>
        <w:t xml:space="preserve">Batch: </w:t>
      </w:r>
      <w:r w:rsidRPr="00024A99">
        <w:rPr>
          <w:rFonts w:ascii="Times New Roman" w:hAnsi="Times New Roman" w:cs="Times New Roman"/>
          <w:sz w:val="28"/>
          <w:szCs w:val="28"/>
        </w:rPr>
        <w:t>II</w:t>
      </w:r>
      <w:r w:rsidRPr="00024A99">
        <w:rPr>
          <w:rFonts w:ascii="Times New Roman" w:hAnsi="Times New Roman" w:cs="Times New Roman"/>
          <w:sz w:val="28"/>
          <w:szCs w:val="28"/>
        </w:rPr>
        <w:tab/>
      </w:r>
      <w:r w:rsidRPr="00024A99">
        <w:rPr>
          <w:rFonts w:ascii="Times New Roman" w:hAnsi="Times New Roman" w:cs="Times New Roman"/>
          <w:b/>
          <w:bCs/>
          <w:sz w:val="28"/>
          <w:szCs w:val="28"/>
        </w:rPr>
        <w:t xml:space="preserve">Team: </w:t>
      </w:r>
      <w:r w:rsidRPr="00024A99">
        <w:rPr>
          <w:rFonts w:ascii="Times New Roman" w:hAnsi="Times New Roman" w:cs="Times New Roman"/>
          <w:sz w:val="28"/>
          <w:szCs w:val="28"/>
        </w:rPr>
        <w:t>C6</w:t>
      </w:r>
      <w:r w:rsidRPr="00024A99">
        <w:rPr>
          <w:rFonts w:ascii="Times New Roman" w:hAnsi="Times New Roman" w:cs="Times New Roman"/>
          <w:sz w:val="28"/>
          <w:szCs w:val="28"/>
        </w:rPr>
        <w:tab/>
      </w:r>
      <w:r w:rsidRPr="00024A99">
        <w:rPr>
          <w:rFonts w:ascii="Times New Roman" w:hAnsi="Times New Roman" w:cs="Times New Roman"/>
          <w:b/>
          <w:bCs/>
          <w:sz w:val="28"/>
          <w:szCs w:val="28"/>
        </w:rPr>
        <w:t>Section:</w:t>
      </w:r>
      <w:r w:rsidRPr="00024A99">
        <w:rPr>
          <w:rFonts w:ascii="Times New Roman" w:hAnsi="Times New Roman" w:cs="Times New Roman"/>
          <w:sz w:val="28"/>
          <w:szCs w:val="28"/>
        </w:rPr>
        <w:t xml:space="preserve"> IV CSM-C</w:t>
      </w:r>
    </w:p>
    <w:p w14:paraId="1B30F6C4" w14:textId="4A561FBF" w:rsidR="00024A99" w:rsidRPr="00024A99" w:rsidRDefault="00024A99" w:rsidP="00024A99">
      <w:pPr>
        <w:rPr>
          <w:b/>
          <w:bCs/>
          <w:sz w:val="28"/>
          <w:szCs w:val="28"/>
        </w:rPr>
      </w:pPr>
      <w:r w:rsidRPr="00024A99">
        <w:rPr>
          <w:b/>
          <w:bCs/>
          <w:sz w:val="28"/>
          <w:szCs w:val="28"/>
        </w:rPr>
        <w:t>Model Architecture, Training &amp; Optimization</w:t>
      </w:r>
    </w:p>
    <w:p w14:paraId="33A01D55" w14:textId="77777777" w:rsidR="00FE5A28" w:rsidRPr="00FE5A28" w:rsidRDefault="00FE5A28" w:rsidP="00FE5A28">
      <w:pPr>
        <w:jc w:val="both"/>
      </w:pPr>
      <w:r w:rsidRPr="00FE5A28">
        <w:t xml:space="preserve">At the technical core of this project is a custom-designed Bidirectional Long Short-Term Memory (Bi-LSTM) neural network, tailored for sequential ECG signal analysis and arrhythmia classification. The input layer processes heartbeat segments, typically </w:t>
      </w:r>
      <w:proofErr w:type="gramStart"/>
      <w:r w:rsidRPr="00FE5A28">
        <w:t>250 time</w:t>
      </w:r>
      <w:proofErr w:type="gramEnd"/>
      <w:r w:rsidRPr="00FE5A28">
        <w:t xml:space="preserve"> samples per beat, ensuring that the model receives a clear temporal picture of cardiac events. Multiple stacked Bi-LSTM layers follow, each able to digest ECG waveforms in both temporal directions; this dual context enables robust feature extraction, crucial for recognizing even subtle anomalies in rhythm.</w:t>
      </w:r>
    </w:p>
    <w:p w14:paraId="20920E69" w14:textId="77777777" w:rsidR="00FE5A28" w:rsidRPr="00FE5A28" w:rsidRDefault="00FE5A28" w:rsidP="00FE5A28">
      <w:pPr>
        <w:jc w:val="both"/>
      </w:pPr>
      <w:r w:rsidRPr="00FE5A28">
        <w:t xml:space="preserve">Feature abstraction continues with dense (fully connected) layers using </w:t>
      </w:r>
      <w:proofErr w:type="spellStart"/>
      <w:r w:rsidRPr="00FE5A28">
        <w:t>ReLU</w:t>
      </w:r>
      <w:proofErr w:type="spellEnd"/>
      <w:r w:rsidRPr="00FE5A28">
        <w:t xml:space="preserve"> or Leaky </w:t>
      </w:r>
      <w:proofErr w:type="spellStart"/>
      <w:r w:rsidRPr="00FE5A28">
        <w:t>ReLU</w:t>
      </w:r>
      <w:proofErr w:type="spellEnd"/>
      <w:r w:rsidRPr="00FE5A28">
        <w:t xml:space="preserve"> activations, wherein the network learns increasingly complex signal properties. To counteract overfitting and maintain generalization, dropout layers are placed after LSTM and dense stages, while batch normalization helps accelerate and stabilize learning across the network. A final dense layer with </w:t>
      </w:r>
      <w:proofErr w:type="spellStart"/>
      <w:r w:rsidRPr="00FE5A28">
        <w:t>softmax</w:t>
      </w:r>
      <w:proofErr w:type="spellEnd"/>
      <w:r w:rsidRPr="00FE5A28">
        <w:t xml:space="preserve"> activation outputs probability scores for each arrhythmia type, enabling multi-class ECG classification.</w:t>
      </w:r>
    </w:p>
    <w:p w14:paraId="1E3FA564" w14:textId="77777777" w:rsidR="00FE5A28" w:rsidRPr="00FE5A28" w:rsidRDefault="00FE5A28" w:rsidP="00FE5A28">
      <w:pPr>
        <w:jc w:val="both"/>
      </w:pPr>
      <w:r w:rsidRPr="00FE5A28">
        <w:t>The training strategy is meticulous and data-aware. The dataset is divided into training, validation, and test splits using stratified sampling, guaranteeing that both common and rare arrhythmia classes are adequately represented. Recognizing that minority classes (like certain ventricular arrhythmias) are underrepresented in medical datasets, the training split is balanced with SMOTE, which artificially generates realistic heartbeats for the less frequent types—improving model sensitivity and reliability.</w:t>
      </w:r>
    </w:p>
    <w:p w14:paraId="0AB8BF9A" w14:textId="77777777" w:rsidR="00FE5A28" w:rsidRPr="00FE5A28" w:rsidRDefault="00FE5A28" w:rsidP="00FE5A28">
      <w:pPr>
        <w:jc w:val="both"/>
      </w:pPr>
      <w:r w:rsidRPr="00FE5A28">
        <w:t>Optimization is approached with state-of-the-art methods. The Adam optimizer, chosen for its adaptive learning rate capabilities, manages the gradient updates, while categorical cross-entropy serves as the loss function—ideal for multi-class problems. Early stopping halts training when validation performance plateaus, and learning rate schedules refine convergence as training progresses. Hyperparameter search—covering layer depth, number of units, dropout rate, learning rate, and batch size—is performed systematically to maximize the network’s validation accuracy.</w:t>
      </w:r>
    </w:p>
    <w:p w14:paraId="24062A2E" w14:textId="1B1D82EB" w:rsidR="006E3E6D" w:rsidRDefault="00FE5A28" w:rsidP="00FE5A28">
      <w:pPr>
        <w:jc w:val="both"/>
      </w:pPr>
      <w:r w:rsidRPr="00FE5A28">
        <w:t xml:space="preserve">Experiment tracking and result documentation are stringent: training runs are logged, loss and accuracy curves plotted, and confusion matrices </w:t>
      </w:r>
      <w:proofErr w:type="spellStart"/>
      <w:r w:rsidRPr="00FE5A28">
        <w:t>analyzed</w:t>
      </w:r>
      <w:proofErr w:type="spellEnd"/>
      <w:r w:rsidRPr="00FE5A28">
        <w:t xml:space="preserve"> for error insight. Ultimately, the final model is evaluated using clinical metrics—accuracy, precision, recall, F1-score, and ROC-AUC—with special scrutiny on performance for minority arrhythmic classes. This comprehensive, reproducible process ensures the development of a deep learning model that is ready for clinical validation and real-world deployment in cardiac healthcare.</w:t>
      </w:r>
      <w:r w:rsidR="00704DCB">
        <w:t>\</w:t>
      </w:r>
    </w:p>
    <w:p w14:paraId="33502DB8" w14:textId="77777777" w:rsidR="00704DCB" w:rsidRDefault="00704DCB" w:rsidP="00704DCB">
      <w:pPr>
        <w:jc w:val="both"/>
        <w:rPr>
          <w:b/>
          <w:bCs/>
        </w:rPr>
      </w:pPr>
    </w:p>
    <w:p w14:paraId="29AE6D60" w14:textId="6382FDD1" w:rsidR="00704DCB" w:rsidRPr="00704DCB" w:rsidRDefault="00704DCB" w:rsidP="00704DCB">
      <w:pPr>
        <w:jc w:val="both"/>
        <w:rPr>
          <w:b/>
          <w:bCs/>
        </w:rPr>
      </w:pPr>
      <w:r w:rsidRPr="00704DCB">
        <w:rPr>
          <w:b/>
          <w:bCs/>
        </w:rPr>
        <w:t>Data Acquisition &amp; Preprocessing</w:t>
      </w:r>
    </w:p>
    <w:p w14:paraId="23A6D4AB" w14:textId="77777777" w:rsidR="00704DCB" w:rsidRPr="00704DCB" w:rsidRDefault="00704DCB" w:rsidP="00704DCB">
      <w:pPr>
        <w:jc w:val="both"/>
      </w:pPr>
      <w:r w:rsidRPr="00704DCB">
        <w:t>A successful biomedical machine learning pipeline begins with robust data acquisition. For arrhythmia detection, the MIT-BIH Arrhythmia Database is the gold standard, offering a diverse library of ECG recordings that are clinically annotated and representative of real-world patient signals. Accessing such trusted sources ensures that the analysis is rooted in genuine clinical variability rather than simulated environments—powerfully increasing downstream model generalizability.</w:t>
      </w:r>
    </w:p>
    <w:p w14:paraId="523960F6" w14:textId="77777777" w:rsidR="00704DCB" w:rsidRPr="00704DCB" w:rsidRDefault="00704DCB" w:rsidP="00704DCB">
      <w:pPr>
        <w:jc w:val="both"/>
      </w:pPr>
      <w:r w:rsidRPr="00704DCB">
        <w:t>Raw ECG recordings, however, are frequently contaminated by noise, baseline drift, and artifacts due to patient movement or device limitations. The first stage of preprocessing employs bandpass filtering to eliminate low-frequency baseline wander and high-frequency electrical interference, preserving the essential cardiac rhythms while discarding extraneous signal components. This is crucial, as accurate rhythm interpretation depends on clarity in waveform morphology.</w:t>
      </w:r>
    </w:p>
    <w:p w14:paraId="7E49AA16" w14:textId="77777777" w:rsidR="00704DCB" w:rsidRPr="00704DCB" w:rsidRDefault="00704DCB" w:rsidP="00704DCB">
      <w:pPr>
        <w:jc w:val="both"/>
      </w:pPr>
      <w:r w:rsidRPr="00704DCB">
        <w:t>Normalization is then applied across the dataset to standardize the amplitude and scale of signals, ensuring consistency regardless of differences in patient physiology or recording hardware. Consistent scaling is especially important for deep learning methods, as it allows networks to extract meaningful features without bias or sensitivity to signal outliers. Further, normalization can speed up convergence during model training.</w:t>
      </w:r>
    </w:p>
    <w:p w14:paraId="6B0EFD55" w14:textId="77777777" w:rsidR="00704DCB" w:rsidRPr="00704DCB" w:rsidRDefault="00704DCB" w:rsidP="00704DCB">
      <w:pPr>
        <w:jc w:val="both"/>
      </w:pPr>
      <w:r w:rsidRPr="00704DCB">
        <w:t>Once noise has been mitigated, segmentation algorithms—most commonly based on R-peak detection—are used to isolate individual heartbeats from continuous ECG recordings. These windows, typically spanning a fixed number of samples before and after the detected peak, allow for focused analysis and facilitate model training on discrete cardiac events rather than entire lengthy recordings. Effective segmentation drastically improves both the interpretability and accuracy of arrhythmia detection algorithms.</w:t>
      </w:r>
    </w:p>
    <w:p w14:paraId="3919A316" w14:textId="77777777" w:rsidR="00704DCB" w:rsidRPr="00704DCB" w:rsidRDefault="00704DCB" w:rsidP="00704DCB">
      <w:pPr>
        <w:jc w:val="both"/>
      </w:pPr>
      <w:r w:rsidRPr="00704DCB">
        <w:t xml:space="preserve">Finally, each segmented heartbeat is annotated according to clinical standards such as the AAMI (Association for the Advancement of Medical Instrumentation) format. Reliable </w:t>
      </w:r>
      <w:proofErr w:type="spellStart"/>
      <w:r w:rsidRPr="00704DCB">
        <w:t>labeling</w:t>
      </w:r>
      <w:proofErr w:type="spellEnd"/>
      <w:r w:rsidRPr="00704DCB">
        <w:t xml:space="preserve"> is fundamental for supervised learning approaches and is validated against expert readings. This end-to-end data acquisition and preprocessing workflow lays the foundation for subsequent steps, ensuring that only clean, well-structured, and correctly </w:t>
      </w:r>
      <w:proofErr w:type="spellStart"/>
      <w:r w:rsidRPr="00704DCB">
        <w:t>labeled</w:t>
      </w:r>
      <w:proofErr w:type="spellEnd"/>
      <w:r w:rsidRPr="00704DCB">
        <w:t xml:space="preserve"> heartbeats enter the pipeline—driving reliable and clinically meaningful arrhythmia classification.</w:t>
      </w:r>
    </w:p>
    <w:p w14:paraId="27924A8D" w14:textId="010819EB" w:rsidR="00704DCB" w:rsidRDefault="00704DCB" w:rsidP="00704DCB">
      <w:pPr>
        <w:jc w:val="both"/>
      </w:pPr>
    </w:p>
    <w:p w14:paraId="07926B7C" w14:textId="77777777" w:rsidR="00704DCB" w:rsidRDefault="00704DCB" w:rsidP="00704DCB">
      <w:pPr>
        <w:jc w:val="both"/>
      </w:pPr>
    </w:p>
    <w:p w14:paraId="7B6672CD" w14:textId="77777777" w:rsidR="00704DCB" w:rsidRPr="00704DCB" w:rsidRDefault="00704DCB" w:rsidP="00704DCB">
      <w:pPr>
        <w:jc w:val="both"/>
      </w:pPr>
    </w:p>
    <w:p w14:paraId="3242C89B" w14:textId="16F88FFB" w:rsidR="00704DCB" w:rsidRPr="00704DCB" w:rsidRDefault="00704DCB" w:rsidP="00704DCB">
      <w:pPr>
        <w:jc w:val="both"/>
        <w:rPr>
          <w:b/>
          <w:bCs/>
        </w:rPr>
      </w:pPr>
      <w:r w:rsidRPr="00704DCB">
        <w:rPr>
          <w:b/>
          <w:bCs/>
        </w:rPr>
        <w:t>Imbalanced Data Handling &amp; Augmentation</w:t>
      </w:r>
    </w:p>
    <w:p w14:paraId="4716C3CA" w14:textId="77777777" w:rsidR="00704DCB" w:rsidRPr="00704DCB" w:rsidRDefault="00704DCB" w:rsidP="00704DCB">
      <w:pPr>
        <w:jc w:val="both"/>
      </w:pPr>
      <w:r w:rsidRPr="00704DCB">
        <w:t>One of the most pervasive challenges in biomedical signal analysis is class imbalance. In ECG datasets, arrhythmic events like ventricular or atrial fibrillation occur far less frequently than normal beats. A naive machine learning model, trained on such naturally skewed data, usually predicts majority classes reliably but fails to detect rare and often life-threatening arrhythmias—rendering the system clinically inadequate.</w:t>
      </w:r>
    </w:p>
    <w:p w14:paraId="4F620249" w14:textId="77777777" w:rsidR="00704DCB" w:rsidRPr="00704DCB" w:rsidRDefault="00704DCB" w:rsidP="00704DCB">
      <w:pPr>
        <w:jc w:val="both"/>
      </w:pPr>
      <w:r w:rsidRPr="00704DCB">
        <w:t>Addressing class imbalance starts with thorough statistical analysis of the dataset, quantifying the representation of each arrhythmia type and visualizing class distributions. This informs the deployment of targeted augmentation strategies such as the Synthetic Minority Oversampling Technique (SMOTE). SMOTE works by generating synthetic samples of minority classes through interpolation, enabling the model to encounter a wider spectrum of arrhythmic events during training and thus improving its sensitivity and recall for those cases.</w:t>
      </w:r>
    </w:p>
    <w:p w14:paraId="7DFE858E" w14:textId="77777777" w:rsidR="00704DCB" w:rsidRPr="00704DCB" w:rsidRDefault="00704DCB" w:rsidP="00704DCB">
      <w:pPr>
        <w:jc w:val="both"/>
      </w:pPr>
      <w:r w:rsidRPr="00704DCB">
        <w:t xml:space="preserve">Additional techniques—including random </w:t>
      </w:r>
      <w:proofErr w:type="spellStart"/>
      <w:r w:rsidRPr="00704DCB">
        <w:t>undersampling</w:t>
      </w:r>
      <w:proofErr w:type="spellEnd"/>
      <w:r w:rsidRPr="00704DCB">
        <w:t>, ensemble balancing, and advanced hybrid augmentation—may be combined or compared for best results. These methods are evaluated not only on model metrics but also on their effect on data integrity; care must be taken to avoid introducing noise, redundant samples, or artificial artifacts that might confuse the classifier or inflate accuracy unrealistically.</w:t>
      </w:r>
    </w:p>
    <w:p w14:paraId="28568D07" w14:textId="77777777" w:rsidR="00704DCB" w:rsidRPr="00704DCB" w:rsidRDefault="00704DCB" w:rsidP="00704DCB">
      <w:pPr>
        <w:jc w:val="both"/>
      </w:pPr>
      <w:r w:rsidRPr="00704DCB">
        <w:t>Validation of all augmentation methods is essential. Enhanced datasets are tested for their capability to generalize to unseen patient records, and per-class metrics such as F1-score, sensitivity, and precision are scrutinized—especially for minority arrhythmia types. Visualization and statistical evaluations further ensure that the balance strategies enhance, rather than detract from, clinical accuracy.</w:t>
      </w:r>
    </w:p>
    <w:p w14:paraId="1B6D0383" w14:textId="77777777" w:rsidR="00704DCB" w:rsidRPr="00704DCB" w:rsidRDefault="00704DCB" w:rsidP="00704DCB">
      <w:pPr>
        <w:jc w:val="both"/>
      </w:pPr>
      <w:r w:rsidRPr="00704DCB">
        <w:t>This domain’s attention to data balance delivers not only superior model performance but equitable healthcare impact—ensuring that no arrhythmia type is overlooked, and that the automated system is reliable and safe for real-world clinical deployment.</w:t>
      </w:r>
    </w:p>
    <w:p w14:paraId="2AACF38B" w14:textId="77777777" w:rsidR="00704DCB" w:rsidRDefault="00704DCB" w:rsidP="00FE5A28">
      <w:pPr>
        <w:jc w:val="both"/>
      </w:pPr>
    </w:p>
    <w:p w14:paraId="02DD4C5C" w14:textId="77777777" w:rsidR="00704DCB" w:rsidRDefault="00704DCB" w:rsidP="00FE5A28">
      <w:pPr>
        <w:jc w:val="both"/>
      </w:pPr>
    </w:p>
    <w:p w14:paraId="36C84498" w14:textId="77777777" w:rsidR="00704DCB" w:rsidRDefault="00704DCB" w:rsidP="00FE5A28">
      <w:pPr>
        <w:jc w:val="both"/>
      </w:pPr>
    </w:p>
    <w:p w14:paraId="56CB9AFD" w14:textId="77777777" w:rsidR="00704DCB" w:rsidRDefault="00704DCB" w:rsidP="00FE5A28">
      <w:pPr>
        <w:jc w:val="both"/>
      </w:pPr>
    </w:p>
    <w:p w14:paraId="61B89CD1" w14:textId="77777777" w:rsidR="00704DCB" w:rsidRDefault="00704DCB" w:rsidP="00FE5A28">
      <w:pPr>
        <w:jc w:val="both"/>
      </w:pPr>
    </w:p>
    <w:p w14:paraId="6C12BEC2" w14:textId="77777777" w:rsidR="00704DCB" w:rsidRDefault="00704DCB" w:rsidP="00704DCB">
      <w:pPr>
        <w:jc w:val="both"/>
        <w:rPr>
          <w:b/>
          <w:bCs/>
        </w:rPr>
      </w:pPr>
    </w:p>
    <w:p w14:paraId="58EE0492" w14:textId="77777777" w:rsidR="00704DCB" w:rsidRDefault="00704DCB" w:rsidP="00704DCB">
      <w:pPr>
        <w:jc w:val="both"/>
        <w:rPr>
          <w:b/>
          <w:bCs/>
        </w:rPr>
      </w:pPr>
    </w:p>
    <w:p w14:paraId="39518B82" w14:textId="2BC2D283" w:rsidR="00704DCB" w:rsidRPr="00704DCB" w:rsidRDefault="00704DCB" w:rsidP="00704DCB">
      <w:pPr>
        <w:jc w:val="both"/>
        <w:rPr>
          <w:b/>
          <w:bCs/>
        </w:rPr>
      </w:pPr>
      <w:r w:rsidRPr="00704DCB">
        <w:rPr>
          <w:b/>
          <w:bCs/>
        </w:rPr>
        <w:lastRenderedPageBreak/>
        <w:t>Evaluation, Deployment &amp; Reporting</w:t>
      </w:r>
    </w:p>
    <w:p w14:paraId="0861D3B2" w14:textId="77777777" w:rsidR="00704DCB" w:rsidRPr="00704DCB" w:rsidRDefault="00704DCB" w:rsidP="00704DCB">
      <w:pPr>
        <w:jc w:val="both"/>
      </w:pPr>
      <w:r w:rsidRPr="00704DCB">
        <w:t xml:space="preserve">After training, the model undergoes a stringent evaluation phase to assess its clinical robustness and reliability. Beyond general accuracy, metrics including precision, recall, F1-score, and ROC-AUC are calculated globally and per arrhythmia class—spotlighting the model’s sensitivity for rare but critical cardiac events. Confusion matrices are constructed and </w:t>
      </w:r>
      <w:proofErr w:type="spellStart"/>
      <w:r w:rsidRPr="00704DCB">
        <w:t>analyzed</w:t>
      </w:r>
      <w:proofErr w:type="spellEnd"/>
      <w:r w:rsidRPr="00704DCB">
        <w:t xml:space="preserve"> to reveal not just overall performance but specific strengths and weaknesses in classification; this helps identify patterns of misclassification or areas needing further refinement. ROC curves are plotted to examine trade-offs between sensitivity and specificity, enabling the selection of optimal clinical thresholds.</w:t>
      </w:r>
    </w:p>
    <w:p w14:paraId="2C03027F" w14:textId="77777777" w:rsidR="00704DCB" w:rsidRPr="00704DCB" w:rsidRDefault="00704DCB" w:rsidP="00704DCB">
      <w:pPr>
        <w:jc w:val="both"/>
      </w:pPr>
      <w:r w:rsidRPr="00704DCB">
        <w:t>Comparative analysis forms an integral part of this stage. The model’s results are systematically benchmarked against established baselines and recent state-of-the-art methods, ensuring improvements are meaningful and well-substantiated. The use of advanced visualization tools—such as heatmaps for classification results, bar charts for per-class metrics, and calibration plots—enables distinct yet accessible interpretation for both technical and medical audiences.</w:t>
      </w:r>
    </w:p>
    <w:p w14:paraId="0A8389C6" w14:textId="77777777" w:rsidR="00704DCB" w:rsidRPr="00704DCB" w:rsidRDefault="00704DCB" w:rsidP="00704DCB">
      <w:pPr>
        <w:jc w:val="both"/>
      </w:pPr>
      <w:r w:rsidRPr="00704DCB">
        <w:t xml:space="preserve">For deployment, attention turns to reproducibility and scalability. The final system is packaged as portable Python notebooks (for desktop or Google </w:t>
      </w:r>
      <w:proofErr w:type="spellStart"/>
      <w:r w:rsidRPr="00704DCB">
        <w:t>Colab</w:t>
      </w:r>
      <w:proofErr w:type="spellEnd"/>
      <w:r w:rsidRPr="00704DCB">
        <w:t>), lightweight scripts for edge AI devices (such as Raspberry Pi or Nvidia Jetson), and robust REST APIs for seamless hospital integration. Deployment testing assesses inference speed, computational requirements, and system stability across varied platforms, ensuring the solution fits real-world environments from hospital servers to wearable monitors. Security and privacy considerations are integrated, especially when handling patient data in cloud-based or networked deployments.</w:t>
      </w:r>
    </w:p>
    <w:p w14:paraId="734916EA" w14:textId="77777777" w:rsidR="00704DCB" w:rsidRPr="00704DCB" w:rsidRDefault="00704DCB" w:rsidP="00704DCB">
      <w:pPr>
        <w:jc w:val="both"/>
      </w:pPr>
      <w:r w:rsidRPr="00704DCB">
        <w:t>Reporting brings together all facets of the project in rigorous and clear documentation. Codebases and scripts are organized using Git/version control, detailing every experiment, data split, augmentation and model configuration for transparency and future development. User manuals for clinicians, technical guides for engineers, and scientific write-ups prepared for journals are produced, supporting publication, knowledge transfer, and clinical uptake. Statistical analyses and post-hoc visualizations are included to provide evidence for clinical decision-makers and regulatory compliance.</w:t>
      </w:r>
    </w:p>
    <w:p w14:paraId="0FDA5B5B" w14:textId="262D0A25" w:rsidR="00704DCB" w:rsidRPr="00704DCB" w:rsidRDefault="00704DCB" w:rsidP="00704DCB">
      <w:pPr>
        <w:jc w:val="both"/>
      </w:pPr>
      <w:r w:rsidRPr="00704DCB">
        <w:t>Finally, the domain includes preparation of institutional and public presentations—slide decks, posters, whitepapers, and technical appendices—ensuring research findings are disseminated both internally and externally. Feedback collected from peer review or pilot deployment is uniquely valuable for system refinement. Collectively, the thoroughness and multidimensionality of this evaluation, deployment, and reporting phase ensures the arrhythmia detection system is not only technically excellent but also clinically relevant, reliable, and ready to make a real-world difference in cardiac care.</w:t>
      </w:r>
    </w:p>
    <w:sectPr w:rsidR="00704DCB" w:rsidRPr="00704DC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AA658" w14:textId="77777777" w:rsidR="00AB0497" w:rsidRDefault="00AB0497" w:rsidP="00024A99">
      <w:pPr>
        <w:spacing w:after="0" w:line="240" w:lineRule="auto"/>
      </w:pPr>
      <w:r>
        <w:separator/>
      </w:r>
    </w:p>
  </w:endnote>
  <w:endnote w:type="continuationSeparator" w:id="0">
    <w:p w14:paraId="7A669A46" w14:textId="77777777" w:rsidR="00AB0497" w:rsidRDefault="00AB0497" w:rsidP="00024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C29C" w14:textId="77777777" w:rsidR="00AB0497" w:rsidRDefault="00AB0497" w:rsidP="00024A99">
      <w:pPr>
        <w:spacing w:after="0" w:line="240" w:lineRule="auto"/>
      </w:pPr>
      <w:r>
        <w:separator/>
      </w:r>
    </w:p>
  </w:footnote>
  <w:footnote w:type="continuationSeparator" w:id="0">
    <w:p w14:paraId="0B7C654A" w14:textId="77777777" w:rsidR="00AB0497" w:rsidRDefault="00AB0497" w:rsidP="00024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B70A" w14:textId="5221428A" w:rsidR="00024A99" w:rsidRDefault="00024A99">
    <w:pPr>
      <w:pStyle w:val="Header"/>
    </w:pPr>
    <w:r>
      <w:rPr>
        <w:noProof/>
      </w:rPr>
      <w:drawing>
        <wp:inline distT="0" distB="0" distL="0" distR="0" wp14:anchorId="61027EF9" wp14:editId="637005D7">
          <wp:extent cx="5731510" cy="565785"/>
          <wp:effectExtent l="0" t="0" r="2540" b="5715"/>
          <wp:docPr id="2874" name="Picture 1"/>
          <wp:cNvGraphicFramePr/>
          <a:graphic xmlns:a="http://schemas.openxmlformats.org/drawingml/2006/main">
            <a:graphicData uri="http://schemas.openxmlformats.org/drawingml/2006/picture">
              <pic:pic xmlns:pic="http://schemas.openxmlformats.org/drawingml/2006/picture">
                <pic:nvPicPr>
                  <pic:cNvPr id="2874" name="Picture 2874"/>
                  <pic:cNvPicPr/>
                </pic:nvPicPr>
                <pic:blipFill>
                  <a:blip r:embed="rId1"/>
                  <a:stretch>
                    <a:fillRect/>
                  </a:stretch>
                </pic:blipFill>
                <pic:spPr>
                  <a:xfrm>
                    <a:off x="0" y="0"/>
                    <a:ext cx="5731510" cy="5657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DC7"/>
    <w:multiLevelType w:val="multilevel"/>
    <w:tmpl w:val="DF8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5826F2"/>
    <w:multiLevelType w:val="multilevel"/>
    <w:tmpl w:val="95AC7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2351F1"/>
    <w:multiLevelType w:val="hybridMultilevel"/>
    <w:tmpl w:val="7FE86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E470DF"/>
    <w:multiLevelType w:val="multilevel"/>
    <w:tmpl w:val="E01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902279"/>
    <w:multiLevelType w:val="hybridMultilevel"/>
    <w:tmpl w:val="6478A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DC6D9B"/>
    <w:multiLevelType w:val="multilevel"/>
    <w:tmpl w:val="3C30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401964">
    <w:abstractNumId w:val="1"/>
  </w:num>
  <w:num w:numId="2" w16cid:durableId="315885291">
    <w:abstractNumId w:val="3"/>
  </w:num>
  <w:num w:numId="3" w16cid:durableId="1671908696">
    <w:abstractNumId w:val="0"/>
  </w:num>
  <w:num w:numId="4" w16cid:durableId="955603211">
    <w:abstractNumId w:val="5"/>
  </w:num>
  <w:num w:numId="5" w16cid:durableId="1890262379">
    <w:abstractNumId w:val="2"/>
  </w:num>
  <w:num w:numId="6" w16cid:durableId="820389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99"/>
    <w:rsid w:val="00024A99"/>
    <w:rsid w:val="006C3B05"/>
    <w:rsid w:val="006E3E6D"/>
    <w:rsid w:val="00704DCB"/>
    <w:rsid w:val="008A128E"/>
    <w:rsid w:val="008C3717"/>
    <w:rsid w:val="00AB0497"/>
    <w:rsid w:val="00FE5A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8DF7"/>
  <w15:chartTrackingRefBased/>
  <w15:docId w15:val="{DAC4B22A-2DA1-4B14-B70B-A7ECDEA8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A99"/>
    <w:rPr>
      <w:rFonts w:eastAsiaTheme="majorEastAsia" w:cstheme="majorBidi"/>
      <w:color w:val="272727" w:themeColor="text1" w:themeTint="D8"/>
    </w:rPr>
  </w:style>
  <w:style w:type="paragraph" w:styleId="Title">
    <w:name w:val="Title"/>
    <w:basedOn w:val="Normal"/>
    <w:next w:val="Normal"/>
    <w:link w:val="TitleChar"/>
    <w:uiPriority w:val="10"/>
    <w:qFormat/>
    <w:rsid w:val="00024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A99"/>
    <w:pPr>
      <w:spacing w:before="160"/>
      <w:jc w:val="center"/>
    </w:pPr>
    <w:rPr>
      <w:i/>
      <w:iCs/>
      <w:color w:val="404040" w:themeColor="text1" w:themeTint="BF"/>
    </w:rPr>
  </w:style>
  <w:style w:type="character" w:customStyle="1" w:styleId="QuoteChar">
    <w:name w:val="Quote Char"/>
    <w:basedOn w:val="DefaultParagraphFont"/>
    <w:link w:val="Quote"/>
    <w:uiPriority w:val="29"/>
    <w:rsid w:val="00024A99"/>
    <w:rPr>
      <w:i/>
      <w:iCs/>
      <w:color w:val="404040" w:themeColor="text1" w:themeTint="BF"/>
    </w:rPr>
  </w:style>
  <w:style w:type="paragraph" w:styleId="ListParagraph">
    <w:name w:val="List Paragraph"/>
    <w:basedOn w:val="Normal"/>
    <w:uiPriority w:val="34"/>
    <w:qFormat/>
    <w:rsid w:val="00024A99"/>
    <w:pPr>
      <w:ind w:left="720"/>
      <w:contextualSpacing/>
    </w:pPr>
  </w:style>
  <w:style w:type="character" w:styleId="IntenseEmphasis">
    <w:name w:val="Intense Emphasis"/>
    <w:basedOn w:val="DefaultParagraphFont"/>
    <w:uiPriority w:val="21"/>
    <w:qFormat/>
    <w:rsid w:val="00024A99"/>
    <w:rPr>
      <w:i/>
      <w:iCs/>
      <w:color w:val="0F4761" w:themeColor="accent1" w:themeShade="BF"/>
    </w:rPr>
  </w:style>
  <w:style w:type="paragraph" w:styleId="IntenseQuote">
    <w:name w:val="Intense Quote"/>
    <w:basedOn w:val="Normal"/>
    <w:next w:val="Normal"/>
    <w:link w:val="IntenseQuoteChar"/>
    <w:uiPriority w:val="30"/>
    <w:qFormat/>
    <w:rsid w:val="00024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A99"/>
    <w:rPr>
      <w:i/>
      <w:iCs/>
      <w:color w:val="0F4761" w:themeColor="accent1" w:themeShade="BF"/>
    </w:rPr>
  </w:style>
  <w:style w:type="character" w:styleId="IntenseReference">
    <w:name w:val="Intense Reference"/>
    <w:basedOn w:val="DefaultParagraphFont"/>
    <w:uiPriority w:val="32"/>
    <w:qFormat/>
    <w:rsid w:val="00024A99"/>
    <w:rPr>
      <w:b/>
      <w:bCs/>
      <w:smallCaps/>
      <w:color w:val="0F4761" w:themeColor="accent1" w:themeShade="BF"/>
      <w:spacing w:val="5"/>
    </w:rPr>
  </w:style>
  <w:style w:type="paragraph" w:styleId="NoSpacing">
    <w:name w:val="No Spacing"/>
    <w:uiPriority w:val="1"/>
    <w:qFormat/>
    <w:rsid w:val="00024A99"/>
    <w:pPr>
      <w:spacing w:after="0" w:line="240" w:lineRule="auto"/>
    </w:pPr>
  </w:style>
  <w:style w:type="paragraph" w:styleId="Header">
    <w:name w:val="header"/>
    <w:basedOn w:val="Normal"/>
    <w:link w:val="HeaderChar"/>
    <w:uiPriority w:val="99"/>
    <w:unhideWhenUsed/>
    <w:rsid w:val="00024A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A99"/>
  </w:style>
  <w:style w:type="paragraph" w:styleId="Footer">
    <w:name w:val="footer"/>
    <w:basedOn w:val="Normal"/>
    <w:link w:val="FooterChar"/>
    <w:uiPriority w:val="99"/>
    <w:unhideWhenUsed/>
    <w:rsid w:val="00024A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mp</dc:creator>
  <cp:keywords/>
  <dc:description/>
  <cp:lastModifiedBy>pranav mp</cp:lastModifiedBy>
  <cp:revision>3</cp:revision>
  <dcterms:created xsi:type="dcterms:W3CDTF">2025-08-18T15:17:00Z</dcterms:created>
  <dcterms:modified xsi:type="dcterms:W3CDTF">2025-08-18T16:22:00Z</dcterms:modified>
</cp:coreProperties>
</file>