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4f96b36bdce22e42b3f17bac4c6efe5e39f80e"/>
    <w:p>
      <w:pPr>
        <w:pStyle w:val="Heading1"/>
      </w:pPr>
      <w:r>
        <w:t xml:space="preserve">Agentic AI for Mechanism‑Grounded Drug Repurposing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project proposes an</w:t>
      </w:r>
      <w:r>
        <w:t xml:space="preserve"> </w:t>
      </w:r>
      <w:r>
        <w:rPr>
          <w:b/>
          <w:bCs/>
        </w:rPr>
        <w:t xml:space="preserve">agentic AI research assistant</w:t>
      </w:r>
      <w:r>
        <w:t xml:space="preserve"> </w:t>
      </w:r>
      <w:r>
        <w:t xml:space="preserve">designed to support</w:t>
      </w:r>
      <w:r>
        <w:t xml:space="preserve"> </w:t>
      </w:r>
      <w:r>
        <w:rPr>
          <w:i/>
          <w:iCs/>
        </w:rPr>
        <w:t xml:space="preserve">early‑stage drug repurposing hypothesis exploration</w:t>
      </w:r>
      <w:r>
        <w:t xml:space="preserve">. Unlike traditional systems that rely on similarity matching or large‑scale literature summarization, this system prioritizes</w:t>
      </w:r>
      <w:r>
        <w:t xml:space="preserve"> </w:t>
      </w:r>
      <w:r>
        <w:rPr>
          <w:b/>
          <w:bCs/>
        </w:rPr>
        <w:t xml:space="preserve">biological and genetic plausibility first</w:t>
      </w:r>
      <w:r>
        <w:t xml:space="preserve">, and then verifies hypotheses through evidence and cross‑checks.</w:t>
      </w:r>
    </w:p>
    <w:p>
      <w:pPr>
        <w:pStyle w:val="BodyText"/>
      </w:pPr>
      <w:r>
        <w:t xml:space="preserve">The system behaves like a</w:t>
      </w:r>
      <w:r>
        <w:t xml:space="preserve"> </w:t>
      </w:r>
      <w:r>
        <w:rPr>
          <w:b/>
          <w:bCs/>
        </w:rPr>
        <w:t xml:space="preserve">junior biomedical researcher</w:t>
      </w:r>
      <w:r>
        <w:t xml:space="preserve">: it reasons over mechanisms of action, validates them across trusted biological sources, checks disease relevance, explores supporting and contradicting evidence, and produces an explainable, uncertainty‑aware hypothesis report. The system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therapeutic effectiveness; it supports scientific decision‑making.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Drug repurposing is attractive due to reduced cost and faster timelines, but computational approaches often suffer from:</w:t>
      </w:r>
      <w:r>
        <w:t xml:space="preserve"> </w:t>
      </w:r>
      <w:r>
        <w:t xml:space="preserve">- Over‑reliance on similarity scores or black‑box predictions</w:t>
      </w:r>
      <w:r>
        <w:t xml:space="preserve"> </w:t>
      </w:r>
      <w:r>
        <w:t xml:space="preserve">- Limited biological interpretability</w:t>
      </w:r>
      <w:r>
        <w:t xml:space="preserve"> </w:t>
      </w:r>
      <w:r>
        <w:t xml:space="preserve">- Poor handling of contradictory or negative evidence</w:t>
      </w:r>
      <w:r>
        <w:t xml:space="preserve"> </w:t>
      </w:r>
      <w:r>
        <w:t xml:space="preserve">- Lack of explicit reasoning about mechanisms and uncertainty</w:t>
      </w:r>
    </w:p>
    <w:p>
      <w:pPr>
        <w:pStyle w:val="BodyText"/>
      </w:pPr>
      <w:r>
        <w:t xml:space="preserve">This project addresses these limitations by building an</w:t>
      </w:r>
      <w:r>
        <w:t xml:space="preserve"> </w:t>
      </w:r>
      <w:r>
        <w:rPr>
          <w:b/>
          <w:bCs/>
        </w:rPr>
        <w:t xml:space="preserve">agentic, mechanism‑driven, and evidence‑traceable system</w:t>
      </w:r>
      <w:r>
        <w:t xml:space="preserve"> </w:t>
      </w:r>
      <w:r>
        <w:t xml:space="preserve">that evaluates whether a drug–disease pair is</w:t>
      </w:r>
      <w:r>
        <w:t xml:space="preserve"> </w:t>
      </w:r>
      <w:r>
        <w:rPr>
          <w:i/>
          <w:iCs/>
        </w:rPr>
        <w:t xml:space="preserve">biologically plausible</w:t>
      </w:r>
      <w:r>
        <w:t xml:space="preserve"> </w:t>
      </w:r>
      <w:r>
        <w:t xml:space="preserve">and worth further investigation.</w:t>
      </w:r>
    </w:p>
    <w:p>
      <w:r>
        <w:pict>
          <v:rect style="width:0;height:1.5pt" o:hralign="center" o:hrstd="t" o:hr="t"/>
        </w:pict>
      </w:r>
    </w:p>
    <w:bookmarkEnd w:id="21"/>
    <w:bookmarkStart w:id="22" w:name="system-philosophy"/>
    <w:p>
      <w:pPr>
        <w:pStyle w:val="Heading2"/>
      </w:pPr>
      <w:r>
        <w:t xml:space="preserve">3. System Philosophy</w:t>
      </w:r>
    </w:p>
    <w:p>
      <w:pPr>
        <w:pStyle w:val="FirstParagraph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Biology first, evidence second, conclusions last.</w:t>
      </w:r>
    </w:p>
    <w:p>
      <w:pPr>
        <w:pStyle w:val="BodyText"/>
      </w:pPr>
      <w:r>
        <w:t xml:space="preserve">Key design principles:</w:t>
      </w:r>
      <w:r>
        <w:t xml:space="preserve"> </w:t>
      </w:r>
      <w:r>
        <w:t xml:space="preserve">- Mechanism‑of‑Action (MoA) is the entry gate</w:t>
      </w:r>
      <w:r>
        <w:t xml:space="preserve"> </w:t>
      </w:r>
      <w:r>
        <w:t xml:space="preserve">- Cross‑verification across multiple biological sources is mandatory</w:t>
      </w:r>
      <w:r>
        <w:t xml:space="preserve"> </w:t>
      </w:r>
      <w:r>
        <w:t xml:space="preserve">- Literature and trials are used to strengthen or weaken hypotheses, not to invent them</w:t>
      </w:r>
      <w:r>
        <w:t xml:space="preserve"> </w:t>
      </w:r>
      <w:r>
        <w:t xml:space="preserve">- Contradictions and uncertainty are first‑class outputs</w:t>
      </w:r>
      <w:r>
        <w:t xml:space="preserve"> </w:t>
      </w:r>
      <w:r>
        <w:t xml:space="preserve">- The system supports reasoning, not prediction</w:t>
      </w:r>
    </w:p>
    <w:p>
      <w:r>
        <w:pict>
          <v:rect style="width:0;height:1.5pt" o:hralign="center" o:hrstd="t" o:hr="t"/>
        </w:pict>
      </w:r>
    </w:p>
    <w:bookmarkEnd w:id="22"/>
    <w:bookmarkStart w:id="23" w:name="user-input"/>
    <w:p>
      <w:pPr>
        <w:pStyle w:val="Heading2"/>
      </w:pPr>
      <w:r>
        <w:t xml:space="preserve">4. User Input</w:t>
      </w:r>
    </w:p>
    <w:p>
      <w:pPr>
        <w:pStyle w:val="FirstParagraph"/>
      </w:pPr>
      <w:r>
        <w:t xml:space="preserve">The system takes a</w:t>
      </w:r>
      <w:r>
        <w:t xml:space="preserve"> </w:t>
      </w:r>
      <w:r>
        <w:rPr>
          <w:b/>
          <w:bCs/>
        </w:rPr>
        <w:t xml:space="preserve">minimal, hypothesis‑driven input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Drug name</w:t>
      </w:r>
      <w:r>
        <w:br/>
      </w:r>
      <w:r>
        <w:rPr>
          <w:rStyle w:val="VerbatimChar"/>
        </w:rPr>
        <w:t xml:space="preserve">Disease name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Drug: Metformin</w:t>
      </w:r>
      <w:r>
        <w:br/>
      </w:r>
      <w:r>
        <w:rPr>
          <w:rStyle w:val="VerbatimChar"/>
        </w:rPr>
        <w:t xml:space="preserve">Disease: Alzheimer’s disease</w:t>
      </w:r>
    </w:p>
    <w:p>
      <w:pPr>
        <w:pStyle w:val="FirstParagraph"/>
      </w:pPr>
      <w:r>
        <w:t xml:space="preserve">This input represents a single scientific hypothesis: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Is it biologically plausible that this drug could impact this disease?</w:t>
      </w:r>
    </w:p>
    <w:p>
      <w:r>
        <w:pict>
          <v:rect style="width:0;height:1.5pt" o:hralign="center" o:hrstd="t" o:hr="t"/>
        </w:pict>
      </w:r>
    </w:p>
    <w:bookmarkEnd w:id="23"/>
    <w:bookmarkStart w:id="25" w:name="highlevel-architecture"/>
    <w:p>
      <w:pPr>
        <w:pStyle w:val="Heading2"/>
      </w:pPr>
      <w:r>
        <w:t xml:space="preserve">5. High‑Level Architecture</w:t>
      </w:r>
    </w:p>
    <w:p>
      <w:pPr>
        <w:pStyle w:val="FirstParagraph"/>
      </w:pPr>
      <w:r>
        <w:t xml:space="preserve">The system consists of: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Master Orchestrator</w:t>
      </w:r>
      <w:r>
        <w:t xml:space="preserve"> </w:t>
      </w:r>
      <w:r>
        <w:t xml:space="preserve">- Two parallel reasoning tracks</w:t>
      </w:r>
      <w:r>
        <w:t xml:space="preserve"> </w:t>
      </w:r>
      <w:r>
        <w:t xml:space="preserve">- Specialized agents responsible for distinct scientific tasks</w:t>
      </w:r>
    </w:p>
    <w:bookmarkStart w:id="24" w:name="reasoning-tracks"/>
    <w:p>
      <w:pPr>
        <w:pStyle w:val="Heading3"/>
      </w:pPr>
      <w:r>
        <w:t xml:space="preserve">Reasoning Tracks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Mechanism‑First Track (Primary, high‑confidence)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Phenotype / Evidence‑First Track (Exploratory, low‑confidence)</w:t>
      </w:r>
    </w:p>
    <w:p>
      <w:pPr>
        <w:pStyle w:val="FirstParagraph"/>
      </w:pPr>
      <w:r>
        <w:t xml:space="preserve">The orchestrator coordinates execution and merges insights from both tracks.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agent-definitions-responsibilities"/>
    <w:p>
      <w:pPr>
        <w:pStyle w:val="Heading2"/>
      </w:pPr>
      <w:r>
        <w:t xml:space="preserve">6. Agent Definitions &amp; Responsibilities</w:t>
      </w:r>
    </w:p>
    <w:bookmarkStart w:id="26" w:name="master-orchestrator"/>
    <w:p>
      <w:pPr>
        <w:pStyle w:val="Heading3"/>
      </w:pPr>
      <w:r>
        <w:t xml:space="preserve">6.1 Master Orchestrator</w:t>
      </w:r>
    </w:p>
    <w:p>
      <w:pPr>
        <w:pStyle w:val="Compact"/>
        <w:numPr>
          <w:ilvl w:val="0"/>
          <w:numId w:val="1002"/>
        </w:numPr>
      </w:pPr>
      <w:r>
        <w:t xml:space="preserve">Controls execution order</w:t>
      </w:r>
    </w:p>
    <w:p>
      <w:pPr>
        <w:pStyle w:val="Compact"/>
        <w:numPr>
          <w:ilvl w:val="0"/>
          <w:numId w:val="1002"/>
        </w:numPr>
      </w:pPr>
      <w:r>
        <w:t xml:space="preserve">Maintains hypothesis state</w:t>
      </w:r>
    </w:p>
    <w:p>
      <w:pPr>
        <w:pStyle w:val="Compact"/>
        <w:numPr>
          <w:ilvl w:val="0"/>
          <w:numId w:val="1002"/>
        </w:numPr>
      </w:pPr>
      <w:r>
        <w:t xml:space="preserve">Decides when to iterate, downgrade confidence, or stop exploration</w:t>
      </w:r>
    </w:p>
    <w:p>
      <w:r>
        <w:pict>
          <v:rect style="width:0;height:1.5pt" o:hralign="center" o:hrstd="t" o:hr="t"/>
        </w:pict>
      </w:r>
    </w:p>
    <w:bookmarkEnd w:id="26"/>
    <w:bookmarkStart w:id="27" w:name="moa-target-enumeration-agent"/>
    <w:p>
      <w:pPr>
        <w:pStyle w:val="Heading3"/>
      </w:pPr>
      <w:r>
        <w:t xml:space="preserve">6.2 MoA &amp; Target Enumeration Agent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Establish biological grounding.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Identify all known drug targets (primary and off‑target)</w:t>
      </w:r>
      <w:r>
        <w:t xml:space="preserve"> </w:t>
      </w:r>
      <w:r>
        <w:t xml:space="preserve">- Map targets to pathways and biological processes</w:t>
      </w:r>
      <w:r>
        <w:t xml:space="preserve"> </w:t>
      </w:r>
      <w:r>
        <w:t xml:space="preserve">- Include tissue‑specific expression where available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Candidate MoA chains with source attribution</w:t>
      </w:r>
      <w:r>
        <w:t xml:space="preserve"> </w:t>
      </w:r>
      <w:r>
        <w:t xml:space="preserve">- Initial confidence indicators</w:t>
      </w:r>
    </w:p>
    <w:p>
      <w:r>
        <w:pict>
          <v:rect style="width:0;height:1.5pt" o:hralign="center" o:hrstd="t" o:hr="t"/>
        </w:pict>
      </w:r>
    </w:p>
    <w:bookmarkEnd w:id="27"/>
    <w:bookmarkStart w:id="28" w:name="X2693f9ca2672a3f2cbdeb7c831926b6add96dd3"/>
    <w:p>
      <w:pPr>
        <w:pStyle w:val="Heading3"/>
      </w:pPr>
      <w:r>
        <w:t xml:space="preserve">6.3 MoA Cross‑Verification &amp; Conflict Mapping Agent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Validate mechanisms and detect inconsistencies.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Cross‑check MoA across multiple databases</w:t>
      </w:r>
      <w:r>
        <w:t xml:space="preserve"> </w:t>
      </w:r>
      <w:r>
        <w:t xml:space="preserve">- Apply source hierarchy (experimental &gt; curated &gt; inferred)</w:t>
      </w:r>
      <w:r>
        <w:t xml:space="preserve"> </w:t>
      </w:r>
      <w:r>
        <w:t xml:space="preserve">- Explicitly map conflicting or uncertain claims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Verified MoA list (strong / medium / weak)</w:t>
      </w:r>
      <w:r>
        <w:t xml:space="preserve"> </w:t>
      </w:r>
      <w:r>
        <w:t xml:space="preserve">- Conflict and uncertainty annotations</w:t>
      </w:r>
    </w:p>
    <w:p>
      <w:r>
        <w:pict>
          <v:rect style="width:0;height:1.5pt" o:hralign="center" o:hrstd="t" o:hr="t"/>
        </w:pict>
      </w:r>
    </w:p>
    <w:bookmarkEnd w:id="28"/>
    <w:bookmarkStart w:id="29" w:name="diseasemechanism-relevance-agent"/>
    <w:p>
      <w:pPr>
        <w:pStyle w:val="Heading3"/>
      </w:pPr>
      <w:r>
        <w:t xml:space="preserve">6.4 Disease–Mechanism Relevance Agent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Assess whether mechanisms matter for the disease.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Evaluate gene–disease and pathway–disease associations</w:t>
      </w:r>
      <w:r>
        <w:t xml:space="preserve"> </w:t>
      </w:r>
      <w:r>
        <w:t xml:space="preserve">- Assess directionality of modulation (beneficial vs harmful)</w:t>
      </w:r>
      <w:r>
        <w:t xml:space="preserve"> </w:t>
      </w:r>
      <w:r>
        <w:t xml:space="preserve">- Consider disease stage relevance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Disease relevance score</w:t>
      </w:r>
      <w:r>
        <w:t xml:space="preserve"> </w:t>
      </w:r>
      <w:r>
        <w:t xml:space="preserve">- Directional confidence</w:t>
      </w:r>
      <w:r>
        <w:t xml:space="preserve"> </w:t>
      </w:r>
      <w:r>
        <w:t xml:space="preserve">- Biological alignment notes</w:t>
      </w:r>
    </w:p>
    <w:p>
      <w:r>
        <w:pict>
          <v:rect style="width:0;height:1.5pt" o:hralign="center" o:hrstd="t" o:hr="t"/>
        </w:pict>
      </w:r>
    </w:p>
    <w:bookmarkEnd w:id="29"/>
    <w:bookmarkStart w:id="30" w:name="Xe46f6d6b7317d70226d12008029ca903720c953"/>
    <w:p>
      <w:pPr>
        <w:pStyle w:val="Heading3"/>
      </w:pPr>
      <w:r>
        <w:t xml:space="preserve">6.5 Phenotype &amp; Lightweight Literature Scan Agent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Capture unexpected or serendipitous signals.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Scan literature for indirect effects, failed trials, or off‑label mentions</w:t>
      </w:r>
      <w:r>
        <w:t xml:space="preserve"> </w:t>
      </w:r>
      <w:r>
        <w:t xml:space="preserve">- Identify contradictory or negative findings</w:t>
      </w:r>
      <w:r>
        <w:t xml:space="preserve"> </w:t>
      </w:r>
      <w:r>
        <w:t xml:space="preserve">- Flag unexpected clinical observations</w:t>
      </w:r>
    </w:p>
    <w:p>
      <w:pPr>
        <w:pStyle w:val="BodyTex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- Cannot create mechanisms</w:t>
      </w:r>
      <w:r>
        <w:t xml:space="preserve"> </w:t>
      </w:r>
      <w:r>
        <w:t xml:space="preserve">- Used only to trigger re‑exploration or caution</w:t>
      </w:r>
    </w:p>
    <w:p>
      <w:r>
        <w:pict>
          <v:rect style="width:0;height:1.5pt" o:hralign="center" o:hrstd="t" o:hr="t"/>
        </w:pict>
      </w:r>
    </w:p>
    <w:bookmarkEnd w:id="30"/>
    <w:bookmarkStart w:id="31" w:name="clinical-pk-safety-context-agent"/>
    <w:p>
      <w:pPr>
        <w:pStyle w:val="Heading3"/>
      </w:pPr>
      <w:r>
        <w:t xml:space="preserve">6.6 Clinical, PK &amp; Safety Context Agent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Ground hypotheses in real‑world feasibility.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Review trial outcomes (positive, failed, terminated)</w:t>
      </w:r>
      <w:r>
        <w:t xml:space="preserve"> </w:t>
      </w:r>
      <w:r>
        <w:t xml:space="preserve">- Identify safety risks and contraindications</w:t>
      </w:r>
      <w:r>
        <w:t xml:space="preserve"> </w:t>
      </w:r>
      <w:r>
        <w:t xml:space="preserve">- Evaluate PK/PD feasibility (target tissue accessibility)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Safety flags</w:t>
      </w:r>
      <w:r>
        <w:t xml:space="preserve"> </w:t>
      </w:r>
      <w:r>
        <w:t xml:space="preserve">- Clinical feasibility notes</w:t>
      </w:r>
      <w:r>
        <w:t xml:space="preserve"> </w:t>
      </w:r>
      <w:r>
        <w:t xml:space="preserve">- Known failure modes</w:t>
      </w:r>
    </w:p>
    <w:p>
      <w:r>
        <w:pict>
          <v:rect style="width:0;height:1.5pt" o:hralign="center" o:hrstd="t" o:hr="t"/>
        </w:pict>
      </w:r>
    </w:p>
    <w:bookmarkEnd w:id="31"/>
    <w:bookmarkStart w:id="32" w:name="prior-knowledge-memory-agent"/>
    <w:p>
      <w:pPr>
        <w:pStyle w:val="Heading3"/>
      </w:pPr>
      <w:r>
        <w:t xml:space="preserve">6.7 Prior Knowledge &amp; Memory Agent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Avoid rediscovering known failures.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Track recurring mechanisms and outcomes</w:t>
      </w:r>
      <w:r>
        <w:t xml:space="preserve"> </w:t>
      </w:r>
      <w:r>
        <w:t xml:space="preserve">- Detect historically unsuccessful patterns</w:t>
      </w:r>
      <w:r>
        <w:t xml:space="preserve"> </w:t>
      </w:r>
      <w:r>
        <w:t xml:space="preserve">- Provide context for</w:t>
      </w:r>
      <w:r>
        <w:t xml:space="preserve"> </w:t>
      </w:r>
      <w:r>
        <w:t xml:space="preserve">“why this hasn’t worked before”</w:t>
      </w:r>
    </w:p>
    <w:p>
      <w:r>
        <w:pict>
          <v:rect style="width:0;height:1.5pt" o:hralign="center" o:hrstd="t" o:hr="t"/>
        </w:pict>
      </w:r>
    </w:p>
    <w:bookmarkEnd w:id="32"/>
    <w:bookmarkStart w:id="33" w:name="X66e02f99cef7ceae0af5c74275c953108211eae"/>
    <w:p>
      <w:pPr>
        <w:pStyle w:val="Heading3"/>
      </w:pPr>
      <w:r>
        <w:t xml:space="preserve">6.8 Hypothesis Synthesis &amp; Uncertainty Modeling Agent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Final reasoning and reporting.</w:t>
      </w:r>
    </w:p>
    <w:p>
      <w:pPr>
        <w:pStyle w:val="BodyText"/>
      </w:pPr>
      <w:r>
        <w:rPr>
          <w:b/>
          <w:bCs/>
        </w:rPr>
        <w:t xml:space="preserve">Functions:</w:t>
      </w:r>
      <w:r>
        <w:t xml:space="preserve"> </w:t>
      </w:r>
      <w:r>
        <w:t xml:space="preserve">- Integrate outputs from all agents</w:t>
      </w:r>
      <w:r>
        <w:t xml:space="preserve"> </w:t>
      </w:r>
      <w:r>
        <w:t xml:space="preserve">- Generate structured rationale chains</w:t>
      </w:r>
      <w:r>
        <w:t xml:space="preserve"> </w:t>
      </w:r>
      <w:r>
        <w:t xml:space="preserve">- Quantify uncertainty and confidence ranges</w:t>
      </w:r>
      <w:r>
        <w:t xml:space="preserve"> </w:t>
      </w:r>
      <w:r>
        <w:t xml:space="preserve">- Propose competing hypotheses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Viability profile (not binary verdict)</w:t>
      </w:r>
      <w:r>
        <w:t xml:space="preserve"> </w:t>
      </w:r>
      <w:r>
        <w:t xml:space="preserve">- Evidence‑traceable hypothesis report</w:t>
      </w:r>
      <w:r>
        <w:t xml:space="preserve"> </w:t>
      </w:r>
      <w:r>
        <w:t xml:space="preserve">- Suggested next experimental steps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orkflow-summary"/>
    <w:p>
      <w:pPr>
        <w:pStyle w:val="Heading2"/>
      </w:pPr>
      <w:r>
        <w:t xml:space="preserve">7. Workflow Summary</w:t>
      </w:r>
    </w:p>
    <w:p>
      <w:pPr>
        <w:pStyle w:val="Compact"/>
        <w:numPr>
          <w:ilvl w:val="0"/>
          <w:numId w:val="1003"/>
        </w:numPr>
      </w:pPr>
      <w:r>
        <w:t xml:space="preserve">User submits Drug + Disease</w:t>
      </w:r>
    </w:p>
    <w:p>
      <w:pPr>
        <w:pStyle w:val="Compact"/>
        <w:numPr>
          <w:ilvl w:val="0"/>
          <w:numId w:val="1003"/>
        </w:numPr>
      </w:pPr>
      <w:r>
        <w:t xml:space="preserve">Orchestrator initializes hypothesis</w:t>
      </w:r>
    </w:p>
    <w:p>
      <w:pPr>
        <w:pStyle w:val="Compact"/>
        <w:numPr>
          <w:ilvl w:val="0"/>
          <w:numId w:val="1003"/>
        </w:numPr>
      </w:pPr>
      <w:r>
        <w:t xml:space="preserve">Mechanism‑first track runs (MoA → verification → disease relevance)</w:t>
      </w:r>
    </w:p>
    <w:p>
      <w:pPr>
        <w:pStyle w:val="Compact"/>
        <w:numPr>
          <w:ilvl w:val="0"/>
          <w:numId w:val="1003"/>
        </w:numPr>
      </w:pPr>
      <w:r>
        <w:t xml:space="preserve">Phenotype track runs in parallel (lightweight evidence scan)</w:t>
      </w:r>
    </w:p>
    <w:p>
      <w:pPr>
        <w:pStyle w:val="Compact"/>
        <w:numPr>
          <w:ilvl w:val="0"/>
          <w:numId w:val="1003"/>
        </w:numPr>
      </w:pPr>
      <w:r>
        <w:t xml:space="preserve">Clinical &amp; safety checks applied</w:t>
      </w:r>
    </w:p>
    <w:p>
      <w:pPr>
        <w:pStyle w:val="Compact"/>
        <w:numPr>
          <w:ilvl w:val="0"/>
          <w:numId w:val="1003"/>
        </w:numPr>
      </w:pPr>
      <w:r>
        <w:t xml:space="preserve">Hypothesis synthesis with uncertainty modeling</w:t>
      </w:r>
    </w:p>
    <w:p>
      <w:pPr>
        <w:pStyle w:val="Compact"/>
        <w:numPr>
          <w:ilvl w:val="0"/>
          <w:numId w:val="1003"/>
        </w:numPr>
      </w:pPr>
      <w:r>
        <w:t xml:space="preserve">Final structured output generated</w:t>
      </w:r>
    </w:p>
    <w:p>
      <w:r>
        <w:pict>
          <v:rect style="width:0;height:1.5pt" o:hralign="center" o:hrstd="t" o:hr="t"/>
        </w:pict>
      </w:r>
    </w:p>
    <w:bookmarkEnd w:id="35"/>
    <w:bookmarkStart w:id="36" w:name="output-structure"/>
    <w:p>
      <w:pPr>
        <w:pStyle w:val="Heading2"/>
      </w:pPr>
      <w:r>
        <w:t xml:space="preserve">8. Output Structure</w:t>
      </w:r>
    </w:p>
    <w:p>
      <w:pPr>
        <w:pStyle w:val="FirstParagraph"/>
      </w:pPr>
      <w:r>
        <w:t xml:space="preserve">Each hypothesis report includes:</w:t>
      </w:r>
      <w:r>
        <w:t xml:space="preserve"> </w:t>
      </w:r>
      <w:r>
        <w:t xml:space="preserve">- Mechanistic rationale chain</w:t>
      </w:r>
      <w:r>
        <w:t xml:space="preserve"> </w:t>
      </w:r>
      <w:r>
        <w:t xml:space="preserve">- Evidence sources and citations</w:t>
      </w:r>
      <w:r>
        <w:t xml:space="preserve"> </w:t>
      </w:r>
      <w:r>
        <w:t xml:space="preserve">- Conflicting findings and uncertainty</w:t>
      </w:r>
      <w:r>
        <w:t xml:space="preserve"> </w:t>
      </w:r>
      <w:r>
        <w:t xml:space="preserve">- Safety and feasibility notes</w:t>
      </w:r>
      <w:r>
        <w:t xml:space="preserve"> </w:t>
      </w:r>
      <w:r>
        <w:t xml:space="preserve">- Plausibility confidence range</w:t>
      </w:r>
      <w:r>
        <w:t xml:space="preserve"> </w:t>
      </w:r>
      <w:r>
        <w:t xml:space="preserve">- Knowledge gaps and next experiments</w:t>
      </w:r>
    </w:p>
    <w:p>
      <w:r>
        <w:pict>
          <v:rect style="width:0;height:1.5pt" o:hralign="center" o:hrstd="t" o:hr="t"/>
        </w:pict>
      </w:r>
    </w:p>
    <w:bookmarkEnd w:id="36"/>
    <w:bookmarkStart w:id="37" w:name="intended-use-limitations"/>
    <w:p>
      <w:pPr>
        <w:pStyle w:val="Heading2"/>
      </w:pPr>
      <w:r>
        <w:t xml:space="preserve">9. Intended Use &amp; Limitations</w:t>
      </w:r>
    </w:p>
    <w:p>
      <w:pPr>
        <w:pStyle w:val="FirstParagraph"/>
      </w:pPr>
      <w:r>
        <w:rPr>
          <w:b/>
          <w:bCs/>
        </w:rPr>
        <w:t xml:space="preserve">Intended Use:</w:t>
      </w:r>
      <w:r>
        <w:t xml:space="preserve"> </w:t>
      </w:r>
      <w:r>
        <w:t xml:space="preserve">- Early‑stage hypothesis exploration</w:t>
      </w:r>
      <w:r>
        <w:t xml:space="preserve"> </w:t>
      </w:r>
      <w:r>
        <w:t xml:space="preserve">- Research decision support</w:t>
      </w:r>
      <w:r>
        <w:t xml:space="preserve"> </w:t>
      </w:r>
      <w:r>
        <w:t xml:space="preserve">- Academic and educational settings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Not a clinical decision tool</w:t>
      </w:r>
      <w:r>
        <w:t xml:space="preserve"> </w:t>
      </w:r>
      <w:r>
        <w:t xml:space="preserve">- Dependent on open data completeness</w:t>
      </w:r>
      <w:r>
        <w:t xml:space="preserve"> </w:t>
      </w:r>
      <w:r>
        <w:t xml:space="preserve">- Biological plausibility does not imply efficacy</w:t>
      </w:r>
    </w:p>
    <w:p>
      <w:r>
        <w:pict>
          <v:rect style="width:0;height:1.5pt" o:hralign="center" o:hrstd="t" o:hr="t"/>
        </w:pict>
      </w:r>
    </w:p>
    <w:bookmarkEnd w:id="37"/>
    <w:bookmarkStart w:id="38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This system represents a shift from result‑driven computational repurposing toward</w:t>
      </w:r>
      <w:r>
        <w:t xml:space="preserve"> </w:t>
      </w:r>
      <w:r>
        <w:rPr>
          <w:b/>
          <w:bCs/>
        </w:rPr>
        <w:t xml:space="preserve">agentic, mechanism‑grounded scientific reasoning</w:t>
      </w:r>
      <w:r>
        <w:t xml:space="preserve">. By prioritizing biological plausibility, cross‑verification, and uncertainty awareness, it provides a transparent and responsible framework for exploring drug repurposing hypotheses.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2026-01-28T18:20:57Z</dcterms:created>
  <dcterms:modified xsi:type="dcterms:W3CDTF">2026-01-28T18:20:57Z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