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SIH26167 — SatQuery AI</w:t>
      </w:r>
    </w:p>
    <w:p>
      <w:pPr>
        <w:spacing w:after="220"/>
      </w:pPr>
      <w:r>
        <w:rPr>
          <w:color w:val="555555"/>
          <w:sz w:val="24"/>
          <w:szCs w:val="24"/>
        </w:rPr>
        <w:t xml:space="preserve">Presentation Script (v2) — Team Unhandled Exceptions</w:t>
      </w:r>
    </w:p>
    <w:p>
      <w:pPr>
        <w:spacing w:after="120"/>
      </w:pPr>
      <w:r>
        <w:rPr>
          <w:b/>
          <w:bCs/>
        </w:rPr>
        <w:t xml:space="preserve">Total slot: 12 minutes. Section 1 is the core spoken pitch — tightened to 4 minutes at a normal, confident pace (~140 words/minute). Section 2 is a separate, not-timed-into-the-4-minutes walkthrough script for live-clicking the website, used during your demo slot (~2–3 minutes). The remainder is Q&amp;A buffer. Rehearse Section 1 against a stopwatch — the rubric penalises both running over AND under-using the allotted 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29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Speaker</w:t>
            </w:r>
          </w:p>
        </w:tc>
        <w:tc>
          <w:tcPr>
            <w:tcW w:type="dxa" w:w="3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time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Samridhi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 — the problem + Our Solution (Slides 1–2)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 – 1:00 (60s)</w:t>
            </w:r>
          </w:p>
        </w:tc>
      </w:tr>
      <w:tr>
        <w:tc>
          <w:tcPr>
            <w:tcW w:type="dxa" w:w="25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Sameel</w:t>
            </w:r>
          </w:p>
        </w:tc>
        <w:tc>
          <w:tcPr>
            <w:tcW w:type="dxa" w:w="3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Approach (Slide 3)</w:t>
            </w:r>
          </w:p>
        </w:tc>
        <w:tc>
          <w:tcPr>
            <w:tcW w:type="dxa" w:w="2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 – 1:35 (35s)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Feasibility &amp; Viability (Slide 4)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1:35 – 2:10 (35s)</w:t>
            </w:r>
          </w:p>
        </w:tc>
      </w:tr>
      <w:tr>
        <w:tc>
          <w:tcPr>
            <w:tcW w:type="dxa" w:w="25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Adeeb</w:t>
            </w:r>
          </w:p>
        </w:tc>
        <w:tc>
          <w:tcPr>
            <w:tcW w:type="dxa" w:w="3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Impact &amp; Benefits (Slide 5)</w:t>
            </w:r>
          </w:p>
        </w:tc>
        <w:tc>
          <w:tcPr>
            <w:tcW w:type="dxa" w:w="2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2:10 – 2:40 (30s)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Kapil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Research &amp; References (Slide 6)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2:40 – 3:00 (20s)</w:t>
            </w:r>
          </w:p>
        </w:tc>
      </w:tr>
      <w:tr>
        <w:tc>
          <w:tcPr>
            <w:tcW w:type="dxa" w:w="25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Yajat</w:t>
            </w:r>
          </w:p>
        </w:tc>
        <w:tc>
          <w:tcPr>
            <w:tcW w:type="dxa" w:w="3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Why-not-generic-AI + platform links + closing</w:t>
            </w:r>
          </w:p>
        </w:tc>
        <w:tc>
          <w:tcPr>
            <w:tcW w:type="dxa" w:w="2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3:00 – 4:00 (60s)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Delivery notes matched to the judging rubric: state the novelty plainly (“agentic routing”, “our own addition beyond the PS”) for Innovativeness/Creativity; name a stakeholder + real query for Social Impact; keep eye contact and a steady pace, not a read-aloud monotone, for Presentation; and do not let any one speaker run long — Time Discipline is scored as a penalty, not just a guideline. Samridhi and Yajat carry the most content — the strongest hook and the strongest close matter most for a judge's first and last impression.</w:t>
      </w:r>
    </w:p>
    <w:p>
      <w:pPr>
        <w:pStyle w:val="Heading1"/>
        <w:pBdr>
          <w:bottom w:val="single" w:color="0E7C86" w:sz="6" w:space="4"/>
        </w:pBdr>
        <w:spacing w:after="120" w:before="300"/>
      </w:pPr>
      <w:r>
        <w:t xml:space="preserve">Section 1 — Core Pitch Script (4:00)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SAMRIDHI</w:t>
      </w:r>
      <w:r>
        <w:rPr>
          <w:i/>
          <w:iCs/>
          <w:color w:val="555555"/>
          <w:sz w:val="18"/>
          <w:szCs w:val="18"/>
        </w:rPr>
        <w:t xml:space="preserve">   —   Slide: 1 – 2   |   ~60s (155 words)   |   cumulative ≈ 1:00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[Confident, energetic open. Make eye contact with the panel, not the slide. This is the hook — take your time on the first two lines.]</w:t>
      </w:r>
    </w:p>
    <w:p>
      <w:pPr>
        <w:spacing w:after="100"/>
        <w:ind w:left="215"/>
      </w:pPr>
      <w:r>
        <w:rPr>
          <w:sz w:val="22"/>
          <w:szCs w:val="22"/>
        </w:rPr>
        <w:t xml:space="preserve">Respected judges, imagine a flash flood hits a district tonight. The satellite has already captured the imagery — but it takes a trained GIS specialist hours to download, clean, and interpret it before rescue teams get an answer. That delay costs lives.</w:t>
      </w:r>
    </w:p>
    <w:p>
      <w:pPr>
        <w:spacing w:after="100"/>
        <w:ind w:left="215"/>
      </w:pPr>
      <w:r>
        <w:rPr>
          <w:sz w:val="22"/>
          <w:szCs w:val="22"/>
        </w:rPr>
        <w:t xml:space="preserve">We are Team Unhandled Exceptions, from Sardar Patel Institute of Technology, presenting SatQuery AI for Problem Statement SIH26167, under Space Technology.</w:t>
      </w:r>
    </w:p>
    <w:p>
      <w:pPr>
        <w:spacing w:after="100"/>
        <w:ind w:left="215"/>
      </w:pPr>
      <w:r>
        <w:rPr>
          <w:sz w:val="22"/>
          <w:szCs w:val="22"/>
        </w:rPr>
        <w:t xml:space="preserve">SatQuery removes that bottleneck. Instead of desktop GIS tools, you simply ask — in plain English or Hindi — and get a real, evidence-backed answer back: what's visible in an area, exactly where a feature is with a bounding box, what changed between two dates, what optical-plus-radar fusion reveals through cloud cover, and even land-cover types the system has never explicitly seen before.</w:t>
      </w:r>
    </w:p>
    <w:p>
      <w:pPr>
        <w:spacing w:after="100"/>
        <w:ind w:left="215"/>
      </w:pPr>
      <w:r>
        <w:rPr>
          <w:sz w:val="22"/>
          <w:szCs w:val="22"/>
        </w:rPr>
        <w:t xml:space="preserve">One conversational interface. No GIS expertise required. Sameel will now show you exactly how it works.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SAMEEL</w:t>
      </w:r>
      <w:r>
        <w:rPr>
          <w:i/>
          <w:iCs/>
          <w:color w:val="555555"/>
          <w:sz w:val="18"/>
          <w:szCs w:val="18"/>
        </w:rPr>
        <w:t xml:space="preserve">   —   Slide: 3   |   ~35s (90 words)   |   cumulative ≈ 1:35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[Point briefly at the pipeline diagram as you name each stage. Keep pace brisk — this is the densest slide.]</w:t>
      </w:r>
    </w:p>
    <w:p>
      <w:pPr>
        <w:spacing w:after="100"/>
        <w:ind w:left="215"/>
      </w:pPr>
      <w:r>
        <w:rPr>
          <w:sz w:val="22"/>
          <w:szCs w:val="22"/>
        </w:rPr>
        <w:t xml:space="preserve">Thanks, Samridhi. Every query first passes input validation — image count, modality, format, coordinate system — before anything runs.</w:t>
      </w:r>
    </w:p>
    <w:p>
      <w:pPr>
        <w:spacing w:after="100"/>
        <w:ind w:left="215"/>
      </w:pPr>
      <w:r>
        <w:rPr>
          <w:sz w:val="22"/>
          <w:szCs w:val="22"/>
        </w:rPr>
        <w:t xml:space="preserve">Our agentic router, Llama-3 via Groq, then dispatches to the right specialist, with no manual selection: our own fine-tuned Qwen2.5-VL for VQA and grounding, ChangeFormer for change detection, RemoteCLIP for zero-shot classification, our SAR fusion module, and Grounding-DINO with SAHI — our own addition, beyond what the problem statement asks for — to find every instance in a scene.</w:t>
      </w:r>
    </w:p>
    <w:p>
      <w:pPr>
        <w:spacing w:after="100"/>
        <w:ind w:left="215"/>
      </w:pPr>
      <w:r>
        <w:rPr>
          <w:sz w:val="22"/>
          <w:szCs w:val="22"/>
        </w:rPr>
        <w:t xml:space="preserve">Every answer is grounded against ISRO's Bhuvan legend before we respond. Over to Ali.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ALI</w:t>
      </w:r>
      <w:r>
        <w:rPr>
          <w:i/>
          <w:iCs/>
          <w:color w:val="555555"/>
          <w:sz w:val="18"/>
          <w:szCs w:val="18"/>
        </w:rPr>
        <w:t xml:space="preserve">   —   Slide: 4   |   ~35s (90 words)   |   cumulative ≈ 2:10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[Slow down slightly for the numbers — don't rush the fallback-chain line.]</w:t>
      </w:r>
    </w:p>
    <w:p>
      <w:pPr>
        <w:spacing w:after="100"/>
        <w:ind w:left="215"/>
      </w:pPr>
      <w:r>
        <w:rPr>
          <w:sz w:val="22"/>
          <w:szCs w:val="22"/>
        </w:rPr>
        <w:t xml:space="preserve">Thanks, Sameel. Our model is 4-bit quantized, so it runs on a single consumer GPU, not a data-centre.</w:t>
      </w:r>
    </w:p>
    <w:p>
      <w:pPr>
        <w:spacing w:after="100"/>
        <w:ind w:left="215"/>
      </w:pPr>
      <w:r>
        <w:rPr>
          <w:sz w:val="22"/>
          <w:szCs w:val="22"/>
        </w:rPr>
        <w:t xml:space="preserve">And if GPU access isn't there, we don't crash — a five-tier fallback steps from our fine-tuned model, to local specialists, to a labelled generic cloud model, to text-only reasoning, to a guaranteed rule-based response. Our task-routing was correct end-to-end on every query in our internal benchmark suite.</w:t>
      </w:r>
    </w:p>
    <w:p>
      <w:pPr>
        <w:spacing w:after="100"/>
        <w:ind w:left="215"/>
      </w:pPr>
      <w:r>
        <w:rPr>
          <w:sz w:val="22"/>
          <w:szCs w:val="22"/>
        </w:rPr>
        <w:t xml:space="preserve">We're also upfront that ISRO's final evaluation uses sensor data we've never trained on — a constraint every competing team faces equally. Adeeb will show you who this actually helps.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ADEEB</w:t>
      </w:r>
      <w:r>
        <w:rPr>
          <w:i/>
          <w:iCs/>
          <w:color w:val="555555"/>
          <w:sz w:val="18"/>
          <w:szCs w:val="18"/>
        </w:rPr>
        <w:t xml:space="preserve">   —   Slide: 5   |   ~30s (75 words)   |   cumulative ≈ 2:40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[Name a stakeholder AND a query verbatim — this is your Social Impact moment.]</w:t>
      </w:r>
    </w:p>
    <w:p>
      <w:pPr>
        <w:spacing w:after="100"/>
        <w:ind w:left="215"/>
      </w:pPr>
      <w:r>
        <w:rPr>
          <w:sz w:val="22"/>
          <w:szCs w:val="22"/>
        </w:rPr>
        <w:t xml:space="preserve">Thanks, Ali. SatQuery turns a slow chain — raw data, specialist tools, manual interpretation, a separate GIS step, then a report — into five direct steps: ask, analyse, evidence, map, decide.</w:t>
      </w:r>
    </w:p>
    <w:p>
      <w:pPr>
        <w:spacing w:after="100"/>
        <w:ind w:left="215"/>
      </w:pPr>
      <w:r>
        <w:rPr>
          <w:sz w:val="22"/>
          <w:szCs w:val="22"/>
        </w:rPr>
        <w:t xml:space="preserve">NDMA gets rapid flood mapping. MoHUA tracks urban growth. The agriculture ministry monitors crops. INCOIS gets all-weather coastal surveillance. And ISRO gets conversational access to its own satellite archive. Kapil will close with the research behind it.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KAPIL</w:t>
      </w:r>
      <w:r>
        <w:rPr>
          <w:i/>
          <w:iCs/>
          <w:color w:val="555555"/>
          <w:sz w:val="18"/>
          <w:szCs w:val="18"/>
        </w:rPr>
        <w:t xml:space="preserve">   —   Slide: 6   |   ~20s (48 words)   |   cumulative ≈ 3:00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[Brief and credible — the 'we did our homework' beat. Don't linger.]</w:t>
      </w:r>
    </w:p>
    <w:p>
      <w:pPr>
        <w:spacing w:after="100"/>
        <w:ind w:left="215"/>
      </w:pPr>
      <w:r>
        <w:rPr>
          <w:sz w:val="22"/>
          <w:szCs w:val="22"/>
        </w:rPr>
        <w:t xml:space="preserve">Thanks, Adeeb. Everything here is grounded in peer-reviewed work — VRSBench, LoRA, Grounding DINO, RemoteCLIP, ChangeFormer — adapted and validated end-to-end, not invented from scratch, and benchmarked against VRSBench's own held-out evaluation.</w:t>
      </w:r>
    </w:p>
    <w:p>
      <w:pPr>
        <w:spacing w:after="100"/>
        <w:ind w:left="215"/>
      </w:pPr>
      <w:r>
        <w:rPr>
          <w:sz w:val="22"/>
          <w:szCs w:val="22"/>
        </w:rPr>
        <w:t xml:space="preserve">Built, evaluated, and ready to explore. Yajat will show you exactly that.</w:t>
      </w:r>
    </w:p>
    <w:p>
      <w:pPr>
        <w:shd w:fill="FDEEDC" w:val="clear"/>
        <w:spacing w:after="80" w:before="240"/>
      </w:pPr>
      <w:r>
        <w:rPr>
          <w:b/>
          <w:bCs/>
          <w:color w:val="C1541C"/>
          <w:sz w:val="26"/>
          <w:szCs w:val="26"/>
        </w:rPr>
        <w:t xml:space="preserve">  YAJAT</w:t>
      </w:r>
      <w:r>
        <w:rPr>
          <w:i/>
          <w:iCs/>
          <w:color w:val="555555"/>
          <w:sz w:val="18"/>
          <w:szCs w:val="18"/>
        </w:rPr>
        <w:t xml:space="preserve">   —   Slide: 6 (links) + close   |   ~60s (150 words)   |   cumulative ≈ 4:00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[This is your closing beat — land the differentiation line with confidence, then the links, then the thank-you. Own the room here.]</w:t>
      </w:r>
    </w:p>
    <w:p>
      <w:pPr>
        <w:spacing w:after="100"/>
        <w:ind w:left="215"/>
      </w:pPr>
      <w:r>
        <w:rPr>
          <w:sz w:val="22"/>
          <w:szCs w:val="22"/>
        </w:rPr>
        <w:t xml:space="preserve">Thanks, Kapil. Now, you might reasonably ask: why not just upload this photo to ChatGPT or Gemini?</w:t>
      </w:r>
    </w:p>
    <w:p>
      <w:pPr>
        <w:spacing w:after="100"/>
        <w:ind w:left="215"/>
      </w:pPr>
      <w:r>
        <w:rPr>
          <w:sz w:val="22"/>
          <w:szCs w:val="22"/>
        </w:rPr>
        <w:t xml:space="preserve">Because a generic vision model is trained on eye-level photos — point it at an overhead satellite frame and it drifts, hallucinates coordinates, and the problem statement itself is explicit that a generic, non-adapted model does not satisfy the requirement. SatQuery is fine-tuned specifically for this domain, and we only ever use a generic model as an honest, clearly-labelled fallback — never as our answer to that requirement.</w:t>
      </w:r>
    </w:p>
    <w:p>
      <w:pPr>
        <w:spacing w:after="100"/>
        <w:ind w:left="215"/>
      </w:pPr>
      <w:r>
        <w:rPr>
          <w:sz w:val="22"/>
          <w:szCs w:val="22"/>
        </w:rPr>
        <w:t xml:space="preserve">Right here on our deck: our live website for you to try yourselves, our demo video, and our research paper with the fine-tuned model openly published on Hugging Face.</w:t>
      </w:r>
    </w:p>
    <w:p>
      <w:pPr>
        <w:spacing w:after="100"/>
        <w:ind w:left="215"/>
      </w:pPr>
      <w:r>
        <w:rPr>
          <w:i/>
          <w:iCs/>
          <w:color w:val="0E7C86"/>
          <w:sz w:val="19"/>
          <w:szCs w:val="19"/>
        </w:rPr>
        <w:t xml:space="preserve">[Switch to the live site or play the demo video now — see Section 2 for the walkthrough script.]</w:t>
      </w:r>
    </w:p>
    <w:p>
      <w:pPr>
        <w:spacing w:after="100"/>
        <w:ind w:left="215"/>
      </w:pPr>
      <w:r>
        <w:rPr>
          <w:sz w:val="22"/>
          <w:szCs w:val="22"/>
        </w:rPr>
        <w:t xml:space="preserve">SatQuery AI — fast, honest, evidence-backed intelligence for a safer India. Thank you, and we'd love your questions.</w:t>
      </w:r>
    </w:p>
    <w:p>
      <w:pPr>
        <w:spacing w:before="200"/>
      </w:pPr>
    </w:p>
    <w:p>
      <w:pPr>
        <w:spacing w:before="80"/>
      </w:pPr>
      <w:r>
        <w:rPr>
          <w:b/>
          <w:bCs/>
          <w:color w:val="C1541C"/>
        </w:rPr>
        <w:t xml:space="preserve">Note: </w:t>
      </w:r>
      <w:r>
        <w:rPr>
          <w:i/>
          <w:iCs/>
        </w:rPr>
        <w:t xml:space="preserve">the feasibility numbers used above match the technical document (77.0% VQA accuracy on 200 held-out questions; 12/12 internal task-routing benchmark). If the slide deck itself still shows an older 84.0%/50-question figure, update the slide before presenting — judges and the in-app Guide Bot should never contradict what's said on stage.</w:t>
      </w:r>
    </w:p>
    <w:p>
      <w:pPr>
        <w:pStyle w:val="Heading1"/>
        <w:pBdr>
          <w:bottom w:val="single" w:color="0E7C86" w:sz="6" w:space="4"/>
        </w:pBdr>
        <w:spacing w:after="120" w:before="300"/>
      </w:pPr>
      <w:r>
        <w:t xml:space="preserve">Section 2 — Live Website Walkthrough (not counted in the 4:00; use during your demo slot)</w:t>
      </w:r>
    </w:p>
    <w:p>
      <w:pPr>
        <w:spacing w:after="120"/>
      </w:pPr>
      <w:r>
        <w:t xml:space="preserve">Narrated by Yajat while actually clicking through the site (or paused over the demo video if the live site can't be reached in the room — always have the video as backup). Roughly 90 seconds to 2 minutes; trim steps if time is short. Use one of the problem statement's own five representative queries live — it visibly proves the system wasn't just built to answer canned demo questions.</w:t>
      </w:r>
    </w:p>
    <w:p>
      <w:pPr>
        <w:pStyle w:val="Heading2"/>
        <w:spacing w:after="100" w:before="200"/>
      </w:pPr>
      <w:r>
        <w:t xml:space="preserve">Step-by-step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the live site. Say: “This is SatQuery AI, live — no scripted backend, this is the same system running right now.”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Pick a sample AOI and type one of the PS's own reference queries — recommended: “Highlight the water body referred to in this image” (fast, visual, and it's verbatim from the problem statement's own representative query list). Say: “I'll ask it in plain English, exactly the way a field officer would.”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While it loads (≈1.5–4 seconds depending on task): “Notice there's no manual model selection — our router just decided this is a grounding task and dispatched it.”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When the result appears: point at the map. Say: “Here's the bounding box, drawn directly on the map, with a confidence score — not just a text description.”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Toggle the language switch to Hindi for two seconds. Say: “The same interface works in Hindi, including voice input, so this isn't gated on English fluency or GIS training.”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the downloadable report (PDF/JSON). Say: “Every query also generates an auditable report — the exact models used, parameters, and confidence — ready to hand to a decision-maker.”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(If time allows) Open the in-app Guide Bot and ask it one question live, e.g. “What's your VQA accuracy?” Say: “We even built a judge-facing assistant that answers questions about our own architecture, grounded strictly on our own documentation.”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Close: “That's SatQuery, live. Back to the team for your questions.”</w:t>
      </w:r>
    </w:p>
    <w:p>
      <w:pPr>
        <w:spacing w:after="120"/>
      </w:pPr>
      <w:r>
        <w:rPr>
          <w:i/>
          <w:iCs/>
          <w:color w:val="555555"/>
        </w:rPr>
        <w:t xml:space="preserve">If the live site is slow or unreachable on the venue's network, say so plainly and switch straight to the demo video — do not stall in silence. A one-line honest recovery (“Let's switch to our recorded demo to respect your time”) reads far better to judges than a long dead pause.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E7C8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2026-09-09T19:59:15.717Z</dcterms:created>
  <dcterms:modified xsi:type="dcterms:W3CDTF">2026-09-09T19:59:15.730Z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