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7C86"/>
          <w:sz w:val="22"/>
          <w:szCs w:val="22"/>
        </w:rPr>
        <w:t xml:space="preserve">SMART INDIA HACKATHON 2026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1E2761"/>
          <w:sz w:val="56"/>
          <w:szCs w:val="56"/>
        </w:rPr>
        <w:t xml:space="preserve">SatQuery AI</w:t>
      </w:r>
    </w:p>
    <w:p>
      <w:pPr>
        <w:spacing w:after="260"/>
      </w:pPr>
      <w:r>
        <w:rPr>
          <w:color w:val="555555"/>
          <w:sz w:val="26"/>
          <w:szCs w:val="26"/>
        </w:rPr>
        <w:t xml:space="preserve">Technical Document &amp; Complete Project Report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Problem Statement ID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SIH26167</w:t>
            </w:r>
          </w:p>
        </w:tc>
      </w:tr>
      <w:tr>
        <w:tc>
          <w:tcPr>
            <w:tcW w:type="dxa" w:w="32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Problem Statement Title</w:t>
            </w:r>
          </w:p>
        </w:tc>
        <w:tc>
          <w:tcPr>
            <w:tcW w:type="dxa" w:w="61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SatQuery AI — Agentic Remote-Sensing Vision-Language Assistant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Theme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Space Technology</w:t>
            </w:r>
          </w:p>
        </w:tc>
      </w:tr>
      <w:tr>
        <w:tc>
          <w:tcPr>
            <w:tcW w:type="dxa" w:w="32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PS Category</w:t>
            </w:r>
          </w:p>
        </w:tc>
        <w:tc>
          <w:tcPr>
            <w:tcW w:type="dxa" w:w="61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Software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 Name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Unhandled Exceptions</w:t>
            </w:r>
          </w:p>
        </w:tc>
      </w:tr>
      <w:tr>
        <w:tc>
          <w:tcPr>
            <w:tcW w:type="dxa" w:w="32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 ID</w:t>
            </w:r>
          </w:p>
        </w:tc>
        <w:tc>
          <w:tcPr>
            <w:tcW w:type="dxa" w:w="61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[fill in before submission]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 last verified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2026-09-09, against the project's own source code and git history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i/>
          <w:iCs/>
        </w:rPr>
        <w:t xml:space="preserve">This document is the companion technical reference for the team's SIH26167 pitch deck (referenced on the deck's Research &amp; References slide as “more in technical document”). It covers the solution, the full technical architecture, feasibility and measured performance, real-world impact, the project's complete development journey including mistakes found and fixed, disclosed limitations, and all references — written to the same standard the team holds its code to: no fabricated claim, no rounded-up number, and a clear line between what is genuinely verified and what is a fallback or work in progress.</w:t>
      </w:r>
    </w:p>
    <w:p>
      <w:r>
        <w:br w:type="page"/>
      </w:r>
    </w:p>
    <w:p>
      <w:pPr>
        <w:pStyle w:val="Heading1"/>
        <w:pBdr>
          <w:bottom w:val="single" w:color="0E7C86" w:sz="6" w:space="4"/>
        </w:pBdr>
        <w:spacing w:after="140" w:before="320"/>
      </w:pPr>
      <w:r>
        <w:t xml:space="preserve">1. Executive Summary</w:t>
      </w:r>
    </w:p>
    <w:p>
      <w:pPr>
        <w:spacing w:after="140"/>
      </w:pPr>
      <w:r>
        <w:t xml:space="preserve">SatQuery AI lets an analyst ask a natural-language question over satellite imagery — in English or Hindi — and get back a real, auditable answer: grounded text, bounding boxes, a pixel-level change mask, or a fused optical+SAR read, automatically routed to the right specialist model, with a confidence score and a downloadable evidence report. It turns satellite imagery from a specialist-only data source into conversational, evidence-backed intelligence.</w:t>
      </w:r>
    </w:p>
    <w:p>
      <w:pPr>
        <w:spacing w:after="140"/>
      </w:pPr>
      <w:r>
        <w:t xml:space="preserve">The system is built around one core, genuinely fine-tuned vision-language model that satisfies SIH26167's mandatory remote-sensing-adaptation requirement (Section 3.1), four supporting specialist models for grounding, change detection, zero-shot classification and SAR fusion (Sections 3.2–3.5), an agentic router and validation layer (Section 3.6), and a five-tier fallback chain so the system degrades honestly instead of failing outright when GPU compute isn't available (Section 4).</w:t>
      </w:r>
    </w:p>
    <w:p>
      <w:pPr>
        <w:spacing w:after="140"/>
      </w:pPr>
      <w:r>
        <w:t xml:space="preserve">A defining part of this team's process — and a real share of the total effort — has been repeated internal honesty audits: finding and removing fabricated numbers, hardcoded “demo” answers, and overclaimed model attributions wherever they crept in, and replacing them with either a genuine computation or an honest “not available” state. Section 6 documents this history plainly, including this document's own correction of a stale accuracy figure. This is deliberate: a system built for a government evaluation on undisclosed real data has to be honest about its own limits, not just accurate on its own demo.</w:t>
      </w:r>
    </w:p>
    <w:p>
      <w:pPr>
        <w:pStyle w:val="Heading1"/>
        <w:pBdr>
          <w:bottom w:val="single" w:color="0E7C86" w:sz="6" w:space="4"/>
        </w:pBdr>
        <w:spacing w:after="140" w:before="320"/>
      </w:pPr>
      <w:r>
        <w:t xml:space="preserve">2. Our Solution</w:t>
      </w:r>
    </w:p>
    <w:p>
      <w:pPr>
        <w:spacing w:after="140"/>
      </w:pPr>
      <w:r>
        <w:t xml:space="preserve">SatQuery AI follows a See → Understand → Act model: it looks at what is visible, reasons about what it means, and turns that into an actionable, exportable result. Six capabilities implement this: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1. Visual Question Answering (VQA) — </w:t>
      </w:r>
      <w:r>
        <w:t xml:space="preserve">understand what is visible in a single image (“What is visible in this image?” → land cover, structures, water bodies described in natural language).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2. Text-Guided Grounding — </w:t>
      </w:r>
      <w:r>
        <w:t xml:space="preserve">find and localize exactly what is asked for, both a single referring expression (“the water body in this image”) and a category-wide, multi-instance query (“locate all water bodies”).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3. Change Detection + CDVQA — </w:t>
      </w:r>
      <w:r>
        <w:t xml:space="preserve">detect and explain what changed between two dates, with both a natural-language answer and a real pixel-level change mask.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4. Optical + SAR Fusion — </w:t>
      </w:r>
      <w:r>
        <w:t xml:space="preserve">combine complementary information from optical and radar (SAR) imagery — optical shows surface features, SAR reveals structural change and flooding through cloud cover, day or night.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5. Zero-Shot Land-Cover Classification — </w:t>
      </w:r>
      <w:r>
        <w:t xml:space="preserve">recognise categories the classifier was never explicitly trained on, via open-vocabulary embedding rather than a fixed label set.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6. Agentic Orchestration — </w:t>
      </w:r>
      <w:r>
        <w:t xml:space="preserve">no manual model selection needed — the system validates the input, selects the right specialist(s), executes and combines their output, and generates one grounded answer.</w:t>
      </w:r>
    </w:p>
    <w:p>
      <w:pPr>
        <w:pStyle w:val="Heading2"/>
        <w:spacing w:after="100" w:before="220"/>
      </w:pPr>
      <w:r>
        <w:t xml:space="preserve">What makes SatQuery AI different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One query → multiple specialists: agentic routing automatically selects and combines the right models rather than relying on one generalist model for everything.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Built for remote sensing: domain-adapted vision-language modelling with optical, SAR and multi-temporal understanding — not a generic photo-captioning model repurposed for satellite imagery.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Grounded, not generic: every answer returns visual grounding, GIS-ready outputs and evidence — not just prose.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Open-vocabulary intelligence: recognises unseen land-cover categories without retraining.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underlying shift: from “what's in this image?” to “where is it, what changed, and what does it mean?”</w:t>
      </w:r>
    </w:p>
    <w:p>
      <w:r>
        <w:br w:type="page"/>
      </w:r>
    </w:p>
    <w:p>
      <w:pPr>
        <w:pStyle w:val="Heading1"/>
        <w:pBdr>
          <w:bottom w:val="single" w:color="0E7C86" w:sz="6" w:space="4"/>
        </w:pBdr>
        <w:spacing w:after="140" w:before="320"/>
      </w:pPr>
      <w:r>
        <w:t xml:space="preserve">3. Technical Approach</w:t>
      </w:r>
    </w:p>
    <w:p>
      <w:pPr>
        <w:spacing w:after="140"/>
      </w:pPr>
      <w:r>
        <w:t xml:space="preserve">Pipeline: a satellite image (or bi-temporal pair) plus a natural-language query first passes Input Validation (image count, modality tag, format, CRS — reprojected to WGS84, EPSG:4326), then the Agentic Router (Llama-3-8B via Groq, with a deterministic rule-based fallback) classifies task intent and dispatches to one or more specialist models in the Specialist AI Layer. Outputs are grounded against a RAG layer (Bhuvan LULC legend and an Indian district gazetteer) before Response Synthesis returns a natural-language answer, annotated visual evidence, GIS/GeoJSON layers, a confidence basis, and a downloadable report (PDF/JSON).</w:t>
      </w:r>
    </w:p>
    <w:p>
      <w:pPr>
        <w:pStyle w:val="Heading2"/>
        <w:spacing w:after="100" w:before="220"/>
      </w:pPr>
      <w:r>
        <w:t xml:space="preserve">3.1 Model 1 — Qwen2.5-VL-3B + LoRA (the model that satisfies the mandatory adaptation requirement)</w:t>
      </w:r>
    </w:p>
    <w:p>
      <w:pPr>
        <w:spacing w:after="140"/>
      </w:pPr>
      <w:r>
        <w:t xml:space="preserve">Base model: Qwen/Qwen2.5-VL-3B-Instruct, 4-bit NF4-quantized, with a custom LoRA adapter (r = 16, α = 32) this team trained itself on VRSBench remote-sensing image/question/answer data. This is the component that satisfies SIH26167's mandate that at least one vision-language component be genuinely fine-tuned or adapted on open remote-sensing data — a generic, non-adapted LLM/VLM does not satisfy that requirement on its own.</w:t>
      </w:r>
    </w:p>
    <w:p>
      <w:pPr>
        <w:spacing w:after="140"/>
      </w:pPr>
      <w:r>
        <w:t xml:space="preserve">Verified accuracy: 77.0% LLM-judged accuracy on a 200-question held-out VRSBench set (Groq-judged, as a real stand-in for VRSBench's own evaluation protocol). Grounding via the same fine-tuned coordinate head: Acc@0.5 44.0%, Acc@0.7 16.0%, mean IoU 0.3671 — disclosed as still being actively hardened, not rounded up.</w:t>
      </w:r>
    </w:p>
    <w:p>
      <w:pPr>
        <w:spacing w:after="140"/>
      </w:pPr>
      <w:r>
        <w:t xml:space="preserve">This number is used consistently throughout the codebase and this document. An earlier internal draft of the pitch deck's benchmark slide carried a different, stale figure (84.0% on 50 questions) from before this evaluation was finalised on the full 200-question set — corrected here, and the team should update that one slide to 77.0% / 200 questions before presenting, so the deck matches the live system and this document exactly (see the callout in Section 6).</w:t>
      </w:r>
    </w:p>
    <w:p>
      <w:pPr>
        <w:spacing w:after="140"/>
      </w:pPr>
      <w:r>
        <w:t xml:space="preserve">Real mistakes made along the way, in order, because a judge may reasonably ask “what went wrong”: the base model was changed twice (MBZUAI/geochat-7B → an intermediate Qwen2.5-VL-2B pass → Qwen2.5-VL-3B, for a properly documented multimodal API); training data was discovered to be in ShareGPT chat format, not simple question/answer fields; a pillow/torchvision version conflict broke Kaggle training; a trl SFTTrainer bug required a loss_type fix; a genuinely serious loss-masking bug meant prompt and image tokens were briefly not excluded from the training loss; the adapter was only pushed to Hugging Face after training finished (a crash-risk, fixed by pushing during training); the model was undertrained (fixed by expanding LoRA to MLP layers and going from 2 to 4 epochs, verified against a held-out eval harness built specifically to catch overfitting); a vision-tower/LoRA name collision was found on a second review pass; and a coordinate-order bug shipped in the team's own box-parser was caught one commit later. None of these were caught by writing the code right the first time — they were caught by real evaluation, second-pass review, and dedicated audits.</w:t>
      </w:r>
    </w:p>
    <w:p>
      <w:pPr>
        <w:pStyle w:val="Heading2"/>
        <w:spacing w:after="100" w:before="220"/>
      </w:pPr>
      <w:r>
        <w:t xml:space="preserve">3.2 Model 2 — Grounding-DINO + SAHI (the team's own addition, beyond the PS)</w:t>
      </w:r>
    </w:p>
    <w:p>
      <w:pPr>
        <w:spacing w:after="140"/>
      </w:pPr>
      <w:r>
        <w:t xml:space="preserve">VRSBench's own published grounding task is architecturally a referring-expression task — it is defined to return exactly one box per query. That is correct for “the building next to the lake” and wrong for “locate all buildings.” Model 2 (IDEA-Research/grounding-dino-tiny, with SAHI tiling for dense/small objects) is the real, purpose-built fix: a genuine open-vocabulary detector returning every instance it finds, each with its own detection-derived confidence.</w:t>
      </w:r>
    </w:p>
    <w:p>
      <w:pPr>
        <w:spacing w:after="140"/>
      </w:pPr>
      <w:r>
        <w:t xml:space="preserve">Model choice was a disclosed tradeoff: the team's first choice was LAE-DINO, a remote-sensing-specialised Grounding DINO variant, but its pinned dependencies (torch 1.10, MMDetection, mmcv) directly conflicted with the modern stack the Qwen2.5-VL pipeline already needed, so grounding-dino-tiny (the base architecture LAE-DINO itself was built on) was used instead — not remote-sensing-specialised, a real accuracy tradeoff, disclosed rather than hidden.</w:t>
      </w:r>
    </w:p>
    <w:p>
      <w:pPr>
        <w:spacing w:after="140"/>
      </w:pPr>
      <w:r>
        <w:t xml:space="preserve">A real model failure was found via live testing: “locate buildings” on a dense urban AOI returned one box covering the entire frame at 78% confidence — the model reading the whole city texture as one giant building. Fixed with a deliberately conservative sanity filter that rejects any single detection covering more than 85% of the frame as degenerate, rather than showing it as real localization. SAHI tiling was then added for exactly this failure mode; the first version hand-rolled its own tiling and used a separate Weighted-Box-Fusion library on the mistaken assumption that the official sahi package did not support a text-prompted zero-shot detector — checked and found false the same day, and corrected to the official sahi.AutoDetectionModel path.</w:t>
      </w:r>
    </w:p>
    <w:p>
      <w:pPr>
        <w:pStyle w:val="Heading2"/>
        <w:spacing w:after="100" w:before="220"/>
      </w:pPr>
      <w:r>
        <w:t xml:space="preserve">3.3 Model 3 — AdaptFormer-CD / ChangeFormer (bi-temporal change detection)</w:t>
      </w:r>
    </w:p>
    <w:p>
      <w:pPr>
        <w:spacing w:after="140"/>
      </w:pPr>
      <w:r>
        <w:t xml:space="preserve">A Siamese ViT with a lightweight adapter, evaluated against the published LEVIR-CD/WHU-CD benchmarks (external baseline F1 91.4% — the original authors' own published number, never claimed as a SatQuery-internal result). Produces a genuine per-pixel change-probability mask, polygonized via rasterio into vector GeoJSON rendered live on the map, with real WGS84 polygon-area math converting the result into hectares/acres (verified example: 852.155 ha on a Brahmaputra flood AOI, cross-checked against an independently computed 13.68% change rate).</w:t>
      </w:r>
    </w:p>
    <w:p>
      <w:pPr>
        <w:pStyle w:val="Heading2"/>
        <w:spacing w:after="100" w:before="220"/>
      </w:pPr>
      <w:r>
        <w:t xml:space="preserve">3.4 Model 4 — RemoteCLIP (zero-shot classification &amp; retrieval)</w:t>
      </w:r>
    </w:p>
    <w:p>
      <w:pPr>
        <w:spacing w:after="140"/>
      </w:pPr>
      <w:r>
        <w:t xml:space="preserve">Real zero-shot image/text embedding and tagging against a curated remote-sensing label taxonomy — the engine behind zero-shot land-cover classification, catalog search, and the confidence stress-test (which perturbs a real image and re-tags each variant to measure label stability).</w:t>
      </w:r>
    </w:p>
    <w:p>
      <w:pPr>
        <w:pStyle w:val="Heading2"/>
        <w:spacing w:after="100" w:before="220"/>
      </w:pPr>
      <w:r>
        <w:t xml:space="preserve">3.5 Model 5 — SAR Fusion Module (optical + SAR cross-modal analysis)</w:t>
      </w:r>
    </w:p>
    <w:p>
      <w:pPr>
        <w:spacing w:after="140"/>
      </w:pPr>
      <w:r>
        <w:t xml:space="preserve">A genuine NumPy-derived backscatter feature extractor (not a trained network) computing mean backscatter, standard deviation, water-likelihood ratio, urban double-bounce ratio and volume scattering ratio directly from Sentinel-1 VV/VH pixel data, fused with the vision-language model's reasoning across both images to satisfy the PS's mandatory cross-modal pair-analysis requirement. Trained and demoed on Sentinel-1; final ISRO evaluation uses RISAT SAR + Cartosat-2S, per the PS — a risk addressed directly in Section 4.</w:t>
      </w:r>
    </w:p>
    <w:p>
      <w:pPr>
        <w:pStyle w:val="Heading2"/>
        <w:spacing w:after="100" w:before="220"/>
      </w:pPr>
      <w:r>
        <w:t xml:space="preserve">3.6 Agentic router, validation and RAG grounding</w:t>
      </w:r>
    </w:p>
    <w:p>
      <w:pPr>
        <w:spacing w:after="140"/>
      </w:pPr>
      <w:r>
        <w:t xml:space="preserve">router.py classifies query intent (Llama-3-8B via Groq, with a deterministic rule-based fallback if the API is unavailable) and dispatches to the right specialist(s) with no manual model selection required. validation.py rejects incompatible inputs before inference — image count, modality tag, format, CRS. A RAG grounding layer retrieves curated Bhuvan LULC (ISRO) legend facts and an Indian district gazetteer via cosine-similarity search over an in-house, in-memory NumPy store, to ground answers in domain-specific geographic knowledge rather than the model's unconstrained priors.</w:t>
      </w:r>
    </w:p>
    <w:p>
      <w:pPr>
        <w:pStyle w:val="Heading2"/>
        <w:spacing w:after="100" w:before="220"/>
      </w:pPr>
      <w:r>
        <w:t xml:space="preserve">3.7 Tech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rPr>
          <w:tblHeader/>
        </w:trPr>
        <w:tc>
          <w:tcPr>
            <w:tcW w:type="dxa" w:w="23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/ VLM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Qwen2.5-VL-3B + LoRA, Llama-3-8B (via Groq), RemoteCLIP, Gemini (honest cloud fallback — see Section 4)</w:t>
            </w:r>
          </w:p>
        </w:tc>
      </w:tr>
      <w:tr>
        <w:tc>
          <w:tcPr>
            <w:tcW w:type="dxa" w:w="23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Remote sensing</w:t>
            </w:r>
          </w:p>
        </w:tc>
        <w:tc>
          <w:tcPr>
            <w:tcW w:type="dxa" w:w="69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AdaptFormer-CD / ChangeFormer, Grounding DINO, SAHI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 &amp; GIS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rasterio, GeoJSON, Leaflet (React-Leaflet, 2D only by design for low-bandwidth use)</w:t>
            </w:r>
          </w:p>
        </w:tc>
      </w:tr>
      <w:tr>
        <w:tc>
          <w:tcPr>
            <w:tcW w:type="dxa" w:w="23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sources</w:t>
            </w:r>
          </w:p>
        </w:tc>
        <w:tc>
          <w:tcPr>
            <w:tcW w:type="dxa" w:w="69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VRSBench, BigEarthNet, RSVQA, CDVQA — Sentinel-1/2 (train), RISAT + Cartosat-2S (final eval, per PS), ISRO Bhuvan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PyTorch, Hugging Face (transformers, peft, huggingface_hub), Kaggle (T4 × 2, free tier)</w:t>
            </w:r>
          </w:p>
        </w:tc>
      </w:tr>
      <w:tr>
        <w:tc>
          <w:tcPr>
            <w:tcW w:type="dxa" w:w="23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69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React + Vite, Tailwind CSS, Web Speech API (Hindi/English voice I/O)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Python, FastAPI, Uvicorn, bitsandbytes (NF4 quantization)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86" w:sz="6" w:space="4"/>
        </w:pBdr>
        <w:spacing w:after="140" w:before="320"/>
      </w:pPr>
      <w:r>
        <w:t xml:space="preserve">4. Feasibility and Viability</w:t>
      </w:r>
    </w:p>
    <w:p>
      <w:pPr>
        <w:pStyle w:val="Heading2"/>
        <w:spacing w:after="100" w:before="220"/>
      </w:pPr>
      <w:r>
        <w:t xml:space="preserve">Why it is feasible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Low-compute deployment — </w:t>
      </w:r>
      <w:r>
        <w:t xml:space="preserve">4-bit NF4 + bf16, Qwen2.5-VL-3B + LoRA, runs on a single 8GB consumer GPU; efficient fine-tuning at r=16, α=32.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Validated before inference — </w:t>
      </w:r>
      <w:r>
        <w:t xml:space="preserve">image count, modality, format and CRS are checked and incompatible inputs rejected before any model runs.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Interruption-resilient training — </w:t>
      </w:r>
      <w:r>
        <w:t xml:space="preserve">trained on free-tier Kaggle T4 × 2 with checkpoint resume (model, optimizer, scheduler), so a session limit doesn't lose a training run.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Honest cloud resilience — </w:t>
      </w:r>
      <w:r>
        <w:t xml:space="preserve">a cloud VLM is used only as a fallback tier, is never presented as satisfying the remote-sensing-adaptation requirement, and the system always returns an answer rather than failing outright.</w:t>
      </w:r>
    </w:p>
    <w:p>
      <w:pPr>
        <w:pStyle w:val="Heading2"/>
        <w:spacing w:after="100" w:before="220"/>
      </w:pPr>
      <w:r>
        <w:t xml:space="preserve">The five-tier fallback chain — failure ≠ system failure</w:t>
      </w:r>
    </w:p>
    <w:p>
      <w:pPr>
        <w:spacing w:after="140"/>
      </w:pPr>
      <w:r>
        <w:t xml:space="preserve">Each task degrades honestly instead of silently failing: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Local RS VLM (primary) — Qwen2.5-VL-3B + LoRA, 4-bit, single GPU. Highest accuracy.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Local specialist models — change detection / SAR / zero-shot / grounding. Task-optimised.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Cloud vision fallback — a generic vision-language model via API (Gemini), honestly labelled as general-purpose, not remote-sensing fine-tuned, and never allowed to claim the adaptation requirement is met.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Text-only fallback — Llama-3-8B via Groq. Language reasoning without pixel access.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Deterministic template — rule-based response. Guaranteed output, always an answer.</w:t>
      </w:r>
    </w:p>
    <w:p>
      <w:pPr>
        <w:pStyle w:val="Heading2"/>
        <w:spacing w:after="100" w:before="220"/>
      </w:pPr>
      <w:r>
        <w:t xml:space="preserve">Measured performance (mean latency, end-to-end)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000"/>
        <w:gridCol w:w="2000"/>
      </w:tblGrid>
      <w:tr>
        <w:trPr>
          <w:tblHeader/>
        </w:trPr>
        <w:tc>
          <w:tcPr>
            <w:tcW w:type="dxa" w:w="2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Latency</w:t>
            </w:r>
          </w:p>
        </w:tc>
        <w:tc>
          <w:tcPr>
            <w:tcW w:type="dxa" w:w="2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Latency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VQA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4.2 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Optical + SAR fusion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10.3 s</w:t>
            </w:r>
          </w:p>
        </w:tc>
      </w:tr>
      <w:tr>
        <w:tc>
          <w:tcPr>
            <w:tcW w:type="dxa" w:w="29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Grounding</w:t>
            </w:r>
          </w:p>
        </w:tc>
        <w:tc>
          <w:tcPr>
            <w:tcW w:type="dxa" w:w="20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1.5 s</w:t>
            </w:r>
          </w:p>
        </w:tc>
        <w:tc>
          <w:tcPr>
            <w:tcW w:type="dxa" w:w="20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Zero-shot land cover</w:t>
            </w:r>
          </w:p>
        </w:tc>
        <w:tc>
          <w:tcPr>
            <w:tcW w:type="dxa" w:w="20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0.45 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 detection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11.9 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End-to-end task-routing correctness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/ 12 on the team's own benchmark suite</w:t>
            </w:r>
          </w:p>
        </w:tc>
      </w:tr>
    </w:tbl>
    <w:p>
      <w:pPr>
        <w:spacing w:after="140"/>
      </w:pPr>
      <w:r>
        <w:t xml:space="preserve">VQA accuracy (headline figure, used consistently in this document and the live system): 77.0% LLM-judged on a 200-question held-out VRSBench set (see Section 3.1's note on correcting the pitch deck's older 84.0%/50-question figure).</w:t>
      </w:r>
    </w:p>
    <w:p>
      <w:pPr>
        <w:pStyle w:val="Heading2"/>
        <w:spacing w:after="100" w:before="220"/>
      </w:pPr>
      <w:r>
        <w:t xml:space="preserve">Risk &amp; mitigation</w:t>
      </w:r>
    </w:p>
    <w:p>
      <w:pPr>
        <w:spacing w:after="140"/>
      </w:pPr>
      <w:r>
        <w:t xml:space="preserve">Risk: the final ISRO evaluation uses unseen Cartosat-2S optical + RISAT SAR data, which the team has confirmed no access to during development — a structural constraint that applies equally to every competing team, not a gap specific to this solution.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Mitigation — modality validation before inference catches format/sensor mismatches early.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Mitigation — the five-tier fallback chain means an unfamiliar sensor format degrades to an honest fallback rather than crashing.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Mitigation — the retraining pipeline (human-in-the-loop feedback queue) is already wired end-to-end, ready to incorporate corrections once real Cartosat-2S/RISAT data is available.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Mitigation — explicit evaluation integrity: every response carries a confidence basis (genuine model output vs. a labelled fallback), so a degraded answer on unfamiliar data is never presented as equivalent to a fully verified one.</w:t>
      </w:r>
    </w:p>
    <w:p>
      <w:pPr>
        <w:pStyle w:val="Heading2"/>
        <w:spacing w:after="100" w:before="220"/>
      </w:pPr>
      <w:r>
        <w:t xml:space="preserve">Scalability &amp; real-world viability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3700"/>
      </w:tblGrid>
      <w:tr>
        <w:trPr>
          <w:tblHeader/>
        </w:trPr>
        <w:tc>
          <w:tcPr>
            <w:tcW w:type="dxa" w:w="1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Horizon</w:t>
            </w:r>
          </w:p>
        </w:tc>
        <w:tc>
          <w:tcPr>
            <w:tcW w:type="dxa" w:w="37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7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Today (proof of concept)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Working prototype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Trained/tested on Sentinel-1/2 + public benchmarks; 12-query end-to-end benchmark; runs on a single GPU with cloud fallback</w:t>
            </w:r>
          </w:p>
        </w:tc>
      </w:tr>
      <w:tr>
        <w:tc>
          <w:tcPr>
            <w:tcW w:type="dxa" w:w="15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 (6–12 months)</w:t>
            </w:r>
          </w:p>
        </w:tc>
        <w:tc>
          <w:tcPr>
            <w:tcW w:type="dxa" w:w="37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Scale &amp; validate</w:t>
            </w:r>
          </w:p>
        </w:tc>
        <w:tc>
          <w:tcPr>
            <w:tcW w:type="dxa" w:w="37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Scale adaptation with BigEarthNet; 500+ query evaluation (VRSBench + CDVQA + RSVQA); broader region/scenario coverage; improved robustness and efficiency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Future (1–3 years)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National deployment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Support for Cartosat-2S + RISAT (ISRO data); multi-source satellite intelligence; ministry workflow integration; scalable, extensible platform; real-world decision support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86" w:sz="6" w:space="4"/>
        </w:pBdr>
        <w:spacing w:after="140" w:before="320"/>
      </w:pPr>
      <w:r>
        <w:t xml:space="preserve">5. Impact and Benefits</w:t>
      </w:r>
    </w:p>
    <w:p>
      <w:pPr>
        <w:spacing w:after="140"/>
      </w:pPr>
      <w:r>
        <w:t xml:space="preserve">“Turning satellite imagery from specialist-only data into conversational, evidence-backed intelligence for a safer, smarter India.”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4900"/>
      </w:tblGrid>
      <w:tr>
        <w:trPr>
          <w:tblHeader/>
        </w:trPr>
        <w:tc>
          <w:tcPr>
            <w:tcW w:type="dxa" w:w="17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2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4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query → use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NDMA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Disaster management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“What changed in flood extent between two dates?” → flood mapping &amp; extent analysis, damage assessment, rapid situation awareness</w:t>
            </w:r>
          </w:p>
        </w:tc>
      </w:tr>
      <w:tr>
        <w:tc>
          <w:tcPr>
            <w:tcW w:type="dxa" w:w="17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MoHUA</w:t>
            </w:r>
          </w:p>
        </w:tc>
        <w:tc>
          <w:tcPr>
            <w:tcW w:type="dxa" w:w="26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Urban planning</w:t>
            </w:r>
          </w:p>
        </w:tc>
        <w:tc>
          <w:tcPr>
            <w:tcW w:type="dxa" w:w="49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“Has the built-up area increased in this region?” → built-up change analysis, urban growth monitoring, infrastructure observation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MNCFC (Agriculture)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Agriculture &amp; land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“Identify crop/land-cover regions in this area.” → crop classification, land-cover mapping, regional agricultural assessment</w:t>
            </w:r>
          </w:p>
        </w:tc>
      </w:tr>
      <w:tr>
        <w:tc>
          <w:tcPr>
            <w:tcW w:type="dxa" w:w="17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INCOIS</w:t>
            </w:r>
          </w:p>
        </w:tc>
        <w:tc>
          <w:tcPr>
            <w:tcW w:type="dxa" w:w="26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Maritime &amp; coastal</w:t>
            </w:r>
          </w:p>
        </w:tc>
        <w:tc>
          <w:tcPr>
            <w:tcW w:type="dxa" w:w="49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“Identify water/coastal changes from optical + SAR data.” → coastal/shoreline monitoring, marine analysis, all-weather insights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ISRO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Space &amp; Earth observation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“Describe the land-cover and major objects visible.” → conversational access to satellite data, geospatial grounding, mission intelligence</w:t>
            </w:r>
          </w:p>
        </w:tc>
      </w:tr>
    </w:tbl>
    <w:p>
      <w:pPr>
        <w:pStyle w:val="Heading2"/>
        <w:spacing w:after="100" w:before="220"/>
      </w:pPr>
      <w:r>
        <w:t xml:space="preserve">From complex workflow to one conversation</w:t>
      </w:r>
    </w:p>
    <w:p>
      <w:pPr>
        <w:spacing w:after="140"/>
      </w:pPr>
      <w:r>
        <w:t xml:space="preserve">Existing workflow: raw satellite data → specialist tools → manual interpretation → a separate GIS workflow → report &amp; decision — slow, and gated on specialist availability.</w:t>
      </w:r>
    </w:p>
    <w:p>
      <w:pPr>
        <w:spacing w:after="140"/>
      </w:pPr>
      <w:r>
        <w:t xml:space="preserve">SatQuery AI: ask (natural language) → analyse (multi-modal AI) → evidence (annotated imagery) → map (GIS-ready output) → decision (downloadable report) — for government (faster, informed decisions), for citizens (safer, more resilient communities), and for a sustainable India (data-driven national development).</w:t>
      </w:r>
    </w:p>
    <w:p>
      <w:r>
        <w:br w:type="page"/>
      </w:r>
    </w:p>
    <w:p>
      <w:pPr>
        <w:pStyle w:val="Heading1"/>
        <w:pBdr>
          <w:bottom w:val="single" w:color="0E7C86" w:sz="6" w:space="4"/>
        </w:pBdr>
        <w:spacing w:after="140" w:before="320"/>
      </w:pPr>
      <w:r>
        <w:t xml:space="preserve">6. Development Journey — What We Did</w:t>
      </w:r>
    </w:p>
    <w:p>
      <w:pPr>
        <w:spacing w:after="140"/>
      </w:pPr>
      <w:r>
        <w:t xml:space="preserve">The project's git history runs 2026-08-24 to 2026-09-09 (125 commits as of this document's last verification). The honest, non-linear version of the story: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00"/>
      </w:tblGrid>
      <w:tr>
        <w:trPr>
          <w:tblHeader/>
        </w:trPr>
        <w:tc>
          <w:tcPr>
            <w:tcW w:type="dxa" w:w="1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7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 24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Foundational build (UI, real Sentinel-2/NASA GIBS imagery, &lt;50KB tile delivery) and the team's first internal honesty audit the same day — found and fixed a fabricated pre-seeded response cache bypassing the real pipeline entirely (the true root cause of an early inaccurate demo answer), a router bug always reporting the wrong modality, and frontend badges hiding these fixes.</w:t>
            </w:r>
          </w:p>
        </w:tc>
      </w:tr>
      <w:tr>
        <w:tc>
          <w:tcPr>
            <w:tcW w:type="dxa" w:w="16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 25–26</w:t>
            </w:r>
          </w:p>
        </w:tc>
        <w:tc>
          <w:tcPr>
            <w:tcW w:type="dxa" w:w="77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real model-training grind (Section 3.1): base-model churn, a loss-masking bug, undertraining, a vision-tower/LoRA name collision, a shipped coordinate-order bug — each found and fixed in turn. Grounding-DINO + SAHI (Model 2) added and debugged the same window (Section 3.2).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 26–29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fabricated eval/benchmark generator scripts; fixed a CDVQA/fusion compliance gap; added real SAHI + tiled grounding; fixed CRS/co-registration and cache-key correctness bugs; replaced a fixed 8×8 grid change-mask approximation with real per-pixel polygonization.</w:t>
            </w:r>
          </w:p>
        </w:tc>
      </w:tr>
      <w:tr>
        <w:tc>
          <w:tcPr>
            <w:tcW w:type="dxa" w:w="16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3–4</w:t>
            </w:r>
          </w:p>
        </w:tc>
        <w:tc>
          <w:tcPr>
            <w:tcW w:type="dxa" w:w="77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fabricated benchmark claims scattered across the UI; corrected a stale 84.0% VQA-accuracy figure that contradicted the verified 77.0% number used everywhere else; corrected an architecture claim naming a vector database (“Qdrant”) the code doesn't actually use.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 9 (deepest audit)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Independently verified a claim of “7 successfully implemented and live-tested features” and found 4 of 7 were fully fabricated, including fake legal-violation citations naming real government agencies — rewrote all 4 to call the real models genuinely, with honest “insufficient evidence” states. Added multi-turn conversational memory and a real bi-temporal hectare/acreage quantifier with a SHA-256-verified audit report.</w:t>
            </w:r>
          </w:p>
        </w:tc>
      </w:tr>
    </w:tbl>
    <w:p>
      <w:pPr>
        <w:spacing w:after="140"/>
      </w:pPr>
      <w:r>
        <w:t xml:space="preserve">The throughline: essentially none of the mistakes above were caught by writing the code correctly the first time. They were caught by real held-out evaluation, second-pass code review, and dedicated internal honesty audits — a process, not a claim of a clean build.</w:t>
      </w:r>
    </w:p>
    <w:p>
      <w:pPr>
        <w:pStyle w:val="Heading2"/>
        <w:spacing w:after="100" w:before="220"/>
      </w:pPr>
      <w:r>
        <w:t xml:space="preserve">A correction made while preparing this document</w:t>
      </w:r>
    </w:p>
    <w:p>
      <w:pPr>
        <w:spacing w:after="140"/>
      </w:pPr>
      <w:r>
        <w:t xml:space="preserve">Cross-checking the pitch deck against the verified codebase for this document surfaced one live inconsistency: the deck's feasibility slide currently states “84.0% semantic accuracy (50 held-out VRSBench VQA questions).” That is an older, superseded figure — the actual, currently-verified result used throughout the codebase, the research paper, and this document is 77.0% LLM-judged accuracy on 200 held-out questions. Recommendation: update that one slide to 77.0% / 200 questions before presenting, so the deck, this document, and the live system (including the in-app Guide Bot, which will state 77.0% if asked) are all consistent — exactly the kind of small drift this team's own audit process exists to catch.</w:t>
      </w:r>
    </w:p>
    <w:p>
      <w:pPr>
        <w:pStyle w:val="Heading2"/>
        <w:spacing w:after="100" w:before="220"/>
      </w:pPr>
      <w:r>
        <w:t xml:space="preserve">Known limitations (disclosed, not hidden)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The public Vercel demo's serverless Gemini gateway is only partially fixed on bounding-box accuracy — real boxes come through when Gemini returns a parseable result, but the model-attribution and metrics fields shown are currently fixed regardless of what actually ran. State this plainly if asked which model answered a specific query on the public link.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Grounding accuracy (Acc@0.7 16.0%) is real but still being actively hardened.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Two frontend pages (an attention-heatmap visualisation and a ministry alert-dashboard mockup) are UI concepts, not yet wired to a live backend.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NDVI/NDWI spectral-index toggling is blocked on sourcing real multi-band imagery — the demo AOIs are RGB-only, and approximating NDVI from RGB would itself be a fabricated-capability claim, so it hasn't been built.</w:t>
      </w:r>
    </w:p>
    <w:p>
      <w:r>
        <w:br w:type="page"/>
      </w:r>
    </w:p>
    <w:p>
      <w:pPr>
        <w:pStyle w:val="Heading1"/>
        <w:pBdr>
          <w:bottom w:val="single" w:color="0E7C86" w:sz="6" w:space="4"/>
        </w:pBdr>
        <w:spacing w:after="140" w:before="320"/>
      </w:pPr>
      <w:r>
        <w:t xml:space="preserve">7. Research and References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  <w:tc>
          <w:tcPr>
            <w:tcW w:type="dxa" w:w="2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Venue / Year</w:t>
            </w:r>
          </w:p>
        </w:tc>
        <w:tc>
          <w:tcPr>
            <w:tcW w:type="dxa" w:w="4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SatQuery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VRSBench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NeurIPS 2024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VQA/grounding fine-tuning + accuracy-evaluation dataset for Model 1</w:t>
            </w:r>
          </w:p>
        </w:tc>
      </w:tr>
      <w:tr>
        <w:tc>
          <w:tcPr>
            <w:tcW w:type="dxa" w:w="26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Qwen2.5-VL</w:t>
            </w:r>
          </w:p>
        </w:tc>
        <w:tc>
          <w:tcPr>
            <w:tcW w:type="dxa" w:w="22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2025</w:t>
            </w:r>
          </w:p>
        </w:tc>
        <w:tc>
          <w:tcPr>
            <w:tcW w:type="dxa" w:w="42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vision-language model for Model 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LoRA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ICLR 2022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Efficient fine-tuning method used for Model 1's adapter (r=16, α=32)</w:t>
            </w:r>
          </w:p>
        </w:tc>
      </w:tr>
      <w:tr>
        <w:tc>
          <w:tcPr>
            <w:tcW w:type="dxa" w:w="26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QLoRA</w:t>
            </w:r>
          </w:p>
        </w:tc>
        <w:tc>
          <w:tcPr>
            <w:tcW w:type="dxa" w:w="22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NeurIPS 2023</w:t>
            </w:r>
          </w:p>
        </w:tc>
        <w:tc>
          <w:tcPr>
            <w:tcW w:type="dxa" w:w="42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4-bit NF4 quantization approach underlying the low-compute deployment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GeoChat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CVPR 2024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Early base-model reference point in Model 1's development history</w:t>
            </w:r>
          </w:p>
        </w:tc>
      </w:tr>
      <w:tr>
        <w:tc>
          <w:tcPr>
            <w:tcW w:type="dxa" w:w="26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Grounding DINO</w:t>
            </w:r>
          </w:p>
        </w:tc>
        <w:tc>
          <w:tcPr>
            <w:tcW w:type="dxa" w:w="22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ECCV 2024</w:t>
            </w:r>
          </w:p>
        </w:tc>
        <w:tc>
          <w:tcPr>
            <w:tcW w:type="dxa" w:w="42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Open-vocabulary detector underlying Model 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RemoteCLIP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TGRS 2024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Zero-shot embedding/tagging model (Model 4)</w:t>
            </w:r>
          </w:p>
        </w:tc>
      </w:tr>
      <w:tr>
        <w:tc>
          <w:tcPr>
            <w:tcW w:type="dxa" w:w="26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ChangeFormer</w:t>
            </w:r>
          </w:p>
        </w:tc>
        <w:tc>
          <w:tcPr>
            <w:tcW w:type="dxa" w:w="22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IGARSS 2022</w:t>
            </w:r>
          </w:p>
        </w:tc>
        <w:tc>
          <w:tcPr>
            <w:tcW w:type="dxa" w:w="42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Change-detection architecture referenced by Model 3 (AdaptFormer-CD)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BigEarthNet.txt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arXiv:2603.29630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PS-referenced dataset; documented next step for scaling Model 1's training</w:t>
            </w:r>
          </w:p>
        </w:tc>
      </w:tr>
      <w:tr>
        <w:tc>
          <w:tcPr>
            <w:tcW w:type="dxa" w:w="26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LEVIR-CD / WHU-CD</w:t>
            </w:r>
          </w:p>
        </w:tc>
        <w:tc>
          <w:tcPr>
            <w:tcW w:type="dxa" w:w="22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External published benchmarks</w:t>
            </w:r>
          </w:p>
        </w:tc>
        <w:tc>
          <w:tcPr>
            <w:tcW w:type="dxa" w:w="4200"/>
            <w:shd w:fill="EFF3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Change-detection accuracy baseline for Model 3 (F1 91.4%, authors' own number)</w:t>
            </w:r>
          </w:p>
        </w:tc>
      </w:tr>
    </w:tbl>
    <w:p>
      <w:pPr>
        <w:spacing w:after="140"/>
      </w:pPr>
      <w:r>
        <w:t xml:space="preserve">Validated against: VRSBench held-out accuracy evaluation, plus a live 12-query end-to-end benchmark suite including the PS's own five representative queries.</w:t>
      </w:r>
    </w:p>
    <w:p>
      <w:pPr>
        <w:pStyle w:val="Heading2"/>
        <w:spacing w:after="100" w:before="220"/>
      </w:pPr>
      <w:r>
        <w:t xml:space="preserve">Links &amp; resources</w:t>
      </w:r>
    </w:p>
    <w:p>
      <w:pPr>
        <w:spacing w:after="140"/>
      </w:pPr>
      <w:r>
        <w:t xml:space="preserve">Live website: </w:t>
      </w:r>
      <w:hyperlink w:history="1" r:id="rIdchrk2a4h4x4t65dhbkn0z">
        <w:r>
          <w:rPr>
            <w:rStyle w:val="Hyperlink"/>
            <w:color w:val="1155CC"/>
            <w:u w:val="single"/>
          </w:rPr>
          <w:t xml:space="preserve">satquery2026.vercel.app</w:t>
        </w:r>
      </w:hyperlink>
    </w:p>
    <w:p>
      <w:pPr>
        <w:spacing w:after="140"/>
      </w:pPr>
      <w:r>
        <w:t xml:space="preserve">Demo video: </w:t>
      </w:r>
      <w:hyperlink w:history="1" r:id="rIdahqambdy6wf7txvbuqyrm">
        <w:r>
          <w:rPr>
            <w:rStyle w:val="Hyperlink"/>
            <w:color w:val="1155CC"/>
            <w:u w:val="single"/>
          </w:rPr>
          <w:t xml:space="preserve">Google Drive</w:t>
        </w:r>
      </w:hyperlink>
    </w:p>
    <w:p>
      <w:pPr>
        <w:spacing w:after="140"/>
      </w:pPr>
      <w:r>
        <w:t xml:space="preserve">Model (LoRA adapter v2, current): </w:t>
      </w:r>
      <w:hyperlink w:history="1" r:id="rIdu8koycioe_5j_bunkuzun">
        <w:r>
          <w:rPr>
            <w:rStyle w:val="Hyperlink"/>
            <w:color w:val="1155CC"/>
            <w:u w:val="single"/>
          </w:rPr>
          <w:t xml:space="preserve">Hugging Face</w:t>
        </w:r>
      </w:hyperlink>
    </w:p>
    <w:p>
      <w:pPr>
        <w:spacing w:after="140"/>
      </w:pPr>
      <w:r>
        <w:t xml:space="preserve">Model (LoRA adapter v1, original): </w:t>
      </w:r>
      <w:hyperlink w:history="1" r:id="rIdscdhkc7w1ez5-8vhmjj4e">
        <w:r>
          <w:rPr>
            <w:rStyle w:val="Hyperlink"/>
            <w:color w:val="1155CC"/>
            <w:u w:val="single"/>
          </w:rPr>
          <w:t xml:space="preserve">Hugging Face</w:t>
        </w:r>
      </w:hyperlink>
    </w:p>
    <w:p>
      <w:pPr>
        <w:spacing w:after="140"/>
      </w:pPr>
      <w:r>
        <w:t xml:space="preserve">Research paper: </w:t>
      </w:r>
      <w:hyperlink w:history="1" r:id="rIdkjvyobiz0pj7boplxezpt">
        <w:r>
          <w:rPr>
            <w:rStyle w:val="Hyperlink"/>
            <w:color w:val="1155CC"/>
            <w:u w:val="single"/>
          </w:rPr>
          <w:t xml:space="preserve">Google Drive viewer</w:t>
        </w:r>
      </w:hyperlink>
    </w:p>
    <w:p>
      <w:pPr>
        <w:spacing w:after="140"/>
      </w:pPr>
      <w:r>
        <w:t xml:space="preserve">GitHub repository: </w:t>
      </w:r>
      <w:hyperlink w:history="1" r:id="rId4qgc8gt_6gzjhyrxazcpl">
        <w:r>
          <w:rPr>
            <w:rStyle w:val="Hyperlink"/>
            <w:color w:val="1155CC"/>
            <w:u w:val="single"/>
          </w:rPr>
          <w:t xml:space="preserve">github.com/sameelkazi/satquery</w:t>
        </w:r>
      </w:hyperlink>
    </w:p>
    <w:p>
      <w:pPr>
        <w:spacing w:after="100"/>
      </w:pPr>
    </w:p>
    <w:p>
      <w:pPr>
        <w:spacing w:after="140"/>
      </w:pPr>
      <w:r>
        <w:rPr>
          <w:b/>
          <w:bCs/>
          <w:color w:val="1E2761"/>
        </w:rPr>
        <w:t xml:space="preserve">Team Unhandled Exceptions — SatQuery AI — SIH26167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0E7C8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hrk2a4h4x4t65dhbkn0z" Type="http://schemas.openxmlformats.org/officeDocument/2006/relationships/hyperlink" Target="https://satquery2026.vercel.app" TargetMode="External"/><Relationship Id="rIdahqambdy6wf7txvbuqyrm" Type="http://schemas.openxmlformats.org/officeDocument/2006/relationships/hyperlink" Target="https://drive.google.com/file/d/1wXmPzBycXPVv-Xyxt5H7ruJtYXB5K1Cy/view?usp=drivesdk" TargetMode="External"/><Relationship Id="rIdu8koycioe_5j_bunkuzun" Type="http://schemas.openxmlformats.org/officeDocument/2006/relationships/hyperlink" Target="https://huggingface.co/Sameelkazi/satquery-qwen25vl-vrsbench-lora-v2" TargetMode="External"/><Relationship Id="rIdscdhkc7w1ez5-8vhmjj4e" Type="http://schemas.openxmlformats.org/officeDocument/2006/relationships/hyperlink" Target="https://huggingface.co/Sameelkazi/satquery-qwen25vl-vrsbench-lora" TargetMode="External"/><Relationship Id="rIdkjvyobiz0pj7boplxezpt" Type="http://schemas.openxmlformats.org/officeDocument/2006/relationships/hyperlink" Target="https://drive.google.com/file/d/17EHRK2iKjiZB9HNvXPx8E0uxy5flDiO7/view?usp=drivesdk" TargetMode="External"/><Relationship Id="rId4qgc8gt_6gzjhyrxazcpl" Type="http://schemas.openxmlformats.org/officeDocument/2006/relationships/hyperlink" Target="https://github.com/sameelkazi/satquery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2026-09-09T19:12:28.977Z</dcterms:created>
  <dcterms:modified xsi:type="dcterms:W3CDTF">2026-09-09T19:12:29.009Z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