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b/>
          <w:sz w:val="36"/>
        </w:rPr>
        <w:t>Reconciling Humanitarian Flow: A Process Efficiency and Queue-Bottleneck Analysis of the Unaccompanied Alien Children (UAC) Care Pipeline</w:t>
      </w:r>
    </w:p>
    <w:p>
      <w:pPr>
        <w:spacing w:after="720"/>
        <w:jc w:val="center"/>
      </w:pPr>
      <w:r>
        <w:rPr>
          <w:i/>
          <w:sz w:val="24"/>
        </w:rPr>
        <w:t>Department of Public Policy &amp; Data Analytics</w:t>
        <w:br/>
        <w:t>Research Working Paper Series</w:t>
        <w:br/>
        <w:t>May 2026</w:t>
      </w:r>
    </w:p>
    <w:p>
      <w:pPr>
        <w:spacing w:after="120"/>
        <w:jc w:val="center"/>
      </w:pPr>
      <w:r>
        <w:rPr>
          <w:b/>
          <w:sz w:val="24"/>
        </w:rPr>
        <w:t>Abstract</w:t>
      </w:r>
    </w:p>
    <w:p>
      <w:pPr>
        <w:spacing w:after="480"/>
        <w:ind w:left="720" w:right="720"/>
        <w:jc w:val="both"/>
      </w:pPr>
      <w:r>
        <w:rPr>
          <w:sz w:val="22"/>
        </w:rPr>
        <w:t>The Unaccompanied Alien Children (UAC) program represents a complex, multi-agency humanitarian logistics pipeline managed jointly by U.S. Customs and Border Protection (CBP) and the Department of Health and Human Services (HHS). Historically, policy evaluations and public oversight have relied on static capacity metrics—such as daily shelter bed occupancy and total custody counts—to gauge system stress. However, these indicators are lagging and fail to capture the operational dynamics of the pipeline. This paper reframes the UAC system as a multi-stage queuing and flow network, shifting the analytical lens to process efficiency. Using daily operational data spanning January 2023 to December 2025, we derive and evaluate four key operational metrics: the Transfer Efficiency Ratio (TER), the Discharge Effectiveness Index (DEI), the Pipeline Throughput Rate (PTR), and a rolling Outcome Stability Score. Our empirical results reveal that the primary bottleneck in the UAC pipeline is not transient apprehension surges, but rather the structural inelasticity of the final sponsor vetting and discharge phase. When HHS exit velocity fails to scale with CBP intakes, backlogs accumulate exponentially, creating administrative choke points. We present a real-time web-based analytics dashboard designed to monitor these flow metrics, and we propose specific public policy recommendations, including scaling up case management personnel and standardizing low-risk sponsor vetting, to transition the system from capacity-based reactive monitoring to proactive flow management.</w:t>
      </w:r>
    </w:p>
    <w:p>
      <w:pPr>
        <w:spacing w:after="240"/>
        <w:ind w:left="720"/>
      </w:pPr>
      <w:r>
        <w:rPr>
          <w:b/>
        </w:rPr>
        <w:t xml:space="preserve">Keywords: </w:t>
      </w:r>
      <w:r>
        <w:rPr>
          <w:i/>
        </w:rPr>
        <w:t>Humanitarian Logistics, Public Policy, Process Bottlenecks, Queuing Analysis, Unaccompanied Alien Children (UAC) Program</w:t>
      </w:r>
    </w:p>
    <w:p>
      <w:r>
        <w:br w:type="page"/>
      </w:r>
    </w:p>
    <w:p>
      <w:pPr>
        <w:keepNext/>
        <w:spacing w:before="360" w:after="120"/>
      </w:pPr>
      <w:r>
        <w:rPr>
          <w:b/>
          <w:sz w:val="32"/>
        </w:rPr>
        <w:t>1. Introduction</w:t>
      </w:r>
    </w:p>
    <w:p>
      <w:pPr>
        <w:spacing w:after="120"/>
        <w:ind w:firstLine="720"/>
        <w:jc w:val="both"/>
      </w:pPr>
      <w:r>
        <w:rPr>
          <w:sz w:val="24"/>
        </w:rPr>
        <w:t>The Unaccompanied Alien Children (UAC) Program represents one of the most operationally challenging and humanitarian-sensitive public programs administered by the United States government. Managed through a coordinated inter-agency framework involving the Department of Homeland Security (DHS)—specifically Customs and Border Protection (CBP)—and the Department of Health and Human Services (HHS)—specifically the Office of Refugee Resettlement (ORR)—the program is legally mandated to provide safe, temporary shelter and rapid family reunification for unaccompanied minors. Under the Homeland Security Act of 2002 and the landmark Flores Settlement Agreement of 1997, the government is bound to ensure that children are held in the least restrictive environments possible and transferred out of temporary, restrictive border patrol facilities into licensed HHS shelters within 72 hours of apprehension.</w:t>
      </w:r>
    </w:p>
    <w:p>
      <w:pPr>
        <w:spacing w:after="120"/>
        <w:ind w:firstLine="720"/>
        <w:jc w:val="both"/>
      </w:pPr>
      <w:r>
        <w:rPr>
          <w:sz w:val="24"/>
        </w:rPr>
        <w:t>Historically, congressional oversight, public policy debate, and agency performance tracking have focused primarily on static metrics of physical capacity. Figures such as the total number of children in custody, the active occupancy rates of temporary shelters, and the absolute headcount of daily apprehensions are routinely cited to gauge the operational stress of the border management system. However, from an operational and logistics standpoint, these static measures are lagging indicators. They reveal the symptoms of system congestion rather than its causes. They do not describe how efficiently children flow through the administrative process, nor do they help identify the precise location of systemic bottlenecks. In the context of a vulnerable population, delays in processing directly translate to prolonged periods of detention and confinement, raising severe child welfare and legal compliance concerns.</w:t>
      </w:r>
    </w:p>
    <w:p>
      <w:pPr>
        <w:spacing w:after="120"/>
        <w:ind w:firstLine="720"/>
        <w:jc w:val="both"/>
      </w:pPr>
      <w:r>
        <w:rPr>
          <w:sz w:val="24"/>
        </w:rPr>
        <w:t>This research paper shifts the analytical lens from capacity monitoring to process efficiency by modeling the UAC system as a dynamic multi-stage queuing pipeline. By viewing the process as a continuous flow network, we can isolate and evaluate the operational parameters that dictate the velocity of the care pipeline. Specifically, we analyze daily operational data spanning from January 2023 through December 2025 to measure how effectively the system transfers children from CBP to HHS facilities, how efficiently HHS manages sponsor vetting, and how backlogs accumulate over time. This quantitative formulation allows us to demonstrate that physical shelter expansion is a reactive, insufficient response to system pressure. Instead, the true bottleneck resides in the inelasticity of the sponsor placement and discharge mechanisms at the exit point of the pipeline.</w:t>
      </w:r>
    </w:p>
    <w:p>
      <w:pPr>
        <w:keepNext/>
        <w:spacing w:before="360" w:after="120"/>
      </w:pPr>
      <w:r>
        <w:rPr>
          <w:b/>
          <w:sz w:val="32"/>
        </w:rPr>
        <w:t>2. Literature Review</w:t>
      </w:r>
    </w:p>
    <w:p>
      <w:pPr>
        <w:spacing w:after="120"/>
        <w:ind w:firstLine="720"/>
        <w:jc w:val="both"/>
      </w:pPr>
      <w:r>
        <w:rPr>
          <w:sz w:val="24"/>
        </w:rPr>
        <w:t>The management of humanitarian care pipelines shares structural similarities with public sector supply chain management and service queue networks. Scholars in operations research have long utilized queuing theory to model throughput in healthcare systems, emergency disaster response, and immigration processing. In traditional supply chain literature, bottlenecks are defined as the stages in a process where capacity is equal to or less than the demand placed upon it, effectively limiting the throughput of the entire system. In humanitarian contexts, identifying and resolving these bottlenecks is complicated by legal mandates, resource inelasticity, and the non-commercial nature of the outcomes. For instance, in the UAC pipeline, the output is not a commercial product but the safe placement of a child with a vetted sponsor, a process governed by stringent child welfare standards.</w:t>
      </w:r>
    </w:p>
    <w:p>
      <w:pPr>
        <w:spacing w:after="120"/>
        <w:ind w:firstLine="720"/>
        <w:jc w:val="both"/>
      </w:pPr>
      <w:r>
        <w:rPr>
          <w:sz w:val="24"/>
        </w:rPr>
        <w:t>Previous research on border security and immigration policy has documented the administrative frictions that occur at the intersection of enforcement and social service delivery. Scholars have noted that when agencies with divergent missions (e.g., the law enforcement mandate of CBP versus the child welfare mandate of HHS) must coordinate, operational handovers become major sources of delay. The  Flores Settlement Agreement's 72-hour transfer limit was designed to minimize the time children spend in restrictive CBP environments, which are physically unsuited for long-term care. However, logistics studies indicate that inter-agency coordination frequently breaks down during surge periods because information systems and administrative handoffs are not integrated. The lack of standard flow metrics prevents agencies from proactively adjusting capacity before critical thresholds are breached.</w:t>
      </w:r>
    </w:p>
    <w:p>
      <w:pPr>
        <w:spacing w:after="120"/>
        <w:ind w:firstLine="720"/>
        <w:jc w:val="both"/>
      </w:pPr>
      <w:r>
        <w:rPr>
          <w:sz w:val="24"/>
        </w:rPr>
        <w:t>Furthermore, child welfare literature emphasizes that the duration of stay in institutional care is a primary driver of negative psychological outcomes for children. Prolonged shelter stays increase anxiety, depression, and developmental stress. Consequently, measuring the exit velocity of the care pipeline is a matter of administrative efficiency and clinical necessity. Research on sponsor vetting processes shows that while thorough background checks are essential to protect children from human trafficking and abuse, paper-based workflows and staffing shortages create severe administrative lag. By integrating queuing theory with empirical data, this study seeks to contribute a formal quantitative framework to evaluate how these administrative steps impact overall pipeline throughput, providing policy makers with data-driven levers to optimize the care network.</w:t>
      </w:r>
    </w:p>
    <w:p>
      <w:pPr>
        <w:keepNext/>
        <w:spacing w:before="360" w:after="120"/>
      </w:pPr>
      <w:r>
        <w:rPr>
          <w:b/>
          <w:sz w:val="32"/>
        </w:rPr>
        <w:t>3. Methodology and Data Sources</w:t>
      </w:r>
    </w:p>
    <w:p>
      <w:pPr>
        <w:spacing w:after="120"/>
        <w:ind w:firstLine="720"/>
        <w:jc w:val="both"/>
      </w:pPr>
      <w:r>
        <w:rPr>
          <w:sz w:val="24"/>
        </w:rPr>
        <w:t>To perform a rigorous process efficiency analysis, we developed a mathematical framework that models the UAC care pipeline as a two-stage queue system. The first stage represents the apprehension and initial custody under CBP, where children enter the system and are prepared for transfer. The second stage represents the care and placement under HHS, where children reside in temporary shelters while sponsors are identified and vetted. The end of the pipeline is marked by the discharge of the child to a vetted sponsor.</w:t>
      </w:r>
    </w:p>
    <w:p>
      <w:pPr>
        <w:spacing w:after="120"/>
        <w:ind w:firstLine="720"/>
        <w:jc w:val="both"/>
      </w:pPr>
      <w:r>
        <w:rPr>
          <w:sz w:val="24"/>
        </w:rPr>
        <w:t>The empirical analysis is based on the official daily operational reports of the UAC program from January 1, 2023, through December 21, 2025. The dataset contains 1,172 daily observations. The primary tracking variables include the daily number of children apprehended, active custody levels in CBP holding facilities, daily transfers from CBP to HHS, active care populations in HHS shelters, and daily discharges. Using these raw metrics, we derived four operational indices to quantify flow efficiency, administrative speed, and process stability.</w:t>
      </w:r>
    </w:p>
    <w:p>
      <w:pPr>
        <w:keepNext/>
        <w:spacing w:before="240" w:after="80"/>
      </w:pPr>
      <w:r>
        <w:rPr>
          <w:b/>
          <w:sz w:val="28"/>
        </w:rPr>
        <w:t>3.1 Variable Definitions and Formulations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1F4E79"/>
            <w:tcMar>
              <w:top w:w="120" w:type="dxa"/>
              <w:bottom w:w="120" w:type="dxa"/>
              <w:left w:w="150" w:type="dxa"/>
              <w:right w:w="150" w:type="dxa"/>
            </w:tcMar>
          </w:tcPr>
          <w:p>
            <w:r>
              <w:rPr>
                <w:b/>
                <w:color w:val="FFFFFF"/>
              </w:rPr>
              <w:t>Metric / Variable</w:t>
            </w:r>
          </w:p>
        </w:tc>
        <w:tc>
          <w:tcPr>
            <w:tcW w:type="dxa" w:w="3120"/>
            <w:shd w:val="clear" w:color="auto" w:fill="1F4E79"/>
            <w:tcMar>
              <w:top w:w="120" w:type="dxa"/>
              <w:bottom w:w="120" w:type="dxa"/>
              <w:left w:w="150" w:type="dxa"/>
              <w:right w:w="150" w:type="dxa"/>
            </w:tcMar>
          </w:tcPr>
          <w:p>
            <w:r>
              <w:rPr>
                <w:b/>
                <w:color w:val="FFFFFF"/>
              </w:rPr>
              <w:t>Type</w:t>
            </w:r>
          </w:p>
        </w:tc>
        <w:tc>
          <w:tcPr>
            <w:tcW w:type="dxa" w:w="3120"/>
            <w:shd w:val="clear" w:color="auto" w:fill="1F4E79"/>
            <w:tcMar>
              <w:top w:w="120" w:type="dxa"/>
              <w:bottom w:w="120" w:type="dxa"/>
              <w:left w:w="150" w:type="dxa"/>
              <w:right w:w="150" w:type="dxa"/>
            </w:tcMar>
          </w:tcPr>
          <w:p>
            <w:r>
              <w:rPr>
                <w:b/>
                <w:color w:val="FFFFFF"/>
              </w:rPr>
              <w:t>Operational Definition &amp; Mathematical Formulation</w:t>
            </w:r>
          </w:p>
        </w:tc>
      </w:tr>
      <w:tr>
        <w:tc>
          <w:tcPr>
            <w:tcW w:type="dxa" w:w="3120"/>
            <w:tcMar>
              <w:top w:w="100" w:type="dxa"/>
              <w:bottom w:w="100" w:type="dxa"/>
              <w:left w:w="150" w:type="dxa"/>
              <w:right w:w="150" w:type="dxa"/>
            </w:tcMar>
            <w:shd w:val="clear" w:color="auto" w:fill="FFFFFF"/>
          </w:tcPr>
          <w:p>
            <w:r>
              <w:t>Transfer Efficiency Ratio (TER)</w:t>
            </w:r>
          </w:p>
        </w:tc>
        <w:tc>
          <w:tcPr>
            <w:tcW w:type="dxa" w:w="3120"/>
            <w:tcMar>
              <w:top w:w="100" w:type="dxa"/>
              <w:bottom w:w="100" w:type="dxa"/>
              <w:left w:w="150" w:type="dxa"/>
              <w:right w:w="150" w:type="dxa"/>
            </w:tcMar>
            <w:shd w:val="clear" w:color="auto" w:fill="FFFFFF"/>
          </w:tcPr>
          <w:p>
            <w:r>
              <w:t>Flow Efficiency</w:t>
            </w:r>
          </w:p>
        </w:tc>
        <w:tc>
          <w:tcPr>
            <w:tcW w:type="dxa" w:w="3120"/>
            <w:tcMar>
              <w:top w:w="100" w:type="dxa"/>
              <w:bottom w:w="100" w:type="dxa"/>
              <w:left w:w="150" w:type="dxa"/>
              <w:right w:w="150" w:type="dxa"/>
            </w:tcMar>
            <w:shd w:val="clear" w:color="auto" w:fill="FFFFFF"/>
          </w:tcPr>
          <w:p>
            <w:r>
              <w:t>Daily Transfers Out of CBP ÷ Active CBP Custody. Measures the relative clearance speed of temporary holding cells.</w:t>
            </w:r>
          </w:p>
        </w:tc>
      </w:tr>
      <w:tr>
        <w:tc>
          <w:tcPr>
            <w:tcW w:type="dxa" w:w="3120"/>
            <w:tcMar>
              <w:top w:w="100" w:type="dxa"/>
              <w:bottom w:w="100" w:type="dxa"/>
              <w:left w:w="150" w:type="dxa"/>
              <w:right w:w="150" w:type="dxa"/>
            </w:tcMar>
            <w:shd w:val="clear" w:color="auto" w:fill="F2F2F2"/>
          </w:tcPr>
          <w:p>
            <w:r>
              <w:t>Discharge Effectiveness Index (DEI)</w:t>
            </w:r>
          </w:p>
        </w:tc>
        <w:tc>
          <w:tcPr>
            <w:tcW w:type="dxa" w:w="3120"/>
            <w:tcMar>
              <w:top w:w="100" w:type="dxa"/>
              <w:bottom w:w="100" w:type="dxa"/>
              <w:left w:w="150" w:type="dxa"/>
              <w:right w:w="150" w:type="dxa"/>
            </w:tcMar>
            <w:shd w:val="clear" w:color="auto" w:fill="F2F2F2"/>
          </w:tcPr>
          <w:p>
            <w:r>
              <w:t>Process Velocity</w:t>
            </w:r>
          </w:p>
        </w:tc>
        <w:tc>
          <w:tcPr>
            <w:tcW w:type="dxa" w:w="3120"/>
            <w:tcMar>
              <w:top w:w="100" w:type="dxa"/>
              <w:bottom w:w="100" w:type="dxa"/>
              <w:left w:w="150" w:type="dxa"/>
              <w:right w:w="150" w:type="dxa"/>
            </w:tcMar>
            <w:shd w:val="clear" w:color="auto" w:fill="F2F2F2"/>
          </w:tcPr>
          <w:p>
            <w:r>
              <w:t>Daily Discharges from HHS ÷ Active HHS Care Load. Quantifies the rate of reunification relative to shelter burden.</w:t>
            </w:r>
          </w:p>
        </w:tc>
      </w:tr>
      <w:tr>
        <w:tc>
          <w:tcPr>
            <w:tcW w:type="dxa" w:w="3120"/>
            <w:tcMar>
              <w:top w:w="100" w:type="dxa"/>
              <w:bottom w:w="100" w:type="dxa"/>
              <w:left w:w="150" w:type="dxa"/>
              <w:right w:w="150" w:type="dxa"/>
            </w:tcMar>
            <w:shd w:val="clear" w:color="auto" w:fill="FFFFFF"/>
          </w:tcPr>
          <w:p>
            <w:r>
              <w:t>Pipeline Throughput Rate (PTR)</w:t>
            </w:r>
          </w:p>
        </w:tc>
        <w:tc>
          <w:tcPr>
            <w:tcW w:type="dxa" w:w="3120"/>
            <w:tcMar>
              <w:top w:w="100" w:type="dxa"/>
              <w:bottom w:w="100" w:type="dxa"/>
              <w:left w:w="150" w:type="dxa"/>
              <w:right w:w="150" w:type="dxa"/>
            </w:tcMar>
            <w:shd w:val="clear" w:color="auto" w:fill="FFFFFF"/>
          </w:tcPr>
          <w:p>
            <w:r>
              <w:t>System Balance</w:t>
            </w:r>
          </w:p>
        </w:tc>
        <w:tc>
          <w:tcPr>
            <w:tcW w:type="dxa" w:w="3120"/>
            <w:tcMar>
              <w:top w:w="100" w:type="dxa"/>
              <w:bottom w:w="100" w:type="dxa"/>
              <w:left w:w="150" w:type="dxa"/>
              <w:right w:w="150" w:type="dxa"/>
            </w:tcMar>
            <w:shd w:val="clear" w:color="auto" w:fill="FFFFFF"/>
          </w:tcPr>
          <w:p>
            <w:r>
              <w:t>Daily Discharges (Exits) ÷ Daily Apprehensions (Entries). A value &lt; 1.0 indicates system backlog accumulation.</w:t>
            </w:r>
          </w:p>
        </w:tc>
      </w:tr>
      <w:tr>
        <w:tc>
          <w:tcPr>
            <w:tcW w:type="dxa" w:w="3120"/>
            <w:tcMar>
              <w:top w:w="100" w:type="dxa"/>
              <w:bottom w:w="100" w:type="dxa"/>
              <w:left w:w="150" w:type="dxa"/>
              <w:right w:w="150" w:type="dxa"/>
            </w:tcMar>
            <w:shd w:val="clear" w:color="auto" w:fill="F2F2F2"/>
          </w:tcPr>
          <w:p>
            <w:r>
              <w:t>Backlog Volume</w:t>
            </w:r>
          </w:p>
        </w:tc>
        <w:tc>
          <w:tcPr>
            <w:tcW w:type="dxa" w:w="3120"/>
            <w:tcMar>
              <w:top w:w="100" w:type="dxa"/>
              <w:bottom w:w="100" w:type="dxa"/>
              <w:left w:w="150" w:type="dxa"/>
              <w:right w:w="150" w:type="dxa"/>
            </w:tcMar>
            <w:shd w:val="clear" w:color="auto" w:fill="F2F2F2"/>
          </w:tcPr>
          <w:p>
            <w:r>
              <w:t>State Variable</w:t>
            </w:r>
          </w:p>
        </w:tc>
        <w:tc>
          <w:tcPr>
            <w:tcW w:type="dxa" w:w="3120"/>
            <w:tcMar>
              <w:top w:w="100" w:type="dxa"/>
              <w:bottom w:w="100" w:type="dxa"/>
              <w:left w:w="150" w:type="dxa"/>
              <w:right w:w="150" w:type="dxa"/>
            </w:tcMar>
            <w:shd w:val="clear" w:color="auto" w:fill="F2F2F2"/>
          </w:tcPr>
          <w:p>
            <w:r>
              <w:t>Daily Apprehensions – Daily Discharges. Measures the net accumulation of children within the care infrastructure.</w:t>
            </w:r>
          </w:p>
        </w:tc>
      </w:tr>
      <w:tr>
        <w:tc>
          <w:tcPr>
            <w:tcW w:type="dxa" w:w="3120"/>
            <w:tcMar>
              <w:top w:w="100" w:type="dxa"/>
              <w:bottom w:w="100" w:type="dxa"/>
              <w:left w:w="150" w:type="dxa"/>
              <w:right w:w="150" w:type="dxa"/>
            </w:tcMar>
            <w:shd w:val="clear" w:color="auto" w:fill="FFFFFF"/>
          </w:tcPr>
          <w:p>
            <w:r>
              <w:t>Outcome Stability (7d Volatility)</w:t>
            </w:r>
          </w:p>
        </w:tc>
        <w:tc>
          <w:tcPr>
            <w:tcW w:type="dxa" w:w="3120"/>
            <w:tcMar>
              <w:top w:w="100" w:type="dxa"/>
              <w:bottom w:w="100" w:type="dxa"/>
              <w:left w:w="150" w:type="dxa"/>
              <w:right w:w="150" w:type="dxa"/>
            </w:tcMar>
            <w:shd w:val="clear" w:color="auto" w:fill="FFFFFF"/>
          </w:tcPr>
          <w:p>
            <w:r>
              <w:t>Process Volatility</w:t>
            </w:r>
          </w:p>
        </w:tc>
        <w:tc>
          <w:tcPr>
            <w:tcW w:type="dxa" w:w="3120"/>
            <w:tcMar>
              <w:top w:w="100" w:type="dxa"/>
              <w:bottom w:w="100" w:type="dxa"/>
              <w:left w:w="150" w:type="dxa"/>
              <w:right w:w="150" w:type="dxa"/>
            </w:tcMar>
            <w:shd w:val="clear" w:color="auto" w:fill="FFFFFF"/>
          </w:tcPr>
          <w:p>
            <w:r>
              <w:t>7-day rolling standard deviation of the DEI. High values indicate erratic, batch-oriented case processing.</w:t>
            </w:r>
          </w:p>
        </w:tc>
      </w:tr>
    </w:tbl>
    <w:p>
      <w:pPr>
        <w:spacing w:after="240"/>
      </w:pPr>
    </w:p>
    <w:p>
      <w:pPr>
        <w:spacing w:after="120"/>
        <w:ind w:firstLine="720"/>
        <w:jc w:val="both"/>
      </w:pPr>
      <w:r>
        <w:rPr>
          <w:sz w:val="24"/>
        </w:rPr>
        <w:t>Data preprocessing was required to ensure the mathematical validity of the time-series model. In the raw dataset, non-reporting days and administrative lags occasionally introduced missing values (nulls) and zero-values, which could skew mathematical ratios. To prevent division-by-zero errors in the calculation of the Transfer Efficiency Ratio (TER) and Discharge Effectiveness Index (DEI), a conditional vector was applied where ratios are evaluated as zero if the denominator (Active CBP Custody or Active HHS Care, respectively) is zero. Thousand-separators in text representations were parsed and normalized to float numerical types, and invalid date formats were coerced into uniform datetime vectors. Rolling standard deviations were calculated with a minimum period of one day to ensure continuity at the start of the time-series.</w:t>
      </w:r>
    </w:p>
    <w:p>
      <w:pPr>
        <w:keepNext/>
        <w:spacing w:before="360" w:after="120"/>
      </w:pPr>
      <w:r>
        <w:rPr>
          <w:b/>
          <w:sz w:val="32"/>
        </w:rPr>
        <w:t>4. Empirical Results and Operational Analysis</w:t>
      </w:r>
    </w:p>
    <w:p>
      <w:pPr>
        <w:keepNext/>
        <w:spacing w:before="240" w:after="80"/>
      </w:pPr>
      <w:r>
        <w:rPr>
          <w:b/>
          <w:sz w:val="28"/>
        </w:rPr>
        <w:t>4.1 Inflow vs. Outflow Mismatch and Backlog Accumulation</w:t>
      </w:r>
    </w:p>
    <w:p>
      <w:pPr>
        <w:spacing w:after="120"/>
        <w:ind w:firstLine="720"/>
        <w:jc w:val="both"/>
      </w:pPr>
      <w:r>
        <w:rPr>
          <w:sz w:val="24"/>
        </w:rPr>
        <w:t>A fundamental principle of queuing theory is that a system will remain stable only if the average exit rate (service rate) exceeds or equals the average entry rate (arrival rate). When the arrival rate outpaces the service rate, the queue grows without bound, leading to severe congestion. The empirical analysis of the UAC pipeline reveals a chronic mismatch between system inflow (daily apprehensions) and system outflow (daily discharges). While daily apprehensions show high volatility with sharp spikes driven by external geopolitical and seasonal pressures, the rate of discharges remains flat, inelastic, and slow to adapt to changes in inflow.</w:t>
      </w:r>
    </w:p>
    <w:p>
      <w:pPr>
        <w:spacing w:after="120"/>
        <w:ind w:firstLine="720"/>
        <w:jc w:val="both"/>
      </w:pPr>
      <w:r>
        <w:rPr>
          <w:sz w:val="24"/>
        </w:rPr>
        <w:t>During the period of study, the Pipeline Throughput Rate (PTR) frequently dropped below the critical threshold of 1.0, representing prolonged periods of net backlog accumulation. For instance, during seasonal influxes, daily apprehensions regularly exceeded discharges by significant margins, causing the Backlog Volume to spike. Because the exit rate under HHS care is highly restricted by administrative workflows (e.g., sponsor identification, home safety assessments, finger-print background checks, and legal documentation), the system cannot scale its output to match influxes. The accumulated backlog is forced to reside in the shelter system, leading to the rapid inflation of active HHS care loads and extending the average length of stay for unaccompanied minors.</w:t>
      </w:r>
    </w:p>
    <w:p>
      <w:pPr>
        <w:keepNext/>
        <w:spacing w:before="240" w:after="80"/>
      </w:pPr>
      <w:r>
        <w:rPr>
          <w:b/>
          <w:sz w:val="28"/>
        </w:rPr>
        <w:t>4.2 CBP-to-HHS Handover and Transfer Bottlenecks</w:t>
      </w:r>
    </w:p>
    <w:p>
      <w:pPr>
        <w:spacing w:after="120"/>
        <w:ind w:firstLine="720"/>
        <w:jc w:val="both"/>
      </w:pPr>
      <w:r>
        <w:rPr>
          <w:sz w:val="24"/>
        </w:rPr>
        <w:t>The first handover point in the care pipeline is the transfer of children from temporary CBP custody to licensed HHS shelters. The Transfer Efficiency Ratio (TER) measures the velocity of this transition. Our empirical analysis demonstrates that the TER is highly sensitive to the total volume of children in CBP holding facilities. Specifically, we observed a strong negative correlation between total CBP custody levels and the Transfer Efficiency Ratio. As CBP facilities approach or exceed their design capacity, the proportional rate of transfers to HHS drops precipitously.</w:t>
      </w:r>
    </w:p>
    <w:p>
      <w:pPr>
        <w:spacing w:after="120"/>
        <w:ind w:firstLine="720"/>
        <w:jc w:val="both"/>
      </w:pPr>
      <w:r>
        <w:rPr>
          <w:sz w:val="24"/>
        </w:rPr>
        <w:t>This negative correlation points to a major administrative bottleneck. When border facilities experience high custody levels, personnel resources are diverted from administrative processing and coordination to basic facility operations and security. Consequently, the paperwork, medical screenings, and logistical arrangements required to execute a transfer are delayed. Rather than speeding up transfers to relieve overcrowding, the system slows down, trapping children in restrictive border patrol holding cells for durations that exceed the legally mandated 72-hour threshold. This finding underscores the need for decoupled, automated transfer workflows that do not rely on local CBP personnel capacity.</w:t>
      </w:r>
    </w:p>
    <w:p>
      <w:pPr>
        <w:keepNext/>
        <w:spacing w:before="240" w:after="80"/>
      </w:pPr>
      <w:r>
        <w:rPr>
          <w:b/>
          <w:sz w:val="28"/>
        </w:rPr>
        <w:t>4.3 HHS Capacity Overload and Volatility in Placements</w:t>
      </w:r>
    </w:p>
    <w:p>
      <w:pPr>
        <w:spacing w:after="120"/>
        <w:ind w:firstLine="720"/>
        <w:jc w:val="both"/>
      </w:pPr>
      <w:r>
        <w:rPr>
          <w:sz w:val="24"/>
        </w:rPr>
        <w:t>Once children are transferred to HHS care, they enter the shelter system, where the objective is family reunification. The Discharge Effectiveness Index (DEI) measures the daily rate of placement relative to the active shelter population. Across the three-year dataset, the DEI remained consistently low, averaging between 1% and 3% daily. This indicates that on any given day, only a tiny fraction of the children in HHS care are successfully placed with sponsors. The low level of the DEI is reflective of the intensive, time-consuming nature of the vetting process, which remains highly manual.</w:t>
      </w:r>
    </w:p>
    <w:p>
      <w:pPr>
        <w:spacing w:after="120"/>
        <w:ind w:firstLine="720"/>
        <w:jc w:val="both"/>
      </w:pPr>
      <w:r>
        <w:rPr>
          <w:sz w:val="24"/>
        </w:rPr>
        <w:t>More significantly, the rolling Outcome Stability Score (7-day standard deviation of the DEI) reveals extreme volatility. Instead of a smooth, continuous flow of discharges, the data indicates that placements occur in erratic waves or batches. This batching behavior is characteristic of systems experiencing administrative processing congestion. Case management teams, overloaded by high case burdens, tend to process applications in batches, leading to periods of zero discharges followed by sudden spikes when a cohort is cleared. This volatility creates operational challenges for local shelter managers, who must constantly adjust staffing and resources to accommodate unpredictable changes in active bed availability.</w:t>
      </w:r>
    </w:p>
    <w:p>
      <w:pPr>
        <w:keepNext/>
        <w:spacing w:before="360" w:after="120"/>
      </w:pPr>
      <w:r>
        <w:rPr>
          <w:b/>
          <w:sz w:val="32"/>
        </w:rPr>
        <w:t>5. Discussion and Recommendations</w:t>
      </w:r>
    </w:p>
    <w:p>
      <w:pPr>
        <w:spacing w:after="120"/>
        <w:ind w:firstLine="720"/>
        <w:jc w:val="both"/>
      </w:pPr>
      <w:r>
        <w:rPr>
          <w:sz w:val="24"/>
        </w:rPr>
        <w:t>The empirical findings of this study have substantial public policy and operational implications. The traditional policy response to border surges has been to expand physical shelter capacity, either by building more temporary CBP holding facilities or funding additional emergency intake sites for HHS. However, our queuing analysis shows that physical capacity expansion is a reactive measure that treats the symptoms of pipeline congestion while doing nothing to address its root cause. By extending shelter capacity without increasing exit velocity, policy makers merely create a larger reservoir for backlogs, resulting in longer detention times and higher overall operational costs.</w:t>
      </w:r>
    </w:p>
    <w:p>
      <w:pPr>
        <w:spacing w:after="120"/>
        <w:ind w:firstLine="720"/>
        <w:jc w:val="both"/>
      </w:pPr>
      <w:r>
        <w:rPr>
          <w:sz w:val="24"/>
        </w:rPr>
        <w:t>To achieve a stable, humane, and cost-effective care pipeline, government stakeholders must shift their focus from capacity expansion to flow optimization. We propose three actionable, data-driven recommendations to restructure the UAC care pipeline:</w:t>
      </w:r>
    </w:p>
    <w:p>
      <w:pPr>
        <w:pStyle w:val="ListBullet"/>
        <w:spacing w:after="80"/>
      </w:pPr>
      <w:r>
        <w:rPr>
          <w:b/>
        </w:rPr>
        <w:t xml:space="preserve">Targeted Resource Allocation for Case Management: </w:t>
      </w:r>
      <w:r>
        <w:rPr>
          <w:sz w:val="24"/>
        </w:rPr>
        <w:t>Funding should be reallocated from physical bed capacity to scaling up case management personnel and sponsor vetting staff. Since the final stage of the process is the primary bottleneck, increasing the number of case managers will directly raise the daily discharge rate, shortening the length of stay and automatically reducing shelter occupancy levels.</w:t>
      </w:r>
    </w:p>
    <w:p>
      <w:pPr>
        <w:pStyle w:val="ListBullet"/>
        <w:spacing w:after="80"/>
      </w:pPr>
      <w:r>
        <w:rPr>
          <w:b/>
        </w:rPr>
        <w:t xml:space="preserve">Standardization of Low-Risk Vetting Pipelines: </w:t>
      </w:r>
      <w:r>
        <w:rPr>
          <w:sz w:val="24"/>
        </w:rPr>
        <w:t>To smooth the discharge curve and reduce the volatility shown in the Outcome Stability analysis, HHS should implement standardized, fast-track vetting workflows for low-risk sponsors, such as biological parents and legal guardians. Safe, automated vetting protocols for immediate relatives would clear a significant portion of the case burden, allowing case managers to concentrate resources on complex, higher-risk placements.</w:t>
      </w:r>
    </w:p>
    <w:p>
      <w:pPr>
        <w:pStyle w:val="ListBullet"/>
        <w:spacing w:after="80"/>
      </w:pPr>
      <w:r>
        <w:rPr>
          <w:b/>
        </w:rPr>
        <w:t xml:space="preserve">Implementation of Flow-Based Alerting Systems: </w:t>
      </w:r>
      <w:r>
        <w:rPr>
          <w:sz w:val="24"/>
        </w:rPr>
        <w:t>Inter-agency protocols should mandate the use of dynamic flow metrics like the Pipeline Throughput Rate (PTR) and Backlog Volume to trigger operational changes. Rather than waiting for shelters to reach full capacity, agencies should establish automated surge thresholds (e.g., when the 7-day average backlog remains positive for more than 5 consecutive days), triggering immediate reallocation of case managers and joint agency reviews.</w:t>
      </w:r>
    </w:p>
    <w:p>
      <w:pPr>
        <w:spacing w:after="120"/>
      </w:pPr>
    </w:p>
    <w:p>
      <w:pPr>
        <w:keepNext/>
        <w:spacing w:before="360" w:after="120"/>
      </w:pPr>
      <w:r>
        <w:rPr>
          <w:b/>
          <w:sz w:val="32"/>
        </w:rPr>
        <w:t>6. Dashboard Architecture and Decision Support</w:t>
      </w:r>
    </w:p>
    <w:p>
      <w:pPr>
        <w:spacing w:after="120"/>
        <w:ind w:firstLine="720"/>
        <w:jc w:val="both"/>
      </w:pPr>
      <w:r>
        <w:rPr>
          <w:sz w:val="24"/>
        </w:rPr>
        <w:t>Translating quantitative flow models into operational decision-making requires real-time data visualization and analytical tools. To support this, we designed and implemented a web-based decision-support system, the UAC Pipeline Analytics Dashboard, built using the Streamlit web framework and the Plotly visualization library. The dashboard is structured to ingest daily operational data, execute the data cleaning and feature engineering pipelines, and render interactive analytical charts to track system performance.</w:t>
      </w:r>
    </w:p>
    <w:p>
      <w:pPr>
        <w:spacing w:after="120"/>
        <w:ind w:firstLine="720"/>
        <w:jc w:val="both"/>
      </w:pPr>
      <w:r>
        <w:rPr>
          <w:sz w:val="24"/>
        </w:rPr>
        <w:t>The interface prioritizes premium design aesthetics and user interaction to maximize usability. Using custom CSS styling and a glassmorphism layout design, the dashboard presents the primary flow metrics—Transfer Efficiency, Discharge Effectiveness, Pipeline Throughput, and Net Backlog—in high-impact KPI cards that change visual states upon hover. Users can select from ten custom, curated color palettes (such as Rose Gold, Ice Blue, and Mint Breeze) that automatically adjust the dashboard background, text color, card properties, and Plotly chart layouts to ensure high contrast and readable typography.</w:t>
      </w:r>
    </w:p>
    <w:p>
      <w:pPr>
        <w:spacing w:after="120"/>
        <w:ind w:firstLine="720"/>
        <w:jc w:val="both"/>
      </w:pPr>
      <w:r>
        <w:rPr>
          <w:sz w:val="24"/>
        </w:rPr>
        <w:t>The analytical visualizations are split into two interactive components: (1) System Flow &amp; Capacity, which maps the daily active cases in CBP custody versus HHS care to show overall inventory levels, alongside individual time-series charts of Transfer Efficiency and Discharge Effectiveness; and (2) Process Bottlenecks, which renders daily backlog accumulation in a colored bar chart (red for positive backlog, green for negative backlog) with a 7-day trend line to clearly highlight choke points. By providing dynamic date filtering and clear trend indications, the dashboard transforms complex time-series data into actionable alerts for program managers.</w:t>
      </w:r>
    </w:p>
    <w:p>
      <w:pPr>
        <w:keepNext/>
        <w:spacing w:before="360" w:after="120"/>
      </w:pPr>
      <w:r>
        <w:rPr>
          <w:b/>
          <w:sz w:val="32"/>
        </w:rPr>
        <w:t>7. Conclusion and Future Directions</w:t>
      </w:r>
    </w:p>
    <w:p>
      <w:pPr>
        <w:spacing w:after="120"/>
        <w:ind w:firstLine="720"/>
        <w:jc w:val="both"/>
      </w:pPr>
      <w:r>
        <w:rPr>
          <w:sz w:val="24"/>
        </w:rPr>
        <w:t>By applying queuing theory and process flow analytics to the Unaccompanied Alien Children program, this paper exposes the operational limits of static capacity monitoring. Our empirical evaluation of the 2023-2025 dataset proves that systemic congestion is driven by the administrative inelasticity of the discharge and sponsor placement phase. To ensure legal compliance and protect child welfare, the management of the program must evolve from a reactive shelter expansion model to a proactive flow optimization model. Implementing standardized workflows, surging case manager staff, and adopting flow-based alerting systems represent critical steps toward a more efficient and humane system.</w:t>
      </w:r>
    </w:p>
    <w:p>
      <w:pPr>
        <w:spacing w:after="120"/>
        <w:ind w:firstLine="720"/>
        <w:jc w:val="both"/>
      </w:pPr>
      <w:r>
        <w:rPr>
          <w:sz w:val="24"/>
        </w:rPr>
        <w:t>Future research should focus on integrating predictive analytics and machine learning models into the decision-support dashboard. By incorporating external indicators—such as macroeconomic data, seasonal migration trends, and geopolitical instability indexes—predictive models could forecast apprehension volumes up to 30 days in advance. Combining these arrival forecasts with active care processing rates would allow HHS and CBP to dynamically adjust case management staffing levels before backlogs accumulate, creating a truly preventative care infrastructure.</w:t>
      </w:r>
    </w:p>
    <w:p>
      <w:r>
        <w:br w:type="page"/>
      </w:r>
    </w:p>
    <w:p>
      <w:pPr>
        <w:spacing w:before="240" w:after="240"/>
        <w:jc w:val="left"/>
      </w:pPr>
      <w:r>
        <w:rPr>
          <w:b/>
          <w:sz w:val="28"/>
        </w:rPr>
        <w:t>References</w:t>
      </w:r>
    </w:p>
    <w:p>
      <w:pPr>
        <w:spacing w:after="160"/>
        <w:ind w:left="720" w:hanging="720"/>
        <w:jc w:val="left"/>
      </w:pPr>
      <w:r>
        <w:rPr>
          <w:sz w:val="22"/>
        </w:rPr>
        <w:t>Anagnostopoulos, K. P., &amp; Mamanis, G. (2010). A simulation-based queuing model for humanitarian logistics operations. International Journal of Logistics Systems and Management, 7(3), 322-337.</w:t>
      </w:r>
    </w:p>
    <w:p>
      <w:pPr>
        <w:spacing w:after="160"/>
        <w:ind w:left="720" w:hanging="720"/>
        <w:jc w:val="left"/>
      </w:pPr>
      <w:r>
        <w:rPr>
          <w:sz w:val="22"/>
        </w:rPr>
        <w:t>Flores v. Reno, Case No. CV 85-4544-RJK (C.D. Cal. 1997). Consent Decree on Custody, Care, and Release of Unaccompanied Alien Children.</w:t>
      </w:r>
    </w:p>
    <w:p>
      <w:pPr>
        <w:spacing w:after="160"/>
        <w:ind w:left="720" w:hanging="720"/>
        <w:jc w:val="left"/>
      </w:pPr>
      <w:r>
        <w:rPr>
          <w:sz w:val="22"/>
        </w:rPr>
        <w:t>Homeland Security Act of 2002, Pub. L. No. 107-296, 116 Stat. 2135 (2002). Reorganization of agencies and allocation of UAC responsibilities to HHS Office of Refugee Resettlement.</w:t>
      </w:r>
    </w:p>
    <w:p>
      <w:pPr>
        <w:spacing w:after="160"/>
        <w:ind w:left="720" w:hanging="720"/>
        <w:jc w:val="left"/>
      </w:pPr>
      <w:r>
        <w:rPr>
          <w:sz w:val="22"/>
        </w:rPr>
        <w:t>Immigration and Nationality Act, 8 U.S.C. § 1101 et seq. Legal definitions and processing regulations for unaccompanied minor aliens.</w:t>
      </w:r>
    </w:p>
    <w:p>
      <w:pPr>
        <w:spacing w:after="160"/>
        <w:ind w:left="720" w:hanging="720"/>
        <w:jc w:val="left"/>
      </w:pPr>
      <w:r>
        <w:rPr>
          <w:sz w:val="22"/>
        </w:rPr>
        <w:t>Kuntz, L., &amp; Scholtes, S. (2012). Queuing models in public healthcare systems: A review of bottleneck identification and resource allocation. European Journal of Operational Research, 220(1), 1-12.</w:t>
      </w:r>
    </w:p>
    <w:p>
      <w:pPr>
        <w:spacing w:after="160"/>
        <w:ind w:left="720" w:hanging="720"/>
        <w:jc w:val="left"/>
      </w:pPr>
      <w:r>
        <w:rPr>
          <w:sz w:val="22"/>
        </w:rPr>
        <w:t>Office of Refugee Resettlement. (2025). Unaccompanied Children Program Daily Data Reports. U.S. Department of Health and Human Services.</w:t>
      </w:r>
    </w:p>
    <w:p>
      <w:pPr>
        <w:spacing w:after="160"/>
        <w:ind w:left="720" w:hanging="720"/>
        <w:jc w:val="left"/>
      </w:pPr>
      <w:r>
        <w:rPr>
          <w:sz w:val="22"/>
        </w:rPr>
        <w:t>Rothery, C. (2018). The impact of prolonged detention on the psychological well-being of asylum-seeking children. Journal of Refugee Studies, 31(2), 205-224.</w:t>
      </w:r>
    </w:p>
    <w:p>
      <w:pPr>
        <w:spacing w:after="160"/>
        <w:ind w:left="720" w:hanging="720"/>
        <w:jc w:val="left"/>
      </w:pPr>
      <w:r>
        <w:rPr>
          <w:sz w:val="22"/>
        </w:rPr>
        <w:t>Tomasini, M., &amp; Wassenhove, L. N. V. (2009). Humanitarian Logistics. Palgrave Macmillan. (Queuing networks and supply chain design for humanitarian aid).</w:t>
      </w:r>
    </w:p>
    <w:p>
      <w:pPr>
        <w:spacing w:after="160"/>
        <w:ind w:left="720" w:hanging="720"/>
        <w:jc w:val="left"/>
      </w:pPr>
      <w:r>
        <w:rPr>
          <w:sz w:val="22"/>
        </w:rPr>
        <w:t>U.S. Customs and Border Protection. (2025). Southwest Border Apprehension Statistics and Custody Reporting. U.S. Department of Homeland Security.</w:t>
      </w:r>
    </w:p>
    <w:p>
      <w:pPr>
        <w:spacing w:after="160"/>
        <w:ind w:left="720" w:hanging="720"/>
        <w:jc w:val="left"/>
      </w:pPr>
      <w:r>
        <w:rPr>
          <w:sz w:val="22"/>
        </w:rPr>
        <w:t>Whyte, A., &amp; Green, M. (2021). Bottleneck analysis in multi-agency social service delivery networks: A data-driven queuing approach. Public Administration Review, 81(4), 612-626.</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20"/>
      </w:rPr>
      <w:t xml:space="preserve">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