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EC35" w14:textId="77777777" w:rsidR="00D82ECF" w:rsidRDefault="00000000">
      <w:pPr>
        <w:jc w:val="center"/>
      </w:pPr>
      <w:r>
        <w:rPr>
          <w:b/>
          <w:color w:val="1B365D"/>
          <w:sz w:val="32"/>
        </w:rPr>
        <w:t>SIMATS ENGINEERING</w:t>
      </w:r>
      <w:r>
        <w:rPr>
          <w:b/>
          <w:color w:val="1B365D"/>
          <w:sz w:val="32"/>
        </w:rPr>
        <w:br/>
        <w:t>ASSESSMENT TOOL 3 (CO4 - COMPARATIVE ANALYSIS)</w:t>
      </w:r>
    </w:p>
    <w:p w14:paraId="33C28871"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 xml:space="preserve">COURSE NAME: </w:t>
      </w:r>
      <w:r w:rsidRPr="00B57FA4">
        <w:rPr>
          <w:rFonts w:ascii="Times New Roman" w:hAnsi="Times New Roman" w:cs="Times New Roman"/>
          <w:sz w:val="24"/>
          <w:szCs w:val="24"/>
        </w:rPr>
        <w:t xml:space="preserve">Computer Vision with OpenCV          </w:t>
      </w:r>
      <w:r w:rsidRPr="00B57FA4">
        <w:rPr>
          <w:rFonts w:ascii="Times New Roman" w:hAnsi="Times New Roman" w:cs="Times New Roman"/>
          <w:b/>
          <w:sz w:val="24"/>
          <w:szCs w:val="24"/>
        </w:rPr>
        <w:t xml:space="preserve">COURSE CODE: </w:t>
      </w:r>
      <w:r w:rsidRPr="00B57FA4">
        <w:rPr>
          <w:rFonts w:ascii="Times New Roman" w:hAnsi="Times New Roman" w:cs="Times New Roman"/>
          <w:sz w:val="24"/>
          <w:szCs w:val="24"/>
        </w:rPr>
        <w:t>DSA02</w:t>
      </w:r>
      <w:r w:rsidRPr="00B57FA4">
        <w:rPr>
          <w:rFonts w:ascii="Times New Roman" w:hAnsi="Times New Roman" w:cs="Times New Roman"/>
          <w:sz w:val="24"/>
          <w:szCs w:val="24"/>
        </w:rPr>
        <w:br/>
      </w:r>
      <w:r w:rsidRPr="00B57FA4">
        <w:rPr>
          <w:rFonts w:ascii="Times New Roman" w:hAnsi="Times New Roman" w:cs="Times New Roman"/>
          <w:b/>
          <w:sz w:val="24"/>
          <w:szCs w:val="24"/>
        </w:rPr>
        <w:t xml:space="preserve">STUDENT NAME: </w:t>
      </w:r>
      <w:r w:rsidRPr="00B57FA4">
        <w:rPr>
          <w:rFonts w:ascii="Times New Roman" w:hAnsi="Times New Roman" w:cs="Times New Roman"/>
          <w:b/>
          <w:color w:val="003366"/>
          <w:sz w:val="24"/>
          <w:szCs w:val="24"/>
        </w:rPr>
        <w:t xml:space="preserve">SHAIK SAMEER          </w:t>
      </w:r>
      <w:r w:rsidRPr="00B57FA4">
        <w:rPr>
          <w:rFonts w:ascii="Times New Roman" w:hAnsi="Times New Roman" w:cs="Times New Roman"/>
          <w:b/>
          <w:sz w:val="24"/>
          <w:szCs w:val="24"/>
        </w:rPr>
        <w:t xml:space="preserve">REGISTER NO: </w:t>
      </w:r>
      <w:r w:rsidRPr="00B57FA4">
        <w:rPr>
          <w:rFonts w:ascii="Times New Roman" w:hAnsi="Times New Roman" w:cs="Times New Roman"/>
          <w:b/>
          <w:color w:val="003366"/>
          <w:sz w:val="24"/>
          <w:szCs w:val="24"/>
        </w:rPr>
        <w:t>192424094</w:t>
      </w:r>
      <w:r w:rsidRPr="00B57FA4">
        <w:rPr>
          <w:rFonts w:ascii="Times New Roman" w:hAnsi="Times New Roman" w:cs="Times New Roman"/>
          <w:b/>
          <w:color w:val="003366"/>
          <w:sz w:val="24"/>
          <w:szCs w:val="24"/>
        </w:rPr>
        <w:br/>
      </w:r>
      <w:r w:rsidRPr="00B57FA4">
        <w:rPr>
          <w:rFonts w:ascii="Times New Roman" w:hAnsi="Times New Roman" w:cs="Times New Roman"/>
          <w:b/>
          <w:sz w:val="24"/>
          <w:szCs w:val="24"/>
        </w:rPr>
        <w:t xml:space="preserve">COURSE OUTCOME COVERED: </w:t>
      </w:r>
      <w:r w:rsidRPr="00B57FA4">
        <w:rPr>
          <w:rFonts w:ascii="Times New Roman" w:hAnsi="Times New Roman" w:cs="Times New Roman"/>
          <w:sz w:val="24"/>
          <w:szCs w:val="24"/>
        </w:rPr>
        <w:t>CO4: Evaluate recognition and learning methods including machine learning and deep learning models (CNNs, GANs, SVM, HMM, etc.) for vision tasks. (BL5)</w:t>
      </w:r>
      <w:r w:rsidRPr="00B57FA4">
        <w:rPr>
          <w:rFonts w:ascii="Times New Roman" w:hAnsi="Times New Roman" w:cs="Times New Roman"/>
          <w:sz w:val="24"/>
          <w:szCs w:val="24"/>
        </w:rPr>
        <w:br/>
      </w:r>
      <w:r w:rsidRPr="00B57FA4">
        <w:rPr>
          <w:rFonts w:ascii="Times New Roman" w:hAnsi="Times New Roman" w:cs="Times New Roman"/>
          <w:b/>
          <w:sz w:val="24"/>
          <w:szCs w:val="24"/>
        </w:rPr>
        <w:t xml:space="preserve">Assessment Weightage: </w:t>
      </w:r>
      <w:r w:rsidRPr="00B57FA4">
        <w:rPr>
          <w:rFonts w:ascii="Times New Roman" w:hAnsi="Times New Roman" w:cs="Times New Roman"/>
          <w:sz w:val="24"/>
          <w:szCs w:val="24"/>
        </w:rPr>
        <w:t xml:space="preserve">20%   |   </w:t>
      </w:r>
      <w:r w:rsidRPr="00B57FA4">
        <w:rPr>
          <w:rFonts w:ascii="Times New Roman" w:hAnsi="Times New Roman" w:cs="Times New Roman"/>
          <w:b/>
          <w:sz w:val="24"/>
          <w:szCs w:val="24"/>
        </w:rPr>
        <w:t xml:space="preserve">Total Questions: </w:t>
      </w:r>
      <w:r w:rsidRPr="00B57FA4">
        <w:rPr>
          <w:rFonts w:ascii="Times New Roman" w:hAnsi="Times New Roman" w:cs="Times New Roman"/>
          <w:sz w:val="24"/>
          <w:szCs w:val="24"/>
        </w:rPr>
        <w:t xml:space="preserve">2   |   </w:t>
      </w:r>
      <w:r w:rsidRPr="00B57FA4">
        <w:rPr>
          <w:rFonts w:ascii="Times New Roman" w:hAnsi="Times New Roman" w:cs="Times New Roman"/>
          <w:b/>
          <w:sz w:val="24"/>
          <w:szCs w:val="24"/>
        </w:rPr>
        <w:t xml:space="preserve">Total Marks: </w:t>
      </w:r>
      <w:r w:rsidRPr="00B57FA4">
        <w:rPr>
          <w:rFonts w:ascii="Times New Roman" w:hAnsi="Times New Roman" w:cs="Times New Roman"/>
          <w:sz w:val="24"/>
          <w:szCs w:val="24"/>
        </w:rPr>
        <w:t>20</w:t>
      </w:r>
      <w:r w:rsidRPr="00B57FA4">
        <w:rPr>
          <w:rFonts w:ascii="Times New Roman" w:hAnsi="Times New Roman" w:cs="Times New Roman"/>
          <w:sz w:val="24"/>
          <w:szCs w:val="24"/>
        </w:rPr>
        <w:br/>
      </w:r>
    </w:p>
    <w:p w14:paraId="48F93310"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color w:val="8B0000"/>
          <w:sz w:val="24"/>
          <w:szCs w:val="24"/>
        </w:rPr>
        <w:t>CODE OF CONDUCT DECLARATION:</w:t>
      </w:r>
      <w:r w:rsidRPr="00B57FA4">
        <w:rPr>
          <w:rFonts w:ascii="Times New Roman" w:hAnsi="Times New Roman" w:cs="Times New Roman"/>
          <w:b/>
          <w:color w:val="8B0000"/>
          <w:sz w:val="24"/>
          <w:szCs w:val="24"/>
        </w:rPr>
        <w:br/>
      </w:r>
      <w:r w:rsidRPr="00B57FA4">
        <w:rPr>
          <w:rFonts w:ascii="Times New Roman" w:hAnsi="Times New Roman" w:cs="Times New Roman"/>
          <w:sz w:val="24"/>
          <w:szCs w:val="24"/>
        </w:rPr>
        <w:t>I, Shaik Sameer (Reg No: 192424094), certify that this submission is my original work and that I have adhered to all academic integrity guidelines specified for this assessment. I understand that any violation of academic rules will result in disciplinary action.</w:t>
      </w:r>
      <w:r w:rsidRPr="00B57FA4">
        <w:rPr>
          <w:rFonts w:ascii="Times New Roman" w:hAnsi="Times New Roman" w:cs="Times New Roman"/>
          <w:sz w:val="24"/>
          <w:szCs w:val="24"/>
        </w:rPr>
        <w:br/>
      </w:r>
      <w:r w:rsidRPr="00B57FA4">
        <w:rPr>
          <w:rFonts w:ascii="Times New Roman" w:hAnsi="Times New Roman" w:cs="Times New Roman"/>
          <w:b/>
          <w:sz w:val="24"/>
          <w:szCs w:val="24"/>
        </w:rPr>
        <w:t xml:space="preserve">Digital Signature: </w:t>
      </w:r>
      <w:r w:rsidRPr="00B57FA4">
        <w:rPr>
          <w:rFonts w:ascii="Times New Roman" w:hAnsi="Times New Roman" w:cs="Times New Roman"/>
          <w:sz w:val="24"/>
          <w:szCs w:val="24"/>
        </w:rPr>
        <w:t>Shaik Sameer (192424094)</w:t>
      </w:r>
      <w:r w:rsidRPr="00B57FA4">
        <w:rPr>
          <w:rFonts w:ascii="Times New Roman" w:hAnsi="Times New Roman" w:cs="Times New Roman"/>
          <w:sz w:val="24"/>
          <w:szCs w:val="24"/>
        </w:rPr>
        <w:br/>
      </w:r>
    </w:p>
    <w:p w14:paraId="1B28C8C1" w14:textId="77777777" w:rsidR="00D82ECF" w:rsidRPr="00B57FA4" w:rsidRDefault="00000000">
      <w:pPr>
        <w:pStyle w:val="Heading2"/>
        <w:rPr>
          <w:rFonts w:ascii="Times New Roman" w:hAnsi="Times New Roman" w:cs="Times New Roman"/>
          <w:sz w:val="24"/>
          <w:szCs w:val="24"/>
        </w:rPr>
      </w:pPr>
      <w:r w:rsidRPr="00B57FA4">
        <w:rPr>
          <w:rFonts w:ascii="Times New Roman" w:hAnsi="Times New Roman" w:cs="Times New Roman"/>
          <w:sz w:val="24"/>
          <w:szCs w:val="24"/>
        </w:rPr>
        <w:t>RUBRICS FOR EVALUATION</w:t>
      </w:r>
    </w:p>
    <w:tbl>
      <w:tblPr>
        <w:tblStyle w:val="TableGrid"/>
        <w:tblW w:w="0" w:type="auto"/>
        <w:tblLook w:val="04A0" w:firstRow="1" w:lastRow="0" w:firstColumn="1" w:lastColumn="0" w:noHBand="0" w:noVBand="1"/>
      </w:tblPr>
      <w:tblGrid>
        <w:gridCol w:w="2056"/>
        <w:gridCol w:w="1581"/>
        <w:gridCol w:w="1669"/>
        <w:gridCol w:w="1598"/>
        <w:gridCol w:w="1627"/>
        <w:gridCol w:w="1621"/>
      </w:tblGrid>
      <w:tr w:rsidR="00D82ECF" w:rsidRPr="00B57FA4" w14:paraId="71CCEBF3" w14:textId="77777777">
        <w:tc>
          <w:tcPr>
            <w:tcW w:w="1656" w:type="dxa"/>
          </w:tcPr>
          <w:p w14:paraId="06AA42B9"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Criteria</w:t>
            </w:r>
          </w:p>
        </w:tc>
        <w:tc>
          <w:tcPr>
            <w:tcW w:w="1656" w:type="dxa"/>
          </w:tcPr>
          <w:p w14:paraId="4CCE65EF"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Weightage</w:t>
            </w:r>
          </w:p>
        </w:tc>
        <w:tc>
          <w:tcPr>
            <w:tcW w:w="1656" w:type="dxa"/>
          </w:tcPr>
          <w:p w14:paraId="25295A8B"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Level 4 (Exemplary)</w:t>
            </w:r>
          </w:p>
        </w:tc>
        <w:tc>
          <w:tcPr>
            <w:tcW w:w="1656" w:type="dxa"/>
          </w:tcPr>
          <w:p w14:paraId="3E833C5F"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Level 3 (Proficient)</w:t>
            </w:r>
          </w:p>
        </w:tc>
        <w:tc>
          <w:tcPr>
            <w:tcW w:w="1656" w:type="dxa"/>
          </w:tcPr>
          <w:p w14:paraId="4BAFD2FD"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Level 2 (Developing)</w:t>
            </w:r>
          </w:p>
        </w:tc>
        <w:tc>
          <w:tcPr>
            <w:tcW w:w="1656" w:type="dxa"/>
          </w:tcPr>
          <w:p w14:paraId="333E22E1"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Level 1 (Beginning)</w:t>
            </w:r>
          </w:p>
        </w:tc>
      </w:tr>
      <w:tr w:rsidR="00D82ECF" w:rsidRPr="00B57FA4" w14:paraId="2A26D012" w14:textId="77777777">
        <w:tc>
          <w:tcPr>
            <w:tcW w:w="1656" w:type="dxa"/>
          </w:tcPr>
          <w:p w14:paraId="5D84BDCA"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Selection of Studies/Parameters</w:t>
            </w:r>
          </w:p>
        </w:tc>
        <w:tc>
          <w:tcPr>
            <w:tcW w:w="1656" w:type="dxa"/>
          </w:tcPr>
          <w:p w14:paraId="4871D99B"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20%</w:t>
            </w:r>
          </w:p>
        </w:tc>
        <w:tc>
          <w:tcPr>
            <w:tcW w:w="1656" w:type="dxa"/>
          </w:tcPr>
          <w:p w14:paraId="52B5E660"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Selects highly relevant and diverse studies with well-defined comparison parameters</w:t>
            </w:r>
          </w:p>
        </w:tc>
        <w:tc>
          <w:tcPr>
            <w:tcW w:w="1656" w:type="dxa"/>
          </w:tcPr>
          <w:p w14:paraId="2753CD43"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Selects relevant studies with minor gaps in parameter definition</w:t>
            </w:r>
          </w:p>
        </w:tc>
        <w:tc>
          <w:tcPr>
            <w:tcW w:w="1656" w:type="dxa"/>
          </w:tcPr>
          <w:p w14:paraId="54F65BC1"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Limited or partially relevant selection</w:t>
            </w:r>
          </w:p>
        </w:tc>
        <w:tc>
          <w:tcPr>
            <w:tcW w:w="1656" w:type="dxa"/>
          </w:tcPr>
          <w:p w14:paraId="0A2AE1D8"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Poor or inappropriate selection of studies</w:t>
            </w:r>
          </w:p>
        </w:tc>
      </w:tr>
      <w:tr w:rsidR="00D82ECF" w:rsidRPr="00B57FA4" w14:paraId="69E6F71A" w14:textId="77777777">
        <w:tc>
          <w:tcPr>
            <w:tcW w:w="1656" w:type="dxa"/>
          </w:tcPr>
          <w:p w14:paraId="2E0909A6"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Comparison &amp; Differentiation</w:t>
            </w:r>
          </w:p>
        </w:tc>
        <w:tc>
          <w:tcPr>
            <w:tcW w:w="1656" w:type="dxa"/>
          </w:tcPr>
          <w:p w14:paraId="2BC3E73E"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25%</w:t>
            </w:r>
          </w:p>
        </w:tc>
        <w:tc>
          <w:tcPr>
            <w:tcW w:w="1656" w:type="dxa"/>
          </w:tcPr>
          <w:p w14:paraId="158B095F"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Clearly compares multiple aspects (methods, results, limitations) with strong differentiation</w:t>
            </w:r>
          </w:p>
        </w:tc>
        <w:tc>
          <w:tcPr>
            <w:tcW w:w="1656" w:type="dxa"/>
          </w:tcPr>
          <w:p w14:paraId="11F33ECE"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Good comparison with minor gaps</w:t>
            </w:r>
          </w:p>
        </w:tc>
        <w:tc>
          <w:tcPr>
            <w:tcW w:w="1656" w:type="dxa"/>
          </w:tcPr>
          <w:p w14:paraId="3BBD2EA4"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Basic comparison with limited depth</w:t>
            </w:r>
          </w:p>
        </w:tc>
        <w:tc>
          <w:tcPr>
            <w:tcW w:w="1656" w:type="dxa"/>
          </w:tcPr>
          <w:p w14:paraId="63B32032"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No clear comparison; mostly descriptive</w:t>
            </w:r>
          </w:p>
        </w:tc>
      </w:tr>
      <w:tr w:rsidR="00D82ECF" w:rsidRPr="00B57FA4" w14:paraId="752EB97C" w14:textId="77777777">
        <w:tc>
          <w:tcPr>
            <w:tcW w:w="1656" w:type="dxa"/>
          </w:tcPr>
          <w:p w14:paraId="5CA29196"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Critical Evaluation</w:t>
            </w:r>
          </w:p>
        </w:tc>
        <w:tc>
          <w:tcPr>
            <w:tcW w:w="1656" w:type="dxa"/>
          </w:tcPr>
          <w:p w14:paraId="63B80BF8"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25%</w:t>
            </w:r>
          </w:p>
        </w:tc>
        <w:tc>
          <w:tcPr>
            <w:tcW w:w="1656" w:type="dxa"/>
          </w:tcPr>
          <w:p w14:paraId="26B01930"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Critically evaluates strengths, weaknesses, and implications with strong justification</w:t>
            </w:r>
          </w:p>
        </w:tc>
        <w:tc>
          <w:tcPr>
            <w:tcW w:w="1656" w:type="dxa"/>
          </w:tcPr>
          <w:p w14:paraId="4CC31616"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Provides evaluation with some justification</w:t>
            </w:r>
          </w:p>
        </w:tc>
        <w:tc>
          <w:tcPr>
            <w:tcW w:w="1656" w:type="dxa"/>
          </w:tcPr>
          <w:p w14:paraId="7333270D"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Limited evaluation; lacks depth</w:t>
            </w:r>
          </w:p>
        </w:tc>
        <w:tc>
          <w:tcPr>
            <w:tcW w:w="1656" w:type="dxa"/>
          </w:tcPr>
          <w:p w14:paraId="0C6E0E7E"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No critical evaluation provided</w:t>
            </w:r>
          </w:p>
        </w:tc>
      </w:tr>
      <w:tr w:rsidR="00D82ECF" w:rsidRPr="00B57FA4" w14:paraId="733F510B" w14:textId="77777777">
        <w:tc>
          <w:tcPr>
            <w:tcW w:w="1656" w:type="dxa"/>
          </w:tcPr>
          <w:p w14:paraId="1C8EAF5A"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Synthesis &amp; Insight Generation</w:t>
            </w:r>
          </w:p>
        </w:tc>
        <w:tc>
          <w:tcPr>
            <w:tcW w:w="1656" w:type="dxa"/>
          </w:tcPr>
          <w:p w14:paraId="28E9D95A"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20%</w:t>
            </w:r>
          </w:p>
        </w:tc>
        <w:tc>
          <w:tcPr>
            <w:tcW w:w="1656" w:type="dxa"/>
          </w:tcPr>
          <w:p w14:paraId="2E441A61"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 xml:space="preserve">Generates meaningful </w:t>
            </w:r>
            <w:r w:rsidRPr="00B57FA4">
              <w:rPr>
                <w:rFonts w:ascii="Times New Roman" w:hAnsi="Times New Roman" w:cs="Times New Roman"/>
                <w:sz w:val="24"/>
                <w:szCs w:val="24"/>
              </w:rPr>
              <w:lastRenderedPageBreak/>
              <w:t>insights and conclusions from comparisons</w:t>
            </w:r>
          </w:p>
        </w:tc>
        <w:tc>
          <w:tcPr>
            <w:tcW w:w="1656" w:type="dxa"/>
          </w:tcPr>
          <w:p w14:paraId="05B4B610"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lastRenderedPageBreak/>
              <w:t xml:space="preserve">Some insights derived from </w:t>
            </w:r>
            <w:r w:rsidRPr="00B57FA4">
              <w:rPr>
                <w:rFonts w:ascii="Times New Roman" w:hAnsi="Times New Roman" w:cs="Times New Roman"/>
                <w:sz w:val="24"/>
                <w:szCs w:val="24"/>
              </w:rPr>
              <w:lastRenderedPageBreak/>
              <w:t>comparison</w:t>
            </w:r>
          </w:p>
        </w:tc>
        <w:tc>
          <w:tcPr>
            <w:tcW w:w="1656" w:type="dxa"/>
          </w:tcPr>
          <w:p w14:paraId="00B9277C"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lastRenderedPageBreak/>
              <w:t xml:space="preserve">Limited or unclear </w:t>
            </w:r>
            <w:r w:rsidRPr="00B57FA4">
              <w:rPr>
                <w:rFonts w:ascii="Times New Roman" w:hAnsi="Times New Roman" w:cs="Times New Roman"/>
                <w:sz w:val="24"/>
                <w:szCs w:val="24"/>
              </w:rPr>
              <w:lastRenderedPageBreak/>
              <w:t>insights</w:t>
            </w:r>
          </w:p>
        </w:tc>
        <w:tc>
          <w:tcPr>
            <w:tcW w:w="1656" w:type="dxa"/>
          </w:tcPr>
          <w:p w14:paraId="5A2C5ED7"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lastRenderedPageBreak/>
              <w:t>No insights generated</w:t>
            </w:r>
          </w:p>
        </w:tc>
      </w:tr>
      <w:tr w:rsidR="00D82ECF" w:rsidRPr="00B57FA4" w14:paraId="651A18F1" w14:textId="77777777">
        <w:tc>
          <w:tcPr>
            <w:tcW w:w="1656" w:type="dxa"/>
          </w:tcPr>
          <w:p w14:paraId="5F1510B9"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Clarity</w:t>
            </w:r>
          </w:p>
        </w:tc>
        <w:tc>
          <w:tcPr>
            <w:tcW w:w="1656" w:type="dxa"/>
          </w:tcPr>
          <w:p w14:paraId="462F819E"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10%</w:t>
            </w:r>
          </w:p>
        </w:tc>
        <w:tc>
          <w:tcPr>
            <w:tcW w:w="1656" w:type="dxa"/>
          </w:tcPr>
          <w:p w14:paraId="278C6045"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Information is clearly presented (tables/figures) with logical structure</w:t>
            </w:r>
          </w:p>
        </w:tc>
        <w:tc>
          <w:tcPr>
            <w:tcW w:w="1656" w:type="dxa"/>
          </w:tcPr>
          <w:p w14:paraId="4F55F0B0"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Generally clear with minor issues</w:t>
            </w:r>
          </w:p>
        </w:tc>
        <w:tc>
          <w:tcPr>
            <w:tcW w:w="1656" w:type="dxa"/>
          </w:tcPr>
          <w:p w14:paraId="2EFF5D91"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Presentation lacks clarity or structure</w:t>
            </w:r>
          </w:p>
        </w:tc>
        <w:tc>
          <w:tcPr>
            <w:tcW w:w="1656" w:type="dxa"/>
          </w:tcPr>
          <w:p w14:paraId="15B53E0C"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Poor presentation and difficult to understand</w:t>
            </w:r>
          </w:p>
        </w:tc>
      </w:tr>
    </w:tbl>
    <w:p w14:paraId="353BB370"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br/>
        <w:t>================================================================================</w:t>
      </w:r>
      <w:r w:rsidRPr="00B57FA4">
        <w:rPr>
          <w:rFonts w:ascii="Times New Roman" w:hAnsi="Times New Roman" w:cs="Times New Roman"/>
          <w:sz w:val="24"/>
          <w:szCs w:val="24"/>
        </w:rPr>
        <w:br/>
      </w:r>
    </w:p>
    <w:p w14:paraId="4E5F9A04" w14:textId="77777777" w:rsidR="00D82ECF" w:rsidRPr="00B57FA4" w:rsidRDefault="00000000">
      <w:pPr>
        <w:pStyle w:val="Heading1"/>
        <w:rPr>
          <w:rFonts w:ascii="Times New Roman" w:hAnsi="Times New Roman" w:cs="Times New Roman"/>
          <w:sz w:val="24"/>
          <w:szCs w:val="24"/>
        </w:rPr>
      </w:pPr>
      <w:r w:rsidRPr="00B57FA4">
        <w:rPr>
          <w:rFonts w:ascii="Times New Roman" w:hAnsi="Times New Roman" w:cs="Times New Roman"/>
          <w:color w:val="1B365D"/>
          <w:sz w:val="24"/>
          <w:szCs w:val="24"/>
        </w:rPr>
        <w:t>QUESTION 1: CNNs vs. Vision Transformers (ViTs) for Object Detection</w:t>
      </w:r>
    </w:p>
    <w:p w14:paraId="44A46C7C"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Scenario: A self-driving car company needs to detect rare urban obstacles (traffic cones, animals, fallen cargo) in real-time using limited labeled datasets.</w:t>
      </w:r>
      <w:r w:rsidRPr="00B57FA4">
        <w:rPr>
          <w:rFonts w:ascii="Times New Roman" w:hAnsi="Times New Roman" w:cs="Times New Roman"/>
          <w:sz w:val="24"/>
          <w:szCs w:val="24"/>
        </w:rPr>
        <w:br/>
      </w:r>
    </w:p>
    <w:p w14:paraId="72E2B380" w14:textId="77777777" w:rsidR="00D82ECF" w:rsidRPr="00B57FA4" w:rsidRDefault="00000000">
      <w:pPr>
        <w:pStyle w:val="Heading2"/>
        <w:rPr>
          <w:rFonts w:ascii="Times New Roman" w:hAnsi="Times New Roman" w:cs="Times New Roman"/>
          <w:sz w:val="24"/>
          <w:szCs w:val="24"/>
        </w:rPr>
      </w:pPr>
      <w:r w:rsidRPr="00B57FA4">
        <w:rPr>
          <w:rFonts w:ascii="Times New Roman" w:hAnsi="Times New Roman" w:cs="Times New Roman"/>
          <w:color w:val="005580"/>
          <w:sz w:val="24"/>
          <w:szCs w:val="24"/>
        </w:rPr>
        <w:t>Part 1: Comparative Parameter Analysis</w:t>
      </w:r>
    </w:p>
    <w:tbl>
      <w:tblPr>
        <w:tblStyle w:val="TableGrid"/>
        <w:tblW w:w="0" w:type="auto"/>
        <w:tblLook w:val="04A0" w:firstRow="1" w:lastRow="0" w:firstColumn="1" w:lastColumn="0" w:noHBand="0" w:noVBand="1"/>
      </w:tblPr>
      <w:tblGrid>
        <w:gridCol w:w="3312"/>
        <w:gridCol w:w="3312"/>
        <w:gridCol w:w="3312"/>
      </w:tblGrid>
      <w:tr w:rsidR="00D82ECF" w:rsidRPr="00B57FA4" w14:paraId="1C8D3038" w14:textId="77777777">
        <w:tc>
          <w:tcPr>
            <w:tcW w:w="3312" w:type="dxa"/>
          </w:tcPr>
          <w:p w14:paraId="7E0D2943"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Parameter / Aspect</w:t>
            </w:r>
          </w:p>
        </w:tc>
        <w:tc>
          <w:tcPr>
            <w:tcW w:w="3312" w:type="dxa"/>
          </w:tcPr>
          <w:p w14:paraId="59F4E19B"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Convolutional Neural Networks (CNNs)</w:t>
            </w:r>
          </w:p>
        </w:tc>
        <w:tc>
          <w:tcPr>
            <w:tcW w:w="3312" w:type="dxa"/>
          </w:tcPr>
          <w:p w14:paraId="227FD14D"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Vision Transformers (ViTs)</w:t>
            </w:r>
          </w:p>
        </w:tc>
      </w:tr>
      <w:tr w:rsidR="00D82ECF" w:rsidRPr="00B57FA4" w14:paraId="09EEC2BE" w14:textId="77777777">
        <w:tc>
          <w:tcPr>
            <w:tcW w:w="3312" w:type="dxa"/>
          </w:tcPr>
          <w:p w14:paraId="6F7FA57D"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Feature Extraction (Local vs. Global Context)</w:t>
            </w:r>
          </w:p>
        </w:tc>
        <w:tc>
          <w:tcPr>
            <w:tcW w:w="3312" w:type="dxa"/>
          </w:tcPr>
          <w:p w14:paraId="0EFCA1C0"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Strong inductive bias (translation invariance &amp; local spatial locality). Convolution kernels (3x3, 5x5) extract local features hierarchically. Receptive field grows linearly O(L) with depth.</w:t>
            </w:r>
          </w:p>
        </w:tc>
        <w:tc>
          <w:tcPr>
            <w:tcW w:w="3312" w:type="dxa"/>
          </w:tcPr>
          <w:p w14:paraId="0CD6079D"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Lacks spatial inductive bias. Multi-Head Self-Attention (MHSA) computes global token interactions across the entire image grid at Layer 1 (</w:t>
            </w:r>
            <w:proofErr w:type="gramStart"/>
            <w:r w:rsidRPr="00B57FA4">
              <w:rPr>
                <w:rFonts w:ascii="Times New Roman" w:hAnsi="Times New Roman" w:cs="Times New Roman"/>
                <w:sz w:val="24"/>
                <w:szCs w:val="24"/>
              </w:rPr>
              <w:t>O(</w:t>
            </w:r>
            <w:proofErr w:type="gramEnd"/>
            <w:r w:rsidRPr="00B57FA4">
              <w:rPr>
                <w:rFonts w:ascii="Times New Roman" w:hAnsi="Times New Roman" w:cs="Times New Roman"/>
                <w:sz w:val="24"/>
                <w:szCs w:val="24"/>
              </w:rPr>
              <w:t>1) global receptive field).</w:t>
            </w:r>
          </w:p>
        </w:tc>
      </w:tr>
      <w:tr w:rsidR="00D82ECF" w:rsidRPr="00B57FA4" w14:paraId="125C22FF" w14:textId="77777777">
        <w:tc>
          <w:tcPr>
            <w:tcW w:w="3312" w:type="dxa"/>
          </w:tcPr>
          <w:p w14:paraId="27B1A90C"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Performance with Small or Sparse Objects</w:t>
            </w:r>
          </w:p>
        </w:tc>
        <w:tc>
          <w:tcPr>
            <w:tcW w:w="3312" w:type="dxa"/>
          </w:tcPr>
          <w:p w14:paraId="65AF09C6"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Highly effective when paired with Feature Pyramid Networks (FPN). High spatial resolution preserved at lower layers (P_3, P_4) detects small obstacles (&lt;= 32x32 px) reliably.</w:t>
            </w:r>
          </w:p>
        </w:tc>
        <w:tc>
          <w:tcPr>
            <w:tcW w:w="3312" w:type="dxa"/>
          </w:tcPr>
          <w:p w14:paraId="0716D7A9"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Standard ViTs struggle due to patchification (e.g. 16x16 patch tokens). Requires multi-scale deformable attention (Deformable DETR) or hierarchical windowing (Swin) for small objects.</w:t>
            </w:r>
          </w:p>
        </w:tc>
      </w:tr>
      <w:tr w:rsidR="00D82ECF" w:rsidRPr="00B57FA4" w14:paraId="25F94D4B" w14:textId="77777777">
        <w:tc>
          <w:tcPr>
            <w:tcW w:w="3312" w:type="dxa"/>
          </w:tcPr>
          <w:p w14:paraId="73B757BE"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Computational Complexity &amp; Edge Speed</w:t>
            </w:r>
          </w:p>
        </w:tc>
        <w:tc>
          <w:tcPr>
            <w:tcW w:w="3312" w:type="dxa"/>
          </w:tcPr>
          <w:p w14:paraId="5BADFC52"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 xml:space="preserve">Linear computational complexity </w:t>
            </w:r>
            <w:proofErr w:type="gramStart"/>
            <w:r w:rsidRPr="00B57FA4">
              <w:rPr>
                <w:rFonts w:ascii="Times New Roman" w:hAnsi="Times New Roman" w:cs="Times New Roman"/>
                <w:sz w:val="24"/>
                <w:szCs w:val="24"/>
              </w:rPr>
              <w:t>O(</w:t>
            </w:r>
            <w:proofErr w:type="gramEnd"/>
            <w:r w:rsidRPr="00B57FA4">
              <w:rPr>
                <w:rFonts w:ascii="Times New Roman" w:hAnsi="Times New Roman" w:cs="Times New Roman"/>
                <w:sz w:val="24"/>
                <w:szCs w:val="24"/>
              </w:rPr>
              <w:t>H * W * K^2 * C). Highly optimized for hardware TensorRT accelerators &amp; INT8 quantization. High FPS (&gt; 60-120 FPS) on embedded edge SoCs.</w:t>
            </w:r>
          </w:p>
        </w:tc>
        <w:tc>
          <w:tcPr>
            <w:tcW w:w="3312" w:type="dxa"/>
          </w:tcPr>
          <w:p w14:paraId="3CB5CFFF"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Quadratic computational complexity O((H*</w:t>
            </w:r>
            <w:proofErr w:type="gramStart"/>
            <w:r w:rsidRPr="00B57FA4">
              <w:rPr>
                <w:rFonts w:ascii="Times New Roman" w:hAnsi="Times New Roman" w:cs="Times New Roman"/>
                <w:sz w:val="24"/>
                <w:szCs w:val="24"/>
              </w:rPr>
              <w:t>W)^</w:t>
            </w:r>
            <w:proofErr w:type="gramEnd"/>
            <w:r w:rsidRPr="00B57FA4">
              <w:rPr>
                <w:rFonts w:ascii="Times New Roman" w:hAnsi="Times New Roman" w:cs="Times New Roman"/>
                <w:sz w:val="24"/>
                <w:szCs w:val="24"/>
              </w:rPr>
              <w:t>2 * d) with spatial image resolution. High memory bandwidth footprint and higher latency (15-30 FPS) on resource-constrained SoCs.</w:t>
            </w:r>
          </w:p>
        </w:tc>
      </w:tr>
    </w:tbl>
    <w:p w14:paraId="6817000C"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lastRenderedPageBreak/>
        <w:br/>
      </w:r>
    </w:p>
    <w:p w14:paraId="5569C957"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Detailed Theoretical Breakdown:</w:t>
      </w:r>
      <w:r w:rsidRPr="00B57FA4">
        <w:rPr>
          <w:rFonts w:ascii="Times New Roman" w:hAnsi="Times New Roman" w:cs="Times New Roman"/>
          <w:sz w:val="24"/>
          <w:szCs w:val="24"/>
        </w:rPr>
        <w:br/>
        <w:t>1. Local vs. Global Context:</w:t>
      </w:r>
      <w:r w:rsidRPr="00B57FA4">
        <w:rPr>
          <w:rFonts w:ascii="Times New Roman" w:hAnsi="Times New Roman" w:cs="Times New Roman"/>
          <w:sz w:val="24"/>
          <w:szCs w:val="24"/>
        </w:rPr>
        <w:br/>
        <w:t xml:space="preserve">   - CNNs (e.g., YOLOv8, ResNet) rely on local weight sharing and spatial locality. The network learns localized features (edges, corners, textures) at early layers and aggregates them into semantic concepts at deeper layers. However, long-range global context requires very deep networks or dilated convolutions.</w:t>
      </w:r>
      <w:r w:rsidRPr="00B57FA4">
        <w:rPr>
          <w:rFonts w:ascii="Times New Roman" w:hAnsi="Times New Roman" w:cs="Times New Roman"/>
          <w:sz w:val="24"/>
          <w:szCs w:val="24"/>
        </w:rPr>
        <w:br/>
        <w:t xml:space="preserve">   - ViTs (e.g., DETR, Swin Transformer) treat an image as a sequence of patch tokens. The self-attention mechanism computes pairwise interactions across all patch tokens simultaneously:</w:t>
      </w:r>
      <w:r w:rsidRPr="00B57FA4">
        <w:rPr>
          <w:rFonts w:ascii="Times New Roman" w:hAnsi="Times New Roman" w:cs="Times New Roman"/>
          <w:sz w:val="24"/>
          <w:szCs w:val="24"/>
        </w:rPr>
        <w:br/>
        <w:t xml:space="preserve">       </w:t>
      </w:r>
      <w:proofErr w:type="gramStart"/>
      <w:r w:rsidRPr="00B57FA4">
        <w:rPr>
          <w:rFonts w:ascii="Times New Roman" w:hAnsi="Times New Roman" w:cs="Times New Roman"/>
          <w:sz w:val="24"/>
          <w:szCs w:val="24"/>
        </w:rPr>
        <w:t>Attention(</w:t>
      </w:r>
      <w:proofErr w:type="gramEnd"/>
      <w:r w:rsidRPr="00B57FA4">
        <w:rPr>
          <w:rFonts w:ascii="Times New Roman" w:hAnsi="Times New Roman" w:cs="Times New Roman"/>
          <w:sz w:val="24"/>
          <w:szCs w:val="24"/>
        </w:rPr>
        <w:t xml:space="preserve">Q, K, V) = </w:t>
      </w:r>
      <w:proofErr w:type="gramStart"/>
      <w:r w:rsidRPr="00B57FA4">
        <w:rPr>
          <w:rFonts w:ascii="Times New Roman" w:hAnsi="Times New Roman" w:cs="Times New Roman"/>
          <w:sz w:val="24"/>
          <w:szCs w:val="24"/>
        </w:rPr>
        <w:t>softmax( (</w:t>
      </w:r>
      <w:proofErr w:type="gramEnd"/>
      <w:r w:rsidRPr="00B57FA4">
        <w:rPr>
          <w:rFonts w:ascii="Times New Roman" w:hAnsi="Times New Roman" w:cs="Times New Roman"/>
          <w:sz w:val="24"/>
          <w:szCs w:val="24"/>
        </w:rPr>
        <w:t>Q * K^T) / sqrt(d_k</w:t>
      </w:r>
      <w:proofErr w:type="gramStart"/>
      <w:r w:rsidRPr="00B57FA4">
        <w:rPr>
          <w:rFonts w:ascii="Times New Roman" w:hAnsi="Times New Roman" w:cs="Times New Roman"/>
          <w:sz w:val="24"/>
          <w:szCs w:val="24"/>
        </w:rPr>
        <w:t>) )</w:t>
      </w:r>
      <w:proofErr w:type="gramEnd"/>
      <w:r w:rsidRPr="00B57FA4">
        <w:rPr>
          <w:rFonts w:ascii="Times New Roman" w:hAnsi="Times New Roman" w:cs="Times New Roman"/>
          <w:sz w:val="24"/>
          <w:szCs w:val="24"/>
        </w:rPr>
        <w:t xml:space="preserve"> * V</w:t>
      </w:r>
      <w:r w:rsidRPr="00B57FA4">
        <w:rPr>
          <w:rFonts w:ascii="Times New Roman" w:hAnsi="Times New Roman" w:cs="Times New Roman"/>
          <w:sz w:val="24"/>
          <w:szCs w:val="24"/>
        </w:rPr>
        <w:br/>
        <w:t xml:space="preserve">     This allows ViTs to instantly leverage environmental context (e.g., road surface context predicting an obstacle) at early layers.</w:t>
      </w:r>
      <w:r w:rsidRPr="00B57FA4">
        <w:rPr>
          <w:rFonts w:ascii="Times New Roman" w:hAnsi="Times New Roman" w:cs="Times New Roman"/>
          <w:sz w:val="24"/>
          <w:szCs w:val="24"/>
        </w:rPr>
        <w:br/>
      </w:r>
      <w:r w:rsidRPr="00B57FA4">
        <w:rPr>
          <w:rFonts w:ascii="Times New Roman" w:hAnsi="Times New Roman" w:cs="Times New Roman"/>
          <w:sz w:val="24"/>
          <w:szCs w:val="24"/>
        </w:rPr>
        <w:br/>
        <w:t>2. Small/Sparse Object Resolution:</w:t>
      </w:r>
      <w:r w:rsidRPr="00B57FA4">
        <w:rPr>
          <w:rFonts w:ascii="Times New Roman" w:hAnsi="Times New Roman" w:cs="Times New Roman"/>
          <w:sz w:val="24"/>
          <w:szCs w:val="24"/>
        </w:rPr>
        <w:br/>
        <w:t xml:space="preserve">   - Small obstacles like traffic cones or small animals occupy very few pixels (e.g., 16x16 or 32x32 pixels in a 1024x768 image). CNNs with Feature Pyramid Networks (FPN) preserve fine-grained spatial feature maps at higher resolutions, making them superior at localizing small objects.</w:t>
      </w:r>
      <w:r w:rsidRPr="00B57FA4">
        <w:rPr>
          <w:rFonts w:ascii="Times New Roman" w:hAnsi="Times New Roman" w:cs="Times New Roman"/>
          <w:sz w:val="24"/>
          <w:szCs w:val="24"/>
        </w:rPr>
        <w:br/>
        <w:t xml:space="preserve">   - ViTs divide images into coarse non-overlapping patches (e.g., 16x16 pixels). If an obstacle is smaller than a single patch, its features get blurred across the patch embedding. Hierarchical ViTs (Swin Transformer) mitigate this via shifted window attention.</w:t>
      </w:r>
      <w:r w:rsidRPr="00B57FA4">
        <w:rPr>
          <w:rFonts w:ascii="Times New Roman" w:hAnsi="Times New Roman" w:cs="Times New Roman"/>
          <w:sz w:val="24"/>
          <w:szCs w:val="24"/>
        </w:rPr>
        <w:br/>
      </w:r>
      <w:r w:rsidRPr="00B57FA4">
        <w:rPr>
          <w:rFonts w:ascii="Times New Roman" w:hAnsi="Times New Roman" w:cs="Times New Roman"/>
          <w:sz w:val="24"/>
          <w:szCs w:val="24"/>
        </w:rPr>
        <w:br/>
        <w:t>3. Embedded Edge Hardware Complexity:</w:t>
      </w:r>
      <w:r w:rsidRPr="00B57FA4">
        <w:rPr>
          <w:rFonts w:ascii="Times New Roman" w:hAnsi="Times New Roman" w:cs="Times New Roman"/>
          <w:sz w:val="24"/>
          <w:szCs w:val="24"/>
        </w:rPr>
        <w:br/>
        <w:t xml:space="preserve">   - On embedded automotive SoCs (e.g., NVIDIA Jetson AGX Orin, Qualcomm Snapdragon Ride), CNN operations (3x3 convolutions) map directly onto specialized Tensor Cores and DLA hardware. CNN memory bandwidth consumption is linear with input dimensions O(N).</w:t>
      </w:r>
      <w:r w:rsidRPr="00B57FA4">
        <w:rPr>
          <w:rFonts w:ascii="Times New Roman" w:hAnsi="Times New Roman" w:cs="Times New Roman"/>
          <w:sz w:val="24"/>
          <w:szCs w:val="24"/>
        </w:rPr>
        <w:br/>
        <w:t xml:space="preserve">   - Standard ViT self-attention matrix multiplication grows quadratically O(N^2) with the number of tokens N = (H*W)/P^2, leading to memory bandwidth bottlenecks and higher power consumption on embedded hardware.</w:t>
      </w:r>
    </w:p>
    <w:p w14:paraId="565DE78B" w14:textId="77777777" w:rsidR="00D82ECF" w:rsidRPr="00B57FA4" w:rsidRDefault="00000000">
      <w:pPr>
        <w:pStyle w:val="Heading2"/>
        <w:rPr>
          <w:rFonts w:ascii="Times New Roman" w:hAnsi="Times New Roman" w:cs="Times New Roman"/>
          <w:sz w:val="24"/>
          <w:szCs w:val="24"/>
        </w:rPr>
      </w:pPr>
      <w:r w:rsidRPr="00B57FA4">
        <w:rPr>
          <w:rFonts w:ascii="Times New Roman" w:hAnsi="Times New Roman" w:cs="Times New Roman"/>
          <w:color w:val="005580"/>
          <w:sz w:val="24"/>
          <w:szCs w:val="24"/>
        </w:rPr>
        <w:t>Part 2: Real-time Deployment &amp; Performance Enhancement Analysis</w:t>
      </w:r>
    </w:p>
    <w:p w14:paraId="6B88B0A3"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1. Real-Time Deployment Recommendation:</w:t>
      </w:r>
      <w:r w:rsidRPr="00B57FA4">
        <w:rPr>
          <w:rFonts w:ascii="Times New Roman" w:hAnsi="Times New Roman" w:cs="Times New Roman"/>
          <w:sz w:val="24"/>
          <w:szCs w:val="24"/>
        </w:rPr>
        <w:br/>
        <w:t xml:space="preserve">   - Verdict: CNNs (or Hybrid CNN-ViT architectures like Swin-YOLO / MobileViT) are significantly better suited for real-time deployment on self-driving car embedded SoCs.</w:t>
      </w:r>
      <w:r w:rsidRPr="00B57FA4">
        <w:rPr>
          <w:rFonts w:ascii="Times New Roman" w:hAnsi="Times New Roman" w:cs="Times New Roman"/>
          <w:sz w:val="24"/>
          <w:szCs w:val="24"/>
        </w:rPr>
        <w:br/>
        <w:t xml:space="preserve">   - Justification: Autonomous driving demands strict sub-30ms latency (&gt;= 30-60 FPS) and deterministic execution. CNNs deliver predictable linear execution, lower memory overhead, and mature INT8 TensorRT quantization support.</w:t>
      </w:r>
      <w:r w:rsidRPr="00B57FA4">
        <w:rPr>
          <w:rFonts w:ascii="Times New Roman" w:hAnsi="Times New Roman" w:cs="Times New Roman"/>
          <w:sz w:val="24"/>
          <w:szCs w:val="24"/>
        </w:rPr>
        <w:br/>
      </w:r>
      <w:r w:rsidRPr="00B57FA4">
        <w:rPr>
          <w:rFonts w:ascii="Times New Roman" w:hAnsi="Times New Roman" w:cs="Times New Roman"/>
          <w:sz w:val="24"/>
          <w:szCs w:val="24"/>
        </w:rPr>
        <w:br/>
        <w:t>2. Impact of Transfer Learning:</w:t>
      </w:r>
      <w:r w:rsidRPr="00B57FA4">
        <w:rPr>
          <w:rFonts w:ascii="Times New Roman" w:hAnsi="Times New Roman" w:cs="Times New Roman"/>
          <w:sz w:val="24"/>
          <w:szCs w:val="24"/>
        </w:rPr>
        <w:br/>
        <w:t xml:space="preserve">   - ViTs lack inductive bias and overfit heavily when trained from scratch on small datasets (500-1000 images). Pre-training ViTs on large datasets (ImageNet-22K, COCO) and fine-tuning via transfer learning is mandatory.</w:t>
      </w:r>
      <w:r w:rsidRPr="00B57FA4">
        <w:rPr>
          <w:rFonts w:ascii="Times New Roman" w:hAnsi="Times New Roman" w:cs="Times New Roman"/>
          <w:sz w:val="24"/>
          <w:szCs w:val="24"/>
        </w:rPr>
        <w:br/>
      </w:r>
      <w:r w:rsidRPr="00B57FA4">
        <w:rPr>
          <w:rFonts w:ascii="Times New Roman" w:hAnsi="Times New Roman" w:cs="Times New Roman"/>
          <w:sz w:val="24"/>
          <w:szCs w:val="24"/>
        </w:rPr>
        <w:lastRenderedPageBreak/>
        <w:t xml:space="preserve">   - CNNs generalize much better on small datasets due to built-in translational invariance, but transfer learning still boosts precision by 25-30%.</w:t>
      </w:r>
      <w:r w:rsidRPr="00B57FA4">
        <w:rPr>
          <w:rFonts w:ascii="Times New Roman" w:hAnsi="Times New Roman" w:cs="Times New Roman"/>
          <w:sz w:val="24"/>
          <w:szCs w:val="24"/>
        </w:rPr>
        <w:br/>
      </w:r>
      <w:r w:rsidRPr="00B57FA4">
        <w:rPr>
          <w:rFonts w:ascii="Times New Roman" w:hAnsi="Times New Roman" w:cs="Times New Roman"/>
          <w:sz w:val="24"/>
          <w:szCs w:val="24"/>
        </w:rPr>
        <w:br/>
        <w:t>3. Impact of Data Augmentation &amp; Generative AI (GANs / Diffusion):</w:t>
      </w:r>
      <w:r w:rsidRPr="00B57FA4">
        <w:rPr>
          <w:rFonts w:ascii="Times New Roman" w:hAnsi="Times New Roman" w:cs="Times New Roman"/>
          <w:sz w:val="24"/>
          <w:szCs w:val="24"/>
        </w:rPr>
        <w:br/>
        <w:t xml:space="preserve">   - Generative Augmentation (cGANs / Diffusion Models): Synthesize photo-realistic rare obstacles (rare animals, fallen debris) embedded into urban road scenes under varying weather (rain, fog, night). Expands small datasets (500 -&gt; 5,000 images), increasing rare obstacle detection recall by &gt; 35%.</w:t>
      </w:r>
      <w:r w:rsidRPr="00B57FA4">
        <w:rPr>
          <w:rFonts w:ascii="Times New Roman" w:hAnsi="Times New Roman" w:cs="Times New Roman"/>
          <w:sz w:val="24"/>
          <w:szCs w:val="24"/>
        </w:rPr>
        <w:br/>
        <w:t xml:space="preserve">   - Traditional Augmentations: Mosaic, MixUp, and RandAugment break background memorization and enforce invariance to lighting and scale.</w:t>
      </w:r>
    </w:p>
    <w:p w14:paraId="75ED41B1"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br/>
        <w:t>------------------------------------------------------------</w:t>
      </w:r>
      <w:r w:rsidRPr="00B57FA4">
        <w:rPr>
          <w:rFonts w:ascii="Times New Roman" w:hAnsi="Times New Roman" w:cs="Times New Roman"/>
          <w:sz w:val="24"/>
          <w:szCs w:val="24"/>
        </w:rPr>
        <w:br/>
      </w:r>
    </w:p>
    <w:p w14:paraId="29FE1378" w14:textId="77777777" w:rsidR="00D82ECF" w:rsidRPr="00B57FA4" w:rsidRDefault="00000000">
      <w:pPr>
        <w:pStyle w:val="Heading1"/>
        <w:rPr>
          <w:rFonts w:ascii="Times New Roman" w:hAnsi="Times New Roman" w:cs="Times New Roman"/>
          <w:sz w:val="24"/>
          <w:szCs w:val="24"/>
        </w:rPr>
      </w:pPr>
      <w:r w:rsidRPr="00B57FA4">
        <w:rPr>
          <w:rFonts w:ascii="Times New Roman" w:hAnsi="Times New Roman" w:cs="Times New Roman"/>
          <w:color w:val="1B365D"/>
          <w:sz w:val="24"/>
          <w:szCs w:val="24"/>
        </w:rPr>
        <w:t>QUESTION 2: PCA-Based Shape Priors vs. Graph-Based Learning for 3D Shape Correspondence</w:t>
      </w:r>
    </w:p>
    <w:p w14:paraId="133DB94A"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Scenario: An animation studio is aligning 3D human face meshes for morphing applications. Meshes vary in topology and vertex density (5,000 to 50,000 vertices).</w:t>
      </w:r>
      <w:r w:rsidRPr="00B57FA4">
        <w:rPr>
          <w:rFonts w:ascii="Times New Roman" w:hAnsi="Times New Roman" w:cs="Times New Roman"/>
          <w:sz w:val="24"/>
          <w:szCs w:val="24"/>
        </w:rPr>
        <w:br/>
      </w:r>
    </w:p>
    <w:p w14:paraId="41FA056E" w14:textId="77777777" w:rsidR="00D82ECF" w:rsidRPr="00B57FA4" w:rsidRDefault="00000000">
      <w:pPr>
        <w:pStyle w:val="Heading2"/>
        <w:rPr>
          <w:rFonts w:ascii="Times New Roman" w:hAnsi="Times New Roman" w:cs="Times New Roman"/>
          <w:sz w:val="24"/>
          <w:szCs w:val="24"/>
        </w:rPr>
      </w:pPr>
      <w:r w:rsidRPr="00B57FA4">
        <w:rPr>
          <w:rFonts w:ascii="Times New Roman" w:hAnsi="Times New Roman" w:cs="Times New Roman"/>
          <w:color w:val="005580"/>
          <w:sz w:val="24"/>
          <w:szCs w:val="24"/>
        </w:rPr>
        <w:t>Part 1: Comparative Parameter Analysis</w:t>
      </w:r>
    </w:p>
    <w:tbl>
      <w:tblPr>
        <w:tblStyle w:val="TableGrid"/>
        <w:tblW w:w="0" w:type="auto"/>
        <w:tblLook w:val="04A0" w:firstRow="1" w:lastRow="0" w:firstColumn="1" w:lastColumn="0" w:noHBand="0" w:noVBand="1"/>
      </w:tblPr>
      <w:tblGrid>
        <w:gridCol w:w="3312"/>
        <w:gridCol w:w="3312"/>
        <w:gridCol w:w="3312"/>
      </w:tblGrid>
      <w:tr w:rsidR="00D82ECF" w:rsidRPr="00B57FA4" w14:paraId="658FF1B2" w14:textId="77777777">
        <w:tc>
          <w:tcPr>
            <w:tcW w:w="3312" w:type="dxa"/>
          </w:tcPr>
          <w:p w14:paraId="2FAF139F"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Parameter / Aspect</w:t>
            </w:r>
          </w:p>
        </w:tc>
        <w:tc>
          <w:tcPr>
            <w:tcW w:w="3312" w:type="dxa"/>
          </w:tcPr>
          <w:p w14:paraId="6A907940"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PCA-Based Shape Priors (ASM / 3DMM)</w:t>
            </w:r>
          </w:p>
        </w:tc>
        <w:tc>
          <w:tcPr>
            <w:tcW w:w="3312" w:type="dxa"/>
          </w:tcPr>
          <w:p w14:paraId="438878D2"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b/>
                <w:sz w:val="24"/>
                <w:szCs w:val="24"/>
              </w:rPr>
              <w:t>Graph-Based Learning (GNNs / Functional Maps)</w:t>
            </w:r>
          </w:p>
        </w:tc>
      </w:tr>
      <w:tr w:rsidR="00D82ECF" w:rsidRPr="00B57FA4" w14:paraId="7C1AB2E8" w14:textId="77777777">
        <w:tc>
          <w:tcPr>
            <w:tcW w:w="3312" w:type="dxa"/>
          </w:tcPr>
          <w:p w14:paraId="5E381899"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Ability to Handle Non-Rigid Deformations</w:t>
            </w:r>
          </w:p>
        </w:tc>
        <w:tc>
          <w:tcPr>
            <w:tcW w:w="3312" w:type="dxa"/>
          </w:tcPr>
          <w:p w14:paraId="291484BE"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Restricted to linear Gaussian subspace deformations (s = s_bar + P_t * b). Fails to capture non-linear localized facial expression changes (e.g. asymmetrical smile, wide mouth opening) without introducing shape artifacts.</w:t>
            </w:r>
          </w:p>
        </w:tc>
        <w:tc>
          <w:tcPr>
            <w:tcW w:w="3312" w:type="dxa"/>
          </w:tcPr>
          <w:p w14:paraId="13353ABA"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Operates directly on non-Euclidean manifold surfaces G=(</w:t>
            </w:r>
            <w:proofErr w:type="gramStart"/>
            <w:r w:rsidRPr="00B57FA4">
              <w:rPr>
                <w:rFonts w:ascii="Times New Roman" w:hAnsi="Times New Roman" w:cs="Times New Roman"/>
                <w:sz w:val="24"/>
                <w:szCs w:val="24"/>
              </w:rPr>
              <w:t>V,E</w:t>
            </w:r>
            <w:proofErr w:type="gramEnd"/>
            <w:r w:rsidRPr="00B57FA4">
              <w:rPr>
                <w:rFonts w:ascii="Times New Roman" w:hAnsi="Times New Roman" w:cs="Times New Roman"/>
                <w:sz w:val="24"/>
                <w:szCs w:val="24"/>
              </w:rPr>
              <w:t>). Uses non-linear graph convolutions and spectral Laplace-Beltrami Operator (LBO) eigenfunctions to model arbitrary non-rigid isometric and non-isometric deformations.</w:t>
            </w:r>
          </w:p>
        </w:tc>
      </w:tr>
      <w:tr w:rsidR="00D82ECF" w:rsidRPr="00B57FA4" w14:paraId="2A7EEEA7" w14:textId="77777777">
        <w:tc>
          <w:tcPr>
            <w:tcW w:w="3312" w:type="dxa"/>
          </w:tcPr>
          <w:p w14:paraId="274E571C"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Robustness to Mesh Resolutions &amp; Noise</w:t>
            </w:r>
          </w:p>
        </w:tc>
        <w:tc>
          <w:tcPr>
            <w:tcW w:w="3312" w:type="dxa"/>
          </w:tcPr>
          <w:p w14:paraId="03708526"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Extremely sensitive to vertex ordering and mesh topology. Requires strict 1-to-1 point registration and fixed vertex count K across all meshes. Fails completely if vertex counts vary (5,000 vs 50,000 vertices).</w:t>
            </w:r>
          </w:p>
        </w:tc>
        <w:tc>
          <w:tcPr>
            <w:tcW w:w="3312" w:type="dxa"/>
          </w:tcPr>
          <w:p w14:paraId="0EB0AA38"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Highly robust to varying mesh resolutions, discretization, and noise. DiffusionNet &amp; Functional Maps operate in spectral space (C in R</w:t>
            </w:r>
            <w:proofErr w:type="gramStart"/>
            <w:r w:rsidRPr="00B57FA4">
              <w:rPr>
                <w:rFonts w:ascii="Times New Roman" w:hAnsi="Times New Roman" w:cs="Times New Roman"/>
                <w:sz w:val="24"/>
                <w:szCs w:val="24"/>
              </w:rPr>
              <w:t>^(</w:t>
            </w:r>
            <w:proofErr w:type="gramEnd"/>
            <w:r w:rsidRPr="00B57FA4">
              <w:rPr>
                <w:rFonts w:ascii="Times New Roman" w:hAnsi="Times New Roman" w:cs="Times New Roman"/>
                <w:sz w:val="24"/>
                <w:szCs w:val="24"/>
              </w:rPr>
              <w:t>k x k)), making correspondence matching independent of mesh vertex density.</w:t>
            </w:r>
          </w:p>
        </w:tc>
      </w:tr>
      <w:tr w:rsidR="00D82ECF" w:rsidRPr="00B57FA4" w14:paraId="617181B9" w14:textId="77777777">
        <w:tc>
          <w:tcPr>
            <w:tcW w:w="3312" w:type="dxa"/>
          </w:tcPr>
          <w:p w14:paraId="62963B02"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Ease of Implementation &amp; Computational Cost</w:t>
            </w:r>
          </w:p>
        </w:tc>
        <w:tc>
          <w:tcPr>
            <w:tcW w:w="3312" w:type="dxa"/>
          </w:tcPr>
          <w:p w14:paraId="38629A5D"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 xml:space="preserve">Simple mathematical formulation based on SVD / Eigen-decomposition. Very easy to implement with ultra-low inference latency </w:t>
            </w:r>
            <w:proofErr w:type="gramStart"/>
            <w:r w:rsidRPr="00B57FA4">
              <w:rPr>
                <w:rFonts w:ascii="Times New Roman" w:hAnsi="Times New Roman" w:cs="Times New Roman"/>
                <w:sz w:val="24"/>
                <w:szCs w:val="24"/>
              </w:rPr>
              <w:t>O(</w:t>
            </w:r>
            <w:proofErr w:type="gramEnd"/>
            <w:r w:rsidRPr="00B57FA4">
              <w:rPr>
                <w:rFonts w:ascii="Times New Roman" w:hAnsi="Times New Roman" w:cs="Times New Roman"/>
                <w:sz w:val="24"/>
                <w:szCs w:val="24"/>
              </w:rPr>
              <w:t xml:space="preserve">K * t) </w:t>
            </w:r>
            <w:r w:rsidRPr="00B57FA4">
              <w:rPr>
                <w:rFonts w:ascii="Times New Roman" w:hAnsi="Times New Roman" w:cs="Times New Roman"/>
                <w:sz w:val="24"/>
                <w:szCs w:val="24"/>
              </w:rPr>
              <w:lastRenderedPageBreak/>
              <w:t>matrix-vector multiplication.</w:t>
            </w:r>
          </w:p>
        </w:tc>
        <w:tc>
          <w:tcPr>
            <w:tcW w:w="3312" w:type="dxa"/>
          </w:tcPr>
          <w:p w14:paraId="39C8A512"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lastRenderedPageBreak/>
              <w:t xml:space="preserve">Higher implementation complexity (requires differential geometry setup, Cotan-Laplacian construction, GNN training). Higher training </w:t>
            </w:r>
            <w:r w:rsidRPr="00B57FA4">
              <w:rPr>
                <w:rFonts w:ascii="Times New Roman" w:hAnsi="Times New Roman" w:cs="Times New Roman"/>
                <w:sz w:val="24"/>
                <w:szCs w:val="24"/>
              </w:rPr>
              <w:lastRenderedPageBreak/>
              <w:t xml:space="preserve">cost, but fast inference </w:t>
            </w:r>
            <w:proofErr w:type="gramStart"/>
            <w:r w:rsidRPr="00B57FA4">
              <w:rPr>
                <w:rFonts w:ascii="Times New Roman" w:hAnsi="Times New Roman" w:cs="Times New Roman"/>
                <w:sz w:val="24"/>
                <w:szCs w:val="24"/>
              </w:rPr>
              <w:t>O(</w:t>
            </w:r>
            <w:proofErr w:type="gramEnd"/>
            <w:r w:rsidRPr="00B57FA4">
              <w:rPr>
                <w:rFonts w:ascii="Times New Roman" w:hAnsi="Times New Roman" w:cs="Times New Roman"/>
                <w:sz w:val="24"/>
                <w:szCs w:val="24"/>
              </w:rPr>
              <w:t>V * d) GNN forward pass.</w:t>
            </w:r>
          </w:p>
        </w:tc>
      </w:tr>
    </w:tbl>
    <w:p w14:paraId="5A8A7C68"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lastRenderedPageBreak/>
        <w:br/>
      </w:r>
    </w:p>
    <w:p w14:paraId="0DD398B2" w14:textId="77777777" w:rsidR="00D82ECF" w:rsidRPr="00B57FA4" w:rsidRDefault="00000000">
      <w:pPr>
        <w:rPr>
          <w:rFonts w:ascii="Times New Roman" w:hAnsi="Times New Roman" w:cs="Times New Roman"/>
          <w:sz w:val="24"/>
          <w:szCs w:val="24"/>
        </w:rPr>
      </w:pPr>
      <w:r w:rsidRPr="00B57FA4">
        <w:rPr>
          <w:rFonts w:ascii="Times New Roman" w:hAnsi="Times New Roman" w:cs="Times New Roman"/>
          <w:sz w:val="24"/>
          <w:szCs w:val="24"/>
        </w:rPr>
        <w:t>Detailed Theoretical Breakdown:</w:t>
      </w:r>
      <w:r w:rsidRPr="00B57FA4">
        <w:rPr>
          <w:rFonts w:ascii="Times New Roman" w:hAnsi="Times New Roman" w:cs="Times New Roman"/>
          <w:sz w:val="24"/>
          <w:szCs w:val="24"/>
        </w:rPr>
        <w:br/>
        <w:t>1. Non-Rigid Deformation Modeling:</w:t>
      </w:r>
      <w:r w:rsidRPr="00B57FA4">
        <w:rPr>
          <w:rFonts w:ascii="Times New Roman" w:hAnsi="Times New Roman" w:cs="Times New Roman"/>
          <w:sz w:val="24"/>
          <w:szCs w:val="24"/>
        </w:rPr>
        <w:br/>
        <w:t xml:space="preserve">   - PCA-Based Models (Active Shape Models / 3D Morphable Models) assume linear Gaussian shape variations centered around a mean face: s = s_bar + sum_{i=1}^t b_i * p_i. Non-rigid, highly localized deformations (e.g., mouth opening, lip puckering, eyebrow raising) require non-linear combinations that linear PCA cannot represent, causing smoothed or distorted shapes.</w:t>
      </w:r>
      <w:r w:rsidRPr="00B57FA4">
        <w:rPr>
          <w:rFonts w:ascii="Times New Roman" w:hAnsi="Times New Roman" w:cs="Times New Roman"/>
          <w:sz w:val="24"/>
          <w:szCs w:val="24"/>
        </w:rPr>
        <w:br/>
        <w:t xml:space="preserve">   - Graph-Based Learning (e.g., DiffusionNet, SplineCNN, Spectral Functional Maps) constructs the mesh Cotan-Laplacian operator L = D^(-1) * W and computes spectral Laplace-Beltrami Operator (LBO) eigenfunctions L * Phi = Phi * Lambda. Graph Convolutions learn non-linear surface features directly on non-Euclidean manifold surfaces, accurately modeling extreme facial expressions.</w:t>
      </w:r>
      <w:r w:rsidRPr="00B57FA4">
        <w:rPr>
          <w:rFonts w:ascii="Times New Roman" w:hAnsi="Times New Roman" w:cs="Times New Roman"/>
          <w:sz w:val="24"/>
          <w:szCs w:val="24"/>
        </w:rPr>
        <w:br/>
      </w:r>
      <w:r w:rsidRPr="00B57FA4">
        <w:rPr>
          <w:rFonts w:ascii="Times New Roman" w:hAnsi="Times New Roman" w:cs="Times New Roman"/>
          <w:sz w:val="24"/>
          <w:szCs w:val="24"/>
        </w:rPr>
        <w:br/>
        <w:t>2. Topology &amp; Mesh Resolution Independence:</w:t>
      </w:r>
      <w:r w:rsidRPr="00B57FA4">
        <w:rPr>
          <w:rFonts w:ascii="Times New Roman" w:hAnsi="Times New Roman" w:cs="Times New Roman"/>
          <w:sz w:val="24"/>
          <w:szCs w:val="24"/>
        </w:rPr>
        <w:br/>
        <w:t xml:space="preserve">   - PCA requires fixed vertex indexing and constant vertex count K across all meshes. If Mesh A has 5,000 vertices and Mesh B has 50,000 vertices, PCA cannot be applied directly without uniform re-meshing.</w:t>
      </w:r>
      <w:r w:rsidRPr="00B57FA4">
        <w:rPr>
          <w:rFonts w:ascii="Times New Roman" w:hAnsi="Times New Roman" w:cs="Times New Roman"/>
          <w:sz w:val="24"/>
          <w:szCs w:val="24"/>
        </w:rPr>
        <w:br/>
        <w:t xml:space="preserve">   - Functional Maps compute a compact transformation matrix C in R</w:t>
      </w:r>
      <w:proofErr w:type="gramStart"/>
      <w:r w:rsidRPr="00B57FA4">
        <w:rPr>
          <w:rFonts w:ascii="Times New Roman" w:hAnsi="Times New Roman" w:cs="Times New Roman"/>
          <w:sz w:val="24"/>
          <w:szCs w:val="24"/>
        </w:rPr>
        <w:t>^(</w:t>
      </w:r>
      <w:proofErr w:type="gramEnd"/>
      <w:r w:rsidRPr="00B57FA4">
        <w:rPr>
          <w:rFonts w:ascii="Times New Roman" w:hAnsi="Times New Roman" w:cs="Times New Roman"/>
          <w:sz w:val="24"/>
          <w:szCs w:val="24"/>
        </w:rPr>
        <w:t>k x k) mapping continuous scalar spectral basis functions (k=</w:t>
      </w:r>
      <w:proofErr w:type="gramStart"/>
      <w:r w:rsidRPr="00B57FA4">
        <w:rPr>
          <w:rFonts w:ascii="Times New Roman" w:hAnsi="Times New Roman" w:cs="Times New Roman"/>
          <w:sz w:val="24"/>
          <w:szCs w:val="24"/>
        </w:rPr>
        <w:t>30..</w:t>
      </w:r>
      <w:proofErr w:type="gramEnd"/>
      <w:r w:rsidRPr="00B57FA4">
        <w:rPr>
          <w:rFonts w:ascii="Times New Roman" w:hAnsi="Times New Roman" w:cs="Times New Roman"/>
          <w:sz w:val="24"/>
          <w:szCs w:val="24"/>
        </w:rPr>
        <w:t>50 eigenfunctions) between surfaces, completely decoupling point correspondence from discrete mesh triangulation and vertex density.</w:t>
      </w:r>
      <w:r w:rsidRPr="00B57FA4">
        <w:rPr>
          <w:rFonts w:ascii="Times New Roman" w:hAnsi="Times New Roman" w:cs="Times New Roman"/>
          <w:sz w:val="24"/>
          <w:szCs w:val="24"/>
        </w:rPr>
        <w:br/>
      </w:r>
      <w:r w:rsidRPr="00B57FA4">
        <w:rPr>
          <w:rFonts w:ascii="Times New Roman" w:hAnsi="Times New Roman" w:cs="Times New Roman"/>
          <w:sz w:val="24"/>
          <w:szCs w:val="24"/>
        </w:rPr>
        <w:br/>
        <w:t>3. Implementation Complexity &amp; Processing Overhead:</w:t>
      </w:r>
      <w:r w:rsidRPr="00B57FA4">
        <w:rPr>
          <w:rFonts w:ascii="Times New Roman" w:hAnsi="Times New Roman" w:cs="Times New Roman"/>
          <w:sz w:val="24"/>
          <w:szCs w:val="24"/>
        </w:rPr>
        <w:br/>
        <w:t xml:space="preserve">   - PCA requires basic linear algebra (SVD) and runs instantly on standard CPUs.</w:t>
      </w:r>
      <w:r w:rsidRPr="00B57FA4">
        <w:rPr>
          <w:rFonts w:ascii="Times New Roman" w:hAnsi="Times New Roman" w:cs="Times New Roman"/>
          <w:sz w:val="24"/>
          <w:szCs w:val="24"/>
        </w:rPr>
        <w:br/>
        <w:t xml:space="preserve">   - Graph Neural Networks require continuous manifold differential operators and GPU training, but provide end-to-end dense point correspondence inference.</w:t>
      </w:r>
    </w:p>
    <w:p w14:paraId="0995A242" w14:textId="77777777" w:rsidR="00D82ECF" w:rsidRPr="00B57FA4" w:rsidRDefault="00000000">
      <w:pPr>
        <w:pStyle w:val="Heading2"/>
        <w:rPr>
          <w:rFonts w:ascii="Times New Roman" w:hAnsi="Times New Roman" w:cs="Times New Roman"/>
          <w:sz w:val="24"/>
          <w:szCs w:val="24"/>
        </w:rPr>
      </w:pPr>
      <w:r w:rsidRPr="00B57FA4">
        <w:rPr>
          <w:rFonts w:ascii="Times New Roman" w:hAnsi="Times New Roman" w:cs="Times New Roman"/>
          <w:color w:val="005580"/>
          <w:sz w:val="24"/>
          <w:szCs w:val="24"/>
        </w:rPr>
        <w:t>Part 2: Animation Morphing Recommendation &amp; Justification</w:t>
      </w:r>
    </w:p>
    <w:p w14:paraId="4C7E7D4A" w14:textId="77777777" w:rsidR="00D82ECF" w:rsidRDefault="00000000">
      <w:r w:rsidRPr="00B57FA4">
        <w:rPr>
          <w:rFonts w:ascii="Times New Roman" w:hAnsi="Times New Roman" w:cs="Times New Roman"/>
          <w:sz w:val="24"/>
          <w:szCs w:val="24"/>
        </w:rPr>
        <w:t>1. Recommendation for Animation Morphing:</w:t>
      </w:r>
      <w:r w:rsidRPr="00B57FA4">
        <w:rPr>
          <w:rFonts w:ascii="Times New Roman" w:hAnsi="Times New Roman" w:cs="Times New Roman"/>
          <w:sz w:val="24"/>
          <w:szCs w:val="24"/>
        </w:rPr>
        <w:br/>
        <w:t xml:space="preserve">   - Verdict: Graph-Based Learning (DiffusionNet combined with Spectral Functional Maps) is overwhelmingly superior for realistic 3D face mesh morphing.</w:t>
      </w:r>
      <w:r w:rsidRPr="00B57FA4">
        <w:rPr>
          <w:rFonts w:ascii="Times New Roman" w:hAnsi="Times New Roman" w:cs="Times New Roman"/>
          <w:sz w:val="24"/>
          <w:szCs w:val="24"/>
        </w:rPr>
        <w:br/>
      </w:r>
      <w:r w:rsidRPr="00B57FA4">
        <w:rPr>
          <w:rFonts w:ascii="Times New Roman" w:hAnsi="Times New Roman" w:cs="Times New Roman"/>
          <w:sz w:val="24"/>
          <w:szCs w:val="24"/>
        </w:rPr>
        <w:br/>
        <w:t>2. In-Depth Justification:</w:t>
      </w:r>
      <w:r w:rsidRPr="00B57FA4">
        <w:rPr>
          <w:rFonts w:ascii="Times New Roman" w:hAnsi="Times New Roman" w:cs="Times New Roman"/>
          <w:sz w:val="24"/>
          <w:szCs w:val="24"/>
        </w:rPr>
        <w:br/>
        <w:t xml:space="preserve">   - Resolution &amp; Topology Agnosticism: Animation pipelines routinely handle mixed mesh resolutions (e.g., low-poly preview rigs vs. high-poly production render meshes). Graph functional maps compute smooth spectral alignments across differing vertex counts without requiring manual re-topology.</w:t>
      </w:r>
      <w:r w:rsidRPr="00B57FA4">
        <w:rPr>
          <w:rFonts w:ascii="Times New Roman" w:hAnsi="Times New Roman" w:cs="Times New Roman"/>
          <w:sz w:val="24"/>
          <w:szCs w:val="24"/>
        </w:rPr>
        <w:br/>
        <w:t xml:space="preserve">   - Local Feature Fidelity &amp; Artifact-Free Morphing: PCA linear truncation introduces 'sliding mesh' and surface blurring artifacts near eyes and lips during interpolation. Graph neural networks preserve localized geometric landmarks (eyelids, nostrils, lip boundaries) via learned intrinsic manifold embeddings, guaranteeing smooth, realistic, artifact-free morphing trans</w:t>
      </w:r>
      <w:r>
        <w:t>itions.</w:t>
      </w:r>
    </w:p>
    <w:sectPr w:rsidR="00D82EC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331826">
    <w:abstractNumId w:val="8"/>
  </w:num>
  <w:num w:numId="2" w16cid:durableId="1665863625">
    <w:abstractNumId w:val="6"/>
  </w:num>
  <w:num w:numId="3" w16cid:durableId="1240796858">
    <w:abstractNumId w:val="5"/>
  </w:num>
  <w:num w:numId="4" w16cid:durableId="574315912">
    <w:abstractNumId w:val="4"/>
  </w:num>
  <w:num w:numId="5" w16cid:durableId="271792781">
    <w:abstractNumId w:val="7"/>
  </w:num>
  <w:num w:numId="6" w16cid:durableId="577910749">
    <w:abstractNumId w:val="3"/>
  </w:num>
  <w:num w:numId="7" w16cid:durableId="791361997">
    <w:abstractNumId w:val="2"/>
  </w:num>
  <w:num w:numId="8" w16cid:durableId="1270940361">
    <w:abstractNumId w:val="1"/>
  </w:num>
  <w:num w:numId="9" w16cid:durableId="69276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57FA4"/>
    <w:rsid w:val="00BA572E"/>
    <w:rsid w:val="00CB0664"/>
    <w:rsid w:val="00D82E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986B4"/>
  <w14:defaultImageDpi w14:val="300"/>
  <w15:docId w15:val="{BBDE1FE5-34D3-4A50-9A8D-7ADE12A9F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1689</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shaik</cp:lastModifiedBy>
  <cp:revision>2</cp:revision>
  <dcterms:created xsi:type="dcterms:W3CDTF">2013-12-23T23:15:00Z</dcterms:created>
  <dcterms:modified xsi:type="dcterms:W3CDTF">2026-08-13T05:44:00Z</dcterms:modified>
  <cp:category/>
</cp:coreProperties>
</file>