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Georgia" w:cs="Georgia" w:eastAsia="Georgia" w:hAnsi="Georgia"/>
          <w:b/>
          <w:bCs/>
          <w:color w:val="0072BC"/>
          <w:sz w:val="34"/>
          <w:szCs w:val="34"/>
        </w:rPr>
        <w:t xml:space="preserve">Fortnightly Transformation Update</w:t>
      </w:r>
    </w:p>
    <w:p>
      <w:pPr>
        <w:spacing w:after="160" w:before="0"/>
      </w:pPr>
      <w:r>
        <w:rPr>
          <w:rFonts w:ascii="Arial" w:cs="Arial" w:eastAsia="Arial" w:hAnsi="Arial"/>
          <w:color w:val="718096"/>
          <w:sz w:val="16"/>
          <w:szCs w:val="16"/>
        </w:rPr>
        <w:t xml:space="preserve">VPS Lakeshore Hospital &amp; Research Centre  ·  Fortnight of 16 March 2026  ·  LHRC/BU/2026/001</w:t>
      </w:r>
    </w:p>
    <w:p>
      <w:pPr>
        <w:pBdr>
          <w:bottom w:val="single" w:color="0d2137" w:sz="8" w:space="4"/>
        </w:pBdr>
        <w:spacing w:after="120" w:before="120"/>
      </w:pPr>
    </w:p>
    <w:p>
      <w:pPr>
        <w:spacing w:after="60" w:before="200"/>
      </w:pPr>
      <w:r>
        <w:rPr>
          <w:rFonts w:ascii="Courier New" w:cs="Courier New" w:eastAsia="Courier New" w:hAnsi="Courier New"/>
          <w:b/>
          <w:bCs/>
          <w:caps/>
          <w:color w:val="c9a84c"/>
          <w:spacing w:val="40"/>
          <w:sz w:val="16"/>
          <w:szCs w:val="16"/>
        </w:rPr>
        <w:t xml:space="preserve">Note Summary</w:t>
      </w:r>
    </w:p>
    <w:p>
      <w:pPr>
        <w:pBdr>
          <w:left w:val="single" w:color="0072BC" w:sz="12" w:space="8"/>
        </w:pBdr>
        <w:spacing w:after="80" w:before="100"/>
        <w:ind w:left="180"/>
      </w:pPr>
      <w:r>
        <w:rPr>
          <w:rFonts w:ascii="Georgia" w:cs="Georgia" w:eastAsia="Georgia" w:hAnsi="Georgia"/>
          <w:b/>
          <w:bCs/>
          <w:color w:val="0072BC"/>
          <w:sz w:val="20"/>
          <w:szCs w:val="20"/>
        </w:rPr>
        <w:t xml:space="preserve">VPS Lakeshore is executing a structured transformation to restore financial discipline and build long-term capability — anchored in cost rationalisation, revenue recovery, digital renewal, and regulatory compliance.</w:t>
      </w:r>
    </w:p>
    <w:p>
      <w:pPr>
        <w:pBdr>
          <w:left w:val="single" w:color="0072BC" w:sz="12" w:space="8"/>
        </w:pBdr>
        <w:spacing w:after="120" w:before="0"/>
        <w:ind w:left="180"/>
      </w:pPr>
      <w:r>
        <w:rPr>
          <w:rFonts w:ascii="Arial" w:cs="Arial" w:eastAsia="Arial" w:hAnsi="Arial"/>
          <w:color w:val="4a5568"/>
          <w:sz w:val="18"/>
          <w:szCs w:val="18"/>
        </w:rPr>
        <w:t xml:space="preserve">This fortnight's update covers </w:t>
      </w:r>
      <w:r>
        <w:rPr>
          <w:rFonts w:ascii="Arial" w:cs="Arial" w:eastAsia="Arial" w:hAnsi="Arial"/>
          <w:b/>
          <w:bCs/>
          <w:color w:val="C8103E"/>
          <w:sz w:val="18"/>
          <w:szCs w:val="18"/>
        </w:rPr>
        <w:t xml:space="preserve">₹23.2 Cr</w:t>
      </w:r>
      <w:r>
        <w:rPr>
          <w:rFonts w:ascii="Arial" w:cs="Arial" w:eastAsia="Arial" w:hAnsi="Arial"/>
          <w:color w:val="4a5568"/>
          <w:sz w:val="18"/>
          <w:szCs w:val="18"/>
        </w:rPr>
        <w:t xml:space="preserve"> in identified cost savings, </w:t>
      </w:r>
      <w:r>
        <w:rPr>
          <w:rFonts w:ascii="Arial" w:cs="Arial" w:eastAsia="Arial" w:hAnsi="Arial"/>
          <w:b/>
          <w:bCs/>
          <w:color w:val="C8103E"/>
          <w:sz w:val="18"/>
          <w:szCs w:val="18"/>
        </w:rPr>
        <w:t xml:space="preserve">₹17.1 Cr</w:t>
      </w:r>
      <w:r>
        <w:rPr>
          <w:rFonts w:ascii="Arial" w:cs="Arial" w:eastAsia="Arial" w:hAnsi="Arial"/>
          <w:color w:val="4a5568"/>
          <w:sz w:val="18"/>
          <w:szCs w:val="18"/>
        </w:rPr>
        <w:t xml:space="preserve"> in revenue upside, and material progress across Lakeshore 2.0 and compliance workstreams.</w:t>
      </w:r>
    </w:p>
    <w:p>
      <w:pPr>
        <w:pBdr>
          <w:bottom w:val="single" w:color="e2e8f0" w:sz="2" w:space="2"/>
        </w:pBdr>
        <w:spacing w:after="80" w:before="80"/>
      </w:pPr>
    </w:p>
    <w:p>
      <w:pPr>
        <w:spacing w:after="60" w:before="100"/>
      </w:pPr>
      <w:r>
        <w:rPr>
          <w:rFonts w:ascii="Arial" w:cs="Arial" w:eastAsia="Arial" w:hAnsi="Arial"/>
          <w:b/>
          <w:bCs/>
          <w:color w:val="0d2137"/>
          <w:sz w:val="18"/>
          <w:szCs w:val="18"/>
        </w:rPr>
        <w:t xml:space="preserve">Cost — </w:t>
      </w:r>
      <w:r>
        <w:rPr>
          <w:rFonts w:ascii="Arial" w:cs="Arial" w:eastAsia="Arial" w:hAnsi="Arial"/>
          <w:b/>
          <w:bCs/>
          <w:color w:val="C8103E"/>
          <w:sz w:val="18"/>
          <w:szCs w:val="18"/>
        </w:rPr>
        <w:t xml:space="preserve">~₹23.2 Cr total savings identified </w:t>
      </w:r>
      <w:r>
        <w:rPr>
          <w:rFonts w:ascii="Arial" w:cs="Arial" w:eastAsia="Arial" w:hAnsi="Arial"/>
          <w:color w:val="4a5568"/>
          <w:sz w:val="18"/>
          <w:szCs w:val="18"/>
        </w:rPr>
        <w:t xml:space="preserve">across three initiatives: payroll ₹4.7 Cr (~130 staff), vendor renegotiation ₹3.8 Cr, and Capex deferrals ₹14.7 Cr (top 6 departments reviewed).</w:t>
      </w:r>
    </w:p>
    <w:p>
      <w:pPr>
        <w:pBdr>
          <w:bottom w:val="single" w:color="e2e8f0" w:sz="2" w:space="2"/>
        </w:pBdr>
        <w:spacing w:after="80" w:before="80"/>
      </w:pPr>
    </w:p>
    <w:p>
      <w:pPr>
        <w:spacing w:after="60" w:before="80"/>
      </w:pPr>
      <w:r>
        <w:rPr>
          <w:rFonts w:ascii="Arial" w:cs="Arial" w:eastAsia="Arial" w:hAnsi="Arial"/>
          <w:b/>
          <w:bCs/>
          <w:color w:val="0d2137"/>
          <w:sz w:val="18"/>
          <w:szCs w:val="18"/>
        </w:rPr>
        <w:t xml:space="preserve">Revenue — </w:t>
      </w:r>
      <w:r>
        <w:rPr>
          <w:rFonts w:ascii="Arial" w:cs="Arial" w:eastAsia="Arial" w:hAnsi="Arial"/>
          <w:b/>
          <w:bCs/>
          <w:color w:val="C8103E"/>
          <w:sz w:val="18"/>
          <w:szCs w:val="18"/>
        </w:rPr>
        <w:t xml:space="preserve">~₹17.1 Cr revenue upside identified</w:t>
      </w:r>
      <w:r>
        <w:rPr>
          <w:rFonts w:ascii="Arial" w:cs="Arial" w:eastAsia="Arial" w:hAnsi="Arial"/>
          <w:color w:val="4a5568"/>
          <w:sz w:val="18"/>
          <w:szCs w:val="18"/>
        </w:rPr>
        <w:t xml:space="preserve">: drug substitution ₹4.6 Cr, cash patient rate revision ₹12.5 Cr (1% IP rate increase, nursing charge pass-through, top-50 procedure correction). BD hire and doctor performance review in progress.</w:t>
      </w:r>
    </w:p>
    <w:p>
      <w:pPr>
        <w:pBdr>
          <w:bottom w:val="single" w:color="e2e8f0" w:sz="2" w:space="2"/>
        </w:pBdr>
        <w:spacing w:after="80" w:before="80"/>
      </w:pPr>
    </w:p>
    <w:p>
      <w:pPr>
        <w:spacing w:after="60" w:before="80"/>
      </w:pPr>
      <w:r>
        <w:rPr>
          <w:rFonts w:ascii="Arial" w:cs="Arial" w:eastAsia="Arial" w:hAnsi="Arial"/>
          <w:b/>
          <w:bCs/>
          <w:color w:val="0d2137"/>
          <w:sz w:val="18"/>
          <w:szCs w:val="18"/>
        </w:rPr>
        <w:t xml:space="preserve">Lakeshore 2.0 — </w:t>
      </w:r>
      <w:r>
        <w:rPr>
          <w:rFonts w:ascii="Arial" w:cs="Arial" w:eastAsia="Arial" w:hAnsi="Arial"/>
          <w:color w:val="4a5568"/>
          <w:sz w:val="18"/>
          <w:szCs w:val="18"/>
        </w:rPr>
        <w:t xml:space="preserve">Reworked org structure ready end of month. Website go-live end of April; app under consideration. Process and platform mapping underway.</w:t>
      </w:r>
    </w:p>
    <w:p>
      <w:pPr>
        <w:pBdr>
          <w:bottom w:val="single" w:color="e2e8f0" w:sz="2" w:space="2"/>
        </w:pBdr>
        <w:spacing w:after="80" w:before="80"/>
      </w:pPr>
    </w:p>
    <w:p>
      <w:pPr>
        <w:spacing w:after="160" w:before="80"/>
      </w:pPr>
      <w:r>
        <w:rPr>
          <w:rFonts w:ascii="Arial" w:cs="Arial" w:eastAsia="Arial" w:hAnsi="Arial"/>
          <w:b/>
          <w:bCs/>
          <w:color w:val="0d2137"/>
          <w:sz w:val="18"/>
          <w:szCs w:val="18"/>
        </w:rPr>
        <w:t xml:space="preserve">Compliance — </w:t>
      </w:r>
      <w:r>
        <w:rPr>
          <w:rFonts w:ascii="Arial" w:cs="Arial" w:eastAsia="Arial" w:hAnsi="Arial"/>
          <w:color w:val="4a5568"/>
          <w:sz w:val="18"/>
          <w:szCs w:val="18"/>
        </w:rPr>
        <w:t xml:space="preserve">27 of 62 items past due; IT return, GSTR-9 and board minute filings require immediate action. Compliance champion with 60-day mandate required.</w:t>
      </w:r>
    </w:p>
    <w:p>
      <w:pPr>
        <w:pBdr>
          <w:bottom w:val="single" w:color="0d2137" w:sz="8" w:space="4"/>
        </w:pBdr>
        <w:spacing w:after="120" w:before="120"/>
      </w:pPr>
    </w:p>
    <w:p>
      <w:pPr>
        <w:spacing w:after="100" w:before="280"/>
      </w:pPr>
      <w:r>
        <w:rPr>
          <w:rFonts w:ascii="Georgia" w:cs="Georgia" w:eastAsia="Georgia" w:hAnsi="Georgia"/>
          <w:b/>
          <w:bCs/>
          <w:color w:val="0d2137"/>
          <w:sz w:val="20"/>
          <w:szCs w:val="20"/>
        </w:rPr>
        <w:t xml:space="preserve">1. Cost Rationalisation</w:t>
      </w:r>
    </w:p>
    <w:p>
      <w:pPr>
        <w:spacing w:after="80" w:before="60"/>
      </w:pPr>
      <w:r>
        <w:rPr>
          <w:rFonts w:ascii="Arial" w:cs="Arial" w:eastAsia="Arial" w:hAnsi="Arial"/>
          <w:i w:val="false"/>
          <w:iCs w:val="false"/>
          <w:color w:val="4a5568"/>
          <w:sz w:val="18"/>
          <w:szCs w:val="18"/>
        </w:rPr>
        <w:t xml:space="preserve">Cost rationalisation programme underway across three workstreams — detail in each section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746"/>
      </w:tblGrid>
      <w:tr>
        <w:trPr>
          <w:tblHeader/>
        </w:trPr>
        <w:tc>
          <w:tcPr>
            <w:tcW w:type="dxa" w:w="3000"/>
            <w:tcBorders>
              <w:top w:val="single" w:color="0072BC" w:sz="1"/>
              <w:left w:val="single" w:color="0072BC" w:sz="1"/>
              <w:bottom w:val="single" w:color="0072BC" w:sz="1"/>
              <w:right w:val="single" w:color="0072BC" w:sz="1"/>
            </w:tcBorders>
            <w:shd w:fill="0d2137" w:val="clear"/>
            <w:tcMar>
              <w:top w:type="dxa" w:w="80"/>
              <w:left w:type="dxa" w:w="120"/>
              <w:bottom w:type="dxa" w:w="80"/>
              <w:right w:type="dxa" w:w="120"/>
            </w:tcMar>
          </w:tcPr>
          <w:p>
            <w:r>
              <w:rPr>
                <w:rFonts w:ascii="Arial" w:cs="Arial" w:eastAsia="Arial" w:hAnsi="Arial"/>
                <w:b/>
                <w:bCs/>
                <w:color w:val="FFFFFF"/>
                <w:sz w:val="16"/>
                <w:szCs w:val="16"/>
              </w:rPr>
              <w:t xml:space="preserve">Initiative</w:t>
            </w:r>
          </w:p>
        </w:tc>
        <w:tc>
          <w:tcPr>
            <w:tcW w:type="dxa" w:w="2000"/>
            <w:tcBorders>
              <w:top w:val="single" w:color="0072BC" w:sz="1"/>
              <w:left w:val="single" w:color="0072BC" w:sz="1"/>
              <w:bottom w:val="single" w:color="0072BC" w:sz="1"/>
              <w:right w:val="single" w:color="0072BC" w:sz="1"/>
            </w:tcBorders>
            <w:shd w:fill="0d2137" w:val="clear"/>
            <w:tcMar>
              <w:top w:type="dxa" w:w="80"/>
              <w:left w:type="dxa" w:w="120"/>
              <w:bottom w:type="dxa" w:w="80"/>
              <w:right w:type="dxa" w:w="120"/>
            </w:tcMar>
          </w:tcPr>
          <w:p>
            <w:r>
              <w:rPr>
                <w:rFonts w:ascii="Arial" w:cs="Arial" w:eastAsia="Arial" w:hAnsi="Arial"/>
                <w:b/>
                <w:bCs/>
                <w:color w:val="FFFFFF"/>
                <w:sz w:val="16"/>
                <w:szCs w:val="16"/>
              </w:rPr>
              <w:t xml:space="preserve">Amount</w:t>
            </w:r>
          </w:p>
        </w:tc>
        <w:tc>
          <w:tcPr>
            <w:tcW w:type="dxa" w:w="4746"/>
            <w:tcBorders>
              <w:top w:val="single" w:color="0072BC" w:sz="1"/>
              <w:left w:val="single" w:color="0072BC" w:sz="1"/>
              <w:bottom w:val="single" w:color="0072BC" w:sz="1"/>
              <w:right w:val="single" w:color="0072BC" w:sz="1"/>
            </w:tcBorders>
            <w:shd w:fill="0d2137" w:val="clear"/>
            <w:tcMar>
              <w:top w:type="dxa" w:w="80"/>
              <w:left w:type="dxa" w:w="120"/>
              <w:bottom w:type="dxa" w:w="80"/>
              <w:right w:type="dxa" w:w="120"/>
            </w:tcMar>
          </w:tcPr>
          <w:p>
            <w:r>
              <w:rPr>
                <w:rFonts w:ascii="Arial" w:cs="Arial" w:eastAsia="Arial" w:hAnsi="Arial"/>
                <w:b/>
                <w:bCs/>
                <w:color w:val="FFFFFF"/>
                <w:sz w:val="16"/>
                <w:szCs w:val="16"/>
              </w:rPr>
              <w:t xml:space="preserve">Status / Notes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2137"/>
                <w:sz w:val="17"/>
                <w:szCs w:val="17"/>
              </w:rPr>
              <w:t xml:space="preserve">Payroll Rationalisation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C8103E"/>
                <w:sz w:val="17"/>
                <w:szCs w:val="17"/>
              </w:rPr>
              <w:t xml:space="preserve">₹4.7 Cr identified</w:t>
            </w:r>
          </w:p>
        </w:tc>
        <w:tc>
          <w:tcPr>
            <w:tcW w:type="dxa" w:w="474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a5568"/>
                <w:sz w:val="16"/>
                <w:szCs w:val="16"/>
              </w:rPr>
              <w:t xml:space="preserve">~130 staff across 7 depts; external HR consultant engaged; implementation from April 2026</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2137"/>
                <w:sz w:val="17"/>
                <w:szCs w:val="17"/>
              </w:rPr>
              <w:t xml:space="preserve">Capex Management &amp; Reduction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C8103E"/>
                <w:sz w:val="17"/>
                <w:szCs w:val="17"/>
              </w:rPr>
              <w:t xml:space="preserve">₹14.7 Cr identified</w:t>
            </w:r>
          </w:p>
        </w:tc>
        <w:tc>
          <w:tcPr>
            <w:tcW w:type="dxa" w:w="474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6"/>
                <w:szCs w:val="16"/>
              </w:rPr>
              <w:t xml:space="preserve">Top 6 departments reviewed; deferrals and rejections confirmed; remaining depts by end of March</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2137"/>
                <w:sz w:val="17"/>
                <w:szCs w:val="17"/>
              </w:rPr>
              <w:t xml:space="preserve">Vendor Management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C8103E"/>
                <w:sz w:val="17"/>
                <w:szCs w:val="17"/>
              </w:rPr>
              <w:t xml:space="preserve">₹3.8 Cr identified</w:t>
            </w:r>
          </w:p>
        </w:tc>
        <w:tc>
          <w:tcPr>
            <w:tcW w:type="dxa" w:w="474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a5568"/>
                <w:sz w:val="16"/>
                <w:szCs w:val="16"/>
              </w:rPr>
              <w:t xml:space="preserve">Drug cos ₹1.2 Cr + distributors ₹2.0 Cr + consumables ₹0.6 Cr; rate contracts being finalised</w:t>
            </w:r>
          </w:p>
        </w:tc>
      </w:tr>
    </w:tbl>
    <w:p>
      <w:pPr>
        <w:spacing w:after="80" w:before="200"/>
      </w:pPr>
      <w:r>
        <w:rPr>
          <w:rFonts w:ascii="Arial" w:cs="Arial" w:eastAsia="Arial" w:hAnsi="Arial"/>
          <w:b/>
          <w:bCs/>
          <w:color w:val="0072BC"/>
          <w:sz w:val="18"/>
          <w:szCs w:val="18"/>
        </w:rPr>
        <w:t xml:space="preserve">Payroll</w:t>
      </w:r>
    </w:p>
    <w:p>
      <w:pPr>
        <w:pStyle w:val="ListParagraph"/>
        <w:numPr>
          <w:ilvl w:val="0"/>
          <w:numId w:val="2"/>
        </w:numPr>
        <w:spacing w:after="80" w:before="60"/>
      </w:pPr>
      <w:r>
        <w:rPr>
          <w:rFonts w:ascii="Arial" w:cs="Arial" w:eastAsia="Arial" w:hAnsi="Arial"/>
          <w:b/>
          <w:bCs/>
          <w:color w:val="0d2137"/>
          <w:sz w:val="18"/>
          <w:szCs w:val="18"/>
        </w:rPr>
        <w:t xml:space="preserve">₹4.7 Cr identified</w:t>
      </w:r>
      <w:r>
        <w:rPr>
          <w:rFonts w:ascii="Arial" w:cs="Arial" w:eastAsia="Arial" w:hAnsi="Arial"/>
          <w:color w:val="4a5568"/>
          <w:sz w:val="18"/>
          <w:szCs w:val="18"/>
        </w:rPr>
        <w:t xml:space="preserve"> to date covering ~130 staff across 7 departments — Nursing, Pharmacy and Patient Care Services account for the majority.</w:t>
      </w:r>
    </w:p>
    <w:p>
      <w:pPr>
        <w:pStyle w:val="ListParagraph"/>
        <w:numPr>
          <w:ilvl w:val="0"/>
          <w:numId w:val="2"/>
        </w:numPr>
        <w:spacing w:after="80" w:before="60"/>
      </w:pPr>
      <w:r>
        <w:rPr>
          <w:rFonts w:ascii="Arial" w:cs="Arial" w:eastAsia="Arial" w:hAnsi="Arial"/>
          <w:color w:val="4a5568"/>
          <w:sz w:val="18"/>
          <w:szCs w:val="18"/>
        </w:rPr>
        <w:t xml:space="preserve">Benchmarking of various metrics including staff/bed and Dispensing time per drug against comparable hospital systems used. Individual department targets being set through March with implementation from April 2026 — this represents a short and intermediate timeline for action.</w:t>
      </w:r>
    </w:p>
    <w:p>
      <w:pPr>
        <w:spacing w:after="80" w:before="200"/>
      </w:pPr>
      <w:r>
        <w:rPr>
          <w:rFonts w:ascii="Arial" w:cs="Arial" w:eastAsia="Arial" w:hAnsi="Arial"/>
          <w:b/>
          <w:bCs/>
          <w:color w:val="0072BC"/>
          <w:sz w:val="18"/>
          <w:szCs w:val="18"/>
        </w:rPr>
        <w:t xml:space="preserve">Capex Management &amp; Reduction</w:t>
      </w:r>
    </w:p>
    <w:p>
      <w:pPr>
        <w:pStyle w:val="ListParagraph"/>
        <w:numPr>
          <w:ilvl w:val="0"/>
          <w:numId w:val="2"/>
        </w:numPr>
        <w:spacing w:after="80" w:before="60"/>
      </w:pPr>
      <w:r>
        <w:rPr>
          <w:rFonts w:ascii="Arial" w:cs="Arial" w:eastAsia="Arial" w:hAnsi="Arial"/>
          <w:color w:val="4a5568"/>
          <w:sz w:val="18"/>
          <w:szCs w:val="18"/>
        </w:rPr>
        <w:t xml:space="preserve">FY27 Capex budget reviewed for top 6 departments; </w:t>
      </w:r>
      <w:r>
        <w:rPr>
          <w:rFonts w:ascii="Arial" w:cs="Arial" w:eastAsia="Arial" w:hAnsi="Arial"/>
          <w:b/>
          <w:bCs/>
          <w:color w:val="C8103E"/>
          <w:sz w:val="18"/>
          <w:szCs w:val="18"/>
        </w:rPr>
        <w:t xml:space="preserve">₹14.7 Cr in potential savings identified</w:t>
      </w:r>
      <w:r>
        <w:rPr>
          <w:rFonts w:ascii="Arial" w:cs="Arial" w:eastAsia="Arial" w:hAnsi="Arial"/>
          <w:color w:val="4a5568"/>
          <w:sz w:val="18"/>
          <w:szCs w:val="18"/>
        </w:rPr>
        <w:t xml:space="preserve"> through item deferrals, rejections and scope reductions. Remaining departments to be reviewed prior to end of March.</w:t>
      </w:r>
    </w:p>
    <w:p>
      <w:pPr>
        <w:pStyle w:val="ListParagraph"/>
        <w:numPr>
          <w:ilvl w:val="0"/>
          <w:numId w:val="2"/>
        </w:numPr>
        <w:spacing w:after="80" w:before="60"/>
      </w:pPr>
      <w:r>
        <w:rPr>
          <w:rFonts w:ascii="Arial" w:cs="Arial" w:eastAsia="Arial" w:hAnsi="Arial"/>
          <w:color w:val="4a5568"/>
          <w:sz w:val="18"/>
          <w:szCs w:val="18"/>
        </w:rPr>
        <w:t xml:space="preserve">Top 5 deferred or removed items account for ₹8.2 Cr of the total saving (Digital Pathology System ₹3.0 Cr, Digital Slide Scanner ₹2.5 Cr, LASER Equipment ₹1.5 Cr, Portable DR Unit ₹0.6 Cr, WAB for Ultrasound ₹0.6 Cr).</w:t>
      </w:r>
    </w:p>
    <w:p>
      <w:pPr>
        <w:spacing w:after="80" w:before="200"/>
      </w:pPr>
      <w:r>
        <w:rPr>
          <w:rFonts w:ascii="Arial" w:cs="Arial" w:eastAsia="Arial" w:hAnsi="Arial"/>
          <w:b/>
          <w:bCs/>
          <w:color w:val="0072BC"/>
          <w:sz w:val="18"/>
          <w:szCs w:val="18"/>
        </w:rPr>
        <w:t xml:space="preserve">Vendor Management</w:t>
      </w:r>
    </w:p>
    <w:p>
      <w:pPr>
        <w:pStyle w:val="ListParagraph"/>
        <w:numPr>
          <w:ilvl w:val="0"/>
          <w:numId w:val="2"/>
        </w:numPr>
        <w:spacing w:after="80" w:before="60"/>
      </w:pPr>
      <w:r>
        <w:rPr>
          <w:rFonts w:ascii="Arial" w:cs="Arial" w:eastAsia="Arial" w:hAnsi="Arial"/>
          <w:color w:val="4a5568"/>
          <w:sz w:val="18"/>
          <w:szCs w:val="18"/>
        </w:rPr>
        <w:t xml:space="preserve">Drug manufacturer negotiations (21 companies, 5%) — </w:t>
      </w:r>
      <w:r>
        <w:rPr>
          <w:rFonts w:ascii="Arial" w:cs="Arial" w:eastAsia="Arial" w:hAnsi="Arial"/>
          <w:b/>
          <w:bCs/>
          <w:color w:val="C8103E"/>
          <w:sz w:val="18"/>
          <w:szCs w:val="18"/>
        </w:rPr>
        <w:t xml:space="preserve">₹1.2 Cr saving</w:t>
      </w:r>
      <w:r>
        <w:rPr>
          <w:rFonts w:ascii="Arial" w:cs="Arial" w:eastAsia="Arial" w:hAnsi="Arial"/>
          <w:color w:val="4a5568"/>
          <w:sz w:val="18"/>
          <w:szCs w:val="18"/>
        </w:rPr>
        <w:t xml:space="preserve">; distributor renegotiation (10 distributors, 5%) — </w:t>
      </w:r>
      <w:r>
        <w:rPr>
          <w:rFonts w:ascii="Arial" w:cs="Arial" w:eastAsia="Arial" w:hAnsi="Arial"/>
          <w:b/>
          <w:bCs/>
          <w:color w:val="C8103E"/>
          <w:sz w:val="18"/>
          <w:szCs w:val="18"/>
        </w:rPr>
        <w:t xml:space="preserve">₹2.0 Cr saving</w:t>
      </w:r>
      <w:r>
        <w:rPr>
          <w:rFonts w:ascii="Arial" w:cs="Arial" w:eastAsia="Arial" w:hAnsi="Arial"/>
          <w:color w:val="4a5568"/>
          <w:sz w:val="18"/>
          <w:szCs w:val="18"/>
        </w:rPr>
        <w:t xml:space="preserve">. Combined: ₹3.2 Cr.</w:t>
      </w:r>
    </w:p>
    <w:p>
      <w:pPr>
        <w:pStyle w:val="ListParagraph"/>
        <w:numPr>
          <w:ilvl w:val="0"/>
          <w:numId w:val="2"/>
        </w:numPr>
        <w:spacing w:after="80" w:before="60"/>
      </w:pPr>
      <w:r>
        <w:rPr>
          <w:rFonts w:ascii="Arial" w:cs="Arial" w:eastAsia="Arial" w:hAnsi="Arial"/>
          <w:color w:val="4a5568"/>
          <w:sz w:val="18"/>
          <w:szCs w:val="18"/>
        </w:rPr>
        <w:t xml:space="preserve">Top 20 consumable suppliers and items (5%) — ₹0.6 Cr further saving. </w:t>
      </w:r>
      <w:r>
        <w:rPr>
          <w:rFonts w:ascii="Arial" w:cs="Arial" w:eastAsia="Arial" w:hAnsi="Arial"/>
          <w:b/>
          <w:bCs/>
          <w:color w:val="0d2137"/>
          <w:sz w:val="18"/>
          <w:szCs w:val="18"/>
        </w:rPr>
        <w:t xml:space="preserve">Total across all four categories: ₹3.8 Cr.</w:t>
      </w:r>
    </w:p>
    <w:p>
      <w:pPr>
        <w:pStyle w:val="ListParagraph"/>
        <w:numPr>
          <w:ilvl w:val="0"/>
          <w:numId w:val="2"/>
        </w:numPr>
        <w:spacing w:after="80" w:before="60"/>
      </w:pPr>
      <w:r>
        <w:rPr>
          <w:rFonts w:ascii="Arial" w:cs="Arial" w:eastAsia="Arial" w:hAnsi="Arial"/>
          <w:color w:val="4a5568"/>
          <w:sz w:val="18"/>
          <w:szCs w:val="18"/>
        </w:rPr>
        <w:t xml:space="preserve">Most rate contracts not renegotiated in over two years; structured discount conversations are the next priority. Rate contract calendar being finalised from week of 20 March.</w:t>
      </w:r>
    </w:p>
    <w:p>
      <w:pPr>
        <w:pBdr>
          <w:bottom w:val="single" w:color="0d2137" w:sz="8" w:space="4"/>
        </w:pBdr>
        <w:spacing w:after="120" w:before="120"/>
      </w:pPr>
    </w:p>
    <w:p>
      <w:pPr>
        <w:spacing w:after="100" w:before="280"/>
      </w:pPr>
      <w:r>
        <w:rPr>
          <w:rFonts w:ascii="Georgia" w:cs="Georgia" w:eastAsia="Georgia" w:hAnsi="Georgia"/>
          <w:b/>
          <w:bCs/>
          <w:color w:val="0d2137"/>
          <w:sz w:val="20"/>
          <w:szCs w:val="20"/>
        </w:rPr>
        <w:t xml:space="preserve">2. Revenue Enhancement</w:t>
      </w:r>
    </w:p>
    <w:p>
      <w:pPr>
        <w:pStyle w:val="ListParagraph"/>
        <w:numPr>
          <w:ilvl w:val="0"/>
          <w:numId w:val="2"/>
        </w:numPr>
        <w:spacing w:after="80" w:before="60"/>
      </w:pPr>
      <w:r>
        <w:rPr>
          <w:rFonts w:ascii="Arial" w:cs="Arial" w:eastAsia="Arial" w:hAnsi="Arial"/>
          <w:color w:val="4a5568"/>
          <w:sz w:val="18"/>
          <w:szCs w:val="18"/>
        </w:rPr>
        <w:t xml:space="preserve">Drug substitution (brand → generic) across high-volume pharmacy lines; </w:t>
      </w:r>
      <w:r>
        <w:rPr>
          <w:rFonts w:ascii="Arial" w:cs="Arial" w:eastAsia="Arial" w:hAnsi="Arial"/>
          <w:b/>
          <w:bCs/>
          <w:color w:val="C8103E"/>
          <w:sz w:val="18"/>
          <w:szCs w:val="18"/>
        </w:rPr>
        <w:t xml:space="preserve">₹4.6 Cr projected additional margin</w:t>
      </w:r>
      <w:r>
        <w:rPr>
          <w:rFonts w:ascii="Arial" w:cs="Arial" w:eastAsia="Arial" w:hAnsi="Arial"/>
          <w:color w:val="4a5568"/>
          <w:sz w:val="18"/>
          <w:szCs w:val="18"/>
        </w:rPr>
        <w:t xml:space="preserve"> from formulary shift.</w:t>
      </w:r>
    </w:p>
    <w:p>
      <w:pPr>
        <w:pStyle w:val="ListParagraph"/>
        <w:numPr>
          <w:ilvl w:val="0"/>
          <w:numId w:val="2"/>
        </w:numPr>
        <w:spacing w:after="80" w:before="60"/>
      </w:pPr>
      <w:r>
        <w:rPr>
          <w:rFonts w:ascii="Arial" w:cs="Arial" w:eastAsia="Arial" w:hAnsi="Arial"/>
          <w:b/>
          <w:bCs/>
          <w:color w:val="0d2137"/>
          <w:sz w:val="18"/>
          <w:szCs w:val="18"/>
        </w:rPr>
        <w:t xml:space="preserve">Rate revision — cash patients only</w:t>
      </w:r>
      <w:r>
        <w:rPr>
          <w:rFonts w:ascii="Arial" w:cs="Arial" w:eastAsia="Arial" w:hAnsi="Arial"/>
          <w:color w:val="4a5568"/>
          <w:sz w:val="18"/>
          <w:szCs w:val="18"/>
        </w:rPr>
        <w:t xml:space="preserve">; three actions identified:</w:t>
      </w:r>
    </w:p>
    <w:p>
      <w:pPr>
        <w:pStyle w:val="ListParagraph"/>
        <w:numPr>
          <w:ilvl w:val="0"/>
          <w:numId w:val="3"/>
        </w:numPr>
        <w:spacing w:after="60" w:before="40"/>
      </w:pPr>
      <w:r>
        <w:rPr>
          <w:rFonts w:ascii="Arial" w:cs="Arial" w:eastAsia="Arial" w:hAnsi="Arial"/>
          <w:color w:val="4a5568"/>
          <w:sz w:val="16"/>
          <w:szCs w:val="16"/>
        </w:rPr>
        <w:t xml:space="preserve">Flat 1% increase across all procedure/IP rates, rounded to nearest ₹10 — OP rates unchanged; +₹2.5 Cr upside assuming no volume drop.</w:t>
      </w:r>
    </w:p>
    <w:p>
      <w:pPr>
        <w:pStyle w:val="ListParagraph"/>
        <w:numPr>
          <w:ilvl w:val="0"/>
          <w:numId w:val="3"/>
        </w:numPr>
        <w:spacing w:after="60" w:before="40"/>
      </w:pPr>
      <w:r>
        <w:rPr>
          <w:rFonts w:ascii="Arial" w:cs="Arial" w:eastAsia="Arial" w:hAnsi="Arial"/>
          <w:color w:val="4a5568"/>
          <w:sz w:val="16"/>
          <w:szCs w:val="16"/>
        </w:rPr>
        <w:t xml:space="preserve">Nursing cost increment (wage negotiation/strike) passed to patient bill — 40% increase in nursing charges; +₹7.5 Cr. (To-do: benchmark IP room rates against competitors.)</w:t>
      </w:r>
    </w:p>
    <w:p>
      <w:pPr>
        <w:pStyle w:val="ListParagraph"/>
        <w:numPr>
          <w:ilvl w:val="0"/>
          <w:numId w:val="3"/>
        </w:numPr>
        <w:spacing w:after="60" w:before="40"/>
      </w:pPr>
      <w:r>
        <w:rPr>
          <w:rFonts w:ascii="Arial" w:cs="Arial" w:eastAsia="Arial" w:hAnsi="Arial"/>
          <w:color w:val="4a5568"/>
          <w:sz w:val="16"/>
          <w:szCs w:val="16"/>
        </w:rPr>
        <w:t xml:space="preserve">Top 50 procedures by value — contribution target of 58% to achieve 26% EBITDA; correction for under-contributing procedures: +₹2.5 Cr.</w:t>
      </w:r>
    </w:p>
    <w:p>
      <w:pPr>
        <w:pStyle w:val="ListParagraph"/>
        <w:numPr>
          <w:ilvl w:val="0"/>
          <w:numId w:val="2"/>
        </w:numPr>
        <w:spacing w:after="80" w:before="60"/>
      </w:pPr>
      <w:r>
        <w:rPr>
          <w:rFonts w:ascii="Arial" w:cs="Arial" w:eastAsia="Arial" w:hAnsi="Arial"/>
          <w:color w:val="4a5568"/>
          <w:sz w:val="18"/>
          <w:szCs w:val="18"/>
        </w:rPr>
        <w:t xml:space="preserve">New BD hire in progress to build referral networks and institutional tie-ups; under-performing doctors to be replaced or incentivised — WIP.</w:t>
      </w:r>
    </w:p>
    <w:p>
      <w:pPr>
        <w:pBdr>
          <w:bottom w:val="single" w:color="0d2137" w:sz="8" w:space="4"/>
        </w:pBdr>
        <w:spacing w:after="120" w:before="120"/>
      </w:pPr>
    </w:p>
    <w:p>
      <w:pPr>
        <w:spacing w:after="100" w:before="280"/>
      </w:pPr>
      <w:r>
        <w:rPr>
          <w:rFonts w:ascii="Georgia" w:cs="Georgia" w:eastAsia="Georgia" w:hAnsi="Georgia"/>
          <w:b/>
          <w:bCs/>
          <w:color w:val="0d2137"/>
          <w:sz w:val="20"/>
          <w:szCs w:val="20"/>
        </w:rPr>
        <w:t xml:space="preserve">3. Lakeshore 2.0 — Brand Uplift</w:t>
      </w:r>
    </w:p>
    <w:p>
      <w:pPr>
        <w:pStyle w:val="ListParagraph"/>
        <w:numPr>
          <w:ilvl w:val="0"/>
          <w:numId w:val="2"/>
        </w:numPr>
        <w:spacing w:after="80" w:before="60"/>
      </w:pPr>
      <w:r>
        <w:rPr>
          <w:rFonts w:ascii="Arial" w:cs="Arial" w:eastAsia="Arial" w:hAnsi="Arial"/>
          <w:color w:val="4a5568"/>
          <w:sz w:val="18"/>
          <w:szCs w:val="18"/>
        </w:rPr>
        <w:t xml:space="preserve">Organisation restructure: new org chart drafted with revised reporting lines — final version expected 20 March.</w:t>
      </w:r>
    </w:p>
    <w:p>
      <w:pPr>
        <w:pStyle w:val="ListParagraph"/>
        <w:numPr>
          <w:ilvl w:val="0"/>
          <w:numId w:val="2"/>
        </w:numPr>
        <w:spacing w:after="80" w:before="60"/>
      </w:pPr>
      <w:r>
        <w:rPr>
          <w:rFonts w:ascii="Arial" w:cs="Arial" w:eastAsia="Arial" w:hAnsi="Arial"/>
          <w:color w:val="4a5568"/>
          <w:sz w:val="18"/>
          <w:szCs w:val="18"/>
        </w:rPr>
        <w:t xml:space="preserve">Website redesign underway; new site targeted to go live end of April. App design under consideration. (Links shared separately.)</w:t>
      </w:r>
    </w:p>
    <w:p>
      <w:pPr>
        <w:pStyle w:val="ListParagraph"/>
        <w:numPr>
          <w:ilvl w:val="0"/>
          <w:numId w:val="2"/>
        </w:numPr>
        <w:spacing w:after="80" w:before="60"/>
      </w:pPr>
      <w:r>
        <w:rPr>
          <w:rFonts w:ascii="Arial" w:cs="Arial" w:eastAsia="Arial" w:hAnsi="Arial"/>
          <w:color w:val="4a5568"/>
          <w:sz w:val="18"/>
          <w:szCs w:val="18"/>
        </w:rPr>
        <w:t xml:space="preserve">HR, Finance and Ops process and platform mapping underway to determine integration approach; identifying where systems and workflows need to be consolidated or replaced before implementation begins.</w:t>
      </w:r>
    </w:p>
    <w:p>
      <w:pPr>
        <w:pBdr>
          <w:bottom w:val="single" w:color="0d2137" w:sz="8" w:space="4"/>
        </w:pBdr>
        <w:spacing w:after="120" w:before="120"/>
      </w:pPr>
    </w:p>
    <w:p>
      <w:pPr>
        <w:spacing w:after="100" w:before="280"/>
      </w:pPr>
      <w:r>
        <w:rPr>
          <w:rFonts w:ascii="Georgia" w:cs="Georgia" w:eastAsia="Georgia" w:hAnsi="Georgia"/>
          <w:b/>
          <w:bCs/>
          <w:color w:val="0d2137"/>
          <w:sz w:val="20"/>
          <w:szCs w:val="20"/>
        </w:rPr>
        <w:t xml:space="preserve">4. Compliance</w:t>
      </w:r>
    </w:p>
    <w:p>
      <w:pPr>
        <w:pStyle w:val="ListParagraph"/>
        <w:numPr>
          <w:ilvl w:val="0"/>
          <w:numId w:val="2"/>
        </w:numPr>
        <w:spacing w:after="80" w:before="60"/>
      </w:pPr>
      <w:r>
        <w:rPr>
          <w:rFonts w:ascii="Arial" w:cs="Arial" w:eastAsia="Arial" w:hAnsi="Arial"/>
          <w:color w:val="4a5568"/>
          <w:sz w:val="18"/>
          <w:szCs w:val="18"/>
        </w:rPr>
        <w:t xml:space="preserve">Most material exposures: FY25 income tax return four months overdue (Sec 271B penalty risk up to ₹1.5 Cr); GSTR-9 annual return 72 days past deadline with daily penalties accruing; board minutes unsigned for three meetings, blocking DIR-12 and MGT-14 filings due in 22 days.</w:t>
      </w:r>
    </w:p>
    <w:p>
      <w:pPr>
        <w:spacing w:after="80" w:before="80"/>
      </w:pPr>
      <w:r>
        <w:rPr>
          <w:rFonts w:ascii="Arial" w:cs="Arial" w:eastAsia="Arial" w:hAnsi="Arial"/>
          <w:color w:val="4a5568"/>
          <w:sz w:val="18"/>
          <w:szCs w:val="18"/>
        </w:rPr>
        <w:t xml:space="preserve">Full details in Compliance Tracker (Google Sheets) and Gap Analysis Report (.docx) — available on request.</w:t>
      </w:r>
    </w:p>
    <w:p>
      <w:pPr>
        <w:pBdr>
          <w:bottom w:val="single" w:color="0d2137" w:sz="8" w:space="4"/>
        </w:pBdr>
        <w:spacing w:after="120" w:before="120"/>
      </w:pPr>
    </w:p>
    <w:p>
      <w:pPr>
        <w:spacing w:after="60" w:before="200"/>
      </w:pPr>
      <w:r>
        <w:rPr>
          <w:rFonts w:ascii="Courier New" w:cs="Courier New" w:eastAsia="Courier New" w:hAnsi="Courier New"/>
          <w:b/>
          <w:bCs/>
          <w:caps/>
          <w:color w:val="c9a84c"/>
          <w:spacing w:val="40"/>
          <w:sz w:val="16"/>
          <w:szCs w:val="16"/>
        </w:rPr>
        <w:t xml:space="preserve">Other Notes</w:t>
      </w:r>
    </w:p>
    <w:p>
      <w:pPr>
        <w:spacing w:after="80" w:before="100"/>
      </w:pPr>
      <w:r>
        <w:rPr>
          <w:rFonts w:ascii="Georgia" w:cs="Georgia" w:eastAsia="Georgia" w:hAnsi="Georgia"/>
          <w:b/>
          <w:bCs/>
          <w:color w:val="0d2137"/>
          <w:sz w:val="24"/>
          <w:szCs w:val="24"/>
        </w:rPr>
        <w:t xml:space="preserve">UNA Strike — Situation and Response</w:t>
      </w:r>
    </w:p>
    <w:p>
      <w:pPr>
        <w:spacing w:after="120" w:before="60"/>
      </w:pPr>
      <w:r>
        <w:rPr>
          <w:rFonts w:ascii="Arial" w:cs="Arial" w:eastAsia="Arial" w:hAnsi="Arial"/>
          <w:color w:val="4a5568"/>
          <w:sz w:val="18"/>
          <w:szCs w:val="18"/>
        </w:rPr>
        <w:t xml:space="preserve">The United Nurses Association (UNA) strike has affected private hospitals across Kerala, including Lakeshore. Emergency and critical services at Lakeshore have remained fully operational throughout. At this point, we are not planning to take any significant further action — the situation is being monitored and management will respond if conditions materially change.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60"/>
      <w:jc w:val="right"/>
    </w:pPr>
    <w:r>
      <w:rPr>
        <w:rFonts w:ascii="Arial" w:cs="Arial" w:eastAsia="Arial" w:hAnsi="Arial"/>
        <w:color w:val="718096"/>
        <w:sz w:val="14"/>
        <w:szCs w:val="14"/>
      </w:rPr>
      <w:t xml:space="preserve">Confidential — Chairman Access — Internal Use Only     Page </w:t>
    </w:r>
    <w:r>
      <w:rPr>
        <w:rFonts w:ascii="Arial" w:cs="Arial" w:eastAsia="Arial" w:hAnsi="Arial"/>
        <w:color w:val="71809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2BC" w:sz="4" w:space="4"/>
      </w:pBdr>
      <w:spacing w:after="60"/>
    </w:pPr>
    <w:r>
      <w:rPr>
        <w:rFonts w:ascii="Arial" w:cs="Arial" w:eastAsia="Arial" w:hAnsi="Arial"/>
        <w:b/>
        <w:bCs/>
        <w:color w:val="0072BC"/>
        <w:sz w:val="16"/>
        <w:szCs w:val="16"/>
      </w:rPr>
      <w:t xml:space="preserve">VPS Lakeshore Hospital &amp; Research Centre  </w:t>
    </w:r>
    <w:r>
      <w:rPr>
        <w:rFonts w:ascii="Arial" w:cs="Arial" w:eastAsia="Arial" w:hAnsi="Arial"/>
        <w:color w:val="718096"/>
        <w:sz w:val="14"/>
        <w:szCs w:val="14"/>
      </w:rPr>
      <w:t xml:space="preserve">  |  Fortnightly Transformation Update  |  Fortnight of 16 March 2026  |  LHRC/BU/2026/001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2026-03-16T07:37:57.008Z</dcterms:created>
  <dcterms:modified xsi:type="dcterms:W3CDTF">2026-03-16T07:37:57.009Z</dcterms:modified>
</cp:coreProperties>
</file>

<file path=docProps/custom.xml><?xml version="1.0" encoding="utf-8"?>
<Properties xmlns="http://schemas.openxmlformats.org/officeDocument/2006/custom-properties" xmlns:vt="http://schemas.openxmlformats.org/officeDocument/2006/docPropsVTypes"/>
</file>