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5" w:val="clear"/>
            <w:tcMar>
              <w:top w:type="dxa" w:w="200"/>
              <w:left w:type="dxa" w:w="240"/>
              <w:bottom w:type="dxa" w:w="180"/>
              <w:right w:type="dxa" w:w="240"/>
            </w:tcMar>
          </w:tcPr>
          <w:p>
            <w:pPr>
              <w:spacing w:after="80" w:before="0"/>
              <w:jc w:val="left"/>
            </w:pPr>
            <w:r>
              <w:rPr>
                <w:rFonts w:ascii="Arial" w:cs="Arial" w:eastAsia="Arial" w:hAnsi="Arial"/>
                <w:b/>
                <w:bCs/>
                <w:i w:val="false"/>
                <w:iCs w:val="false"/>
                <w:color w:val="FFFFFF"/>
                <w:sz w:val="36"/>
                <w:szCs w:val="36"/>
              </w:rPr>
              <w:t xml:space="preserve">VPS </w:t>
            </w:r>
            <w:r>
              <w:rPr>
                <w:rFonts w:ascii="Arial" w:cs="Arial" w:eastAsia="Arial" w:hAnsi="Arial"/>
                <w:b/>
                <w:bCs/>
                <w:i w:val="false"/>
                <w:iCs w:val="false"/>
                <w:color w:val="FFFFFF"/>
                <w:sz w:val="36"/>
                <w:szCs w:val="36"/>
              </w:rPr>
              <w:t xml:space="preserve">Lakeshore</w:t>
            </w:r>
          </w:p>
          <w:p>
            <w:pPr>
              <w:spacing w:after="80" w:before="0"/>
              <w:jc w:val="left"/>
            </w:pPr>
            <w:r>
              <w:rPr>
                <w:rFonts w:ascii="Arial" w:cs="Arial" w:eastAsia="Arial" w:hAnsi="Arial"/>
                <w:b/>
                <w:bCs/>
                <w:i w:val="false"/>
                <w:iCs w:val="false"/>
                <w:color w:val="FFFFFF"/>
                <w:sz w:val="44"/>
                <w:szCs w:val="44"/>
              </w:rPr>
              <w:t xml:space="preserve">Network Architecture</w:t>
            </w:r>
          </w:p>
          <w:p>
            <w:pPr>
              <w:spacing w:after="80" w:before="0"/>
              <w:jc w:val="left"/>
            </w:pPr>
            <w:r>
              <w:rPr>
                <w:rFonts w:ascii="Arial" w:cs="Arial" w:eastAsia="Arial" w:hAnsi="Arial"/>
                <w:b w:val="false"/>
                <w:bCs w:val="false"/>
                <w:i w:val="false"/>
                <w:iCs w:val="false"/>
                <w:color w:val="99AABB"/>
                <w:sz w:val="18"/>
                <w:szCs w:val="18"/>
              </w:rPr>
              <w:t xml:space="preserve">A Five-Prototype Growth System  ·  Concept Overview  ·  April 2026</w:t>
            </w:r>
          </w:p>
          <w:p>
            <w:pPr>
              <w:spacing w:after="0" w:before="0"/>
              <w:jc w:val="left"/>
            </w:pPr>
            <w:r>
              <w:rPr>
                <w:rFonts w:ascii="Arial" w:cs="Arial" w:eastAsia="Arial" w:hAnsi="Arial"/>
                <w:b w:val="false"/>
                <w:bCs w:val="false"/>
                <w:i w:val="false"/>
                <w:iCs w:val="false"/>
                <w:color w:val="667788"/>
                <w:sz w:val="16"/>
                <w:szCs w:val="16"/>
              </w:rPr>
              <w:t xml:space="preserve">Version 1.0  ·  Confidential  ·  For Board Discussion</w:t>
            </w:r>
          </w:p>
        </w:tc>
      </w:tr>
      <w:tr>
        <w:tc>
          <w:tcPr>
            <w:tcW w:type="dxa" w:w="9360"/>
            <w:tcBorders>
              <w:top w:val="none" w:color="FFFFFF" w:sz="0"/>
              <w:left w:val="none" w:color="FFFFFF" w:sz="0"/>
              <w:bottom w:val="single" w:color="D4185A" w:sz="14"/>
              <w:right w:val="none" w:color="FFFFFF" w:sz="0"/>
            </w:tcBorders>
            <w:shd w:fill="0D2B55" w:val="clear"/>
          </w:tcPr>
          <w:p>
            <w:pPr>
              <w:spacing w:after="0" w:before="0"/>
              <w:jc w:val="left"/>
            </w:pPr>
            <w:r>
              <w:rPr>
                <w:rFonts w:ascii="Arial" w:cs="Arial" w:eastAsia="Arial" w:hAnsi="Arial"/>
                <w:b w:val="false"/>
                <w:bCs w:val="false"/>
                <w:i w:val="false"/>
                <w:iCs w:val="false"/>
                <w:color w:val="000000"/>
                <w:sz w:val="2"/>
                <w:szCs w:val="2"/>
              </w:rPr>
              <w:t xml:space="preserve"/>
            </w:r>
          </w:p>
        </w:tc>
      </w:tr>
    </w:tbl>
    <w:p>
      <w:pPr>
        <w:spacing w:after="0" w:before="120"/>
      </w:pPr>
      <w:r>
        <w:rPr>
          <w:rFonts w:ascii="Arial" w:cs="Arial" w:eastAsia="Arial" w:hAnsi="Arial"/>
          <w:b w:val="false"/>
          <w:bCs w:val="false"/>
          <w:i w:val="false"/>
          <w:iCs w:val="false"/>
          <w:color w:val="000000"/>
          <w:sz w:val="4"/>
          <w:szCs w:val="4"/>
        </w:rPr>
        <w:t xml:space="preserve"/>
      </w:r>
    </w:p>
    <w:p>
      <w:pPr>
        <w:spacing w:after="100" w:before="60"/>
        <w:jc w:val="left"/>
      </w:pPr>
      <w:r>
        <w:rPr>
          <w:rFonts w:ascii="Arial" w:cs="Arial" w:eastAsia="Arial" w:hAnsi="Arial"/>
          <w:b w:val="false"/>
          <w:bCs w:val="false"/>
          <w:i w:val="false"/>
          <w:iCs w:val="false"/>
          <w:color w:val="000000"/>
          <w:sz w:val="19"/>
          <w:szCs w:val="19"/>
        </w:rPr>
        <w:t xml:space="preserve">VPS Lakeshore, Kochi is the origin and governance anchor of a five-prototype healthcare network. Each prototype is a distinct institutional model defined by its clinical identity, target population, and place in the system. The Kochi campus houses the first two: the renovated New Block becomes </w:t>
      </w:r>
      <w:r>
        <w:rPr>
          <w:rFonts w:ascii="Arial" w:cs="Arial" w:eastAsia="Arial" w:hAnsi="Arial"/>
          <w:b/>
          <w:bCs/>
          <w:i w:val="false"/>
          <w:iCs w:val="false"/>
          <w:color w:val="000000"/>
          <w:sz w:val="19"/>
          <w:szCs w:val="19"/>
        </w:rPr>
        <w:t xml:space="preserve">Lakeshore Precision Medicine Centre</w:t>
      </w:r>
      <w:r>
        <w:rPr>
          <w:rFonts w:ascii="Arial" w:cs="Arial" w:eastAsia="Arial" w:hAnsi="Arial"/>
          <w:b w:val="false"/>
          <w:bCs w:val="false"/>
          <w:i w:val="false"/>
          <w:iCs w:val="false"/>
          <w:color w:val="000000"/>
          <w:sz w:val="19"/>
          <w:szCs w:val="19"/>
        </w:rPr>
        <w:t xml:space="preserve">, and the renovated Main Block becomes </w:t>
      </w:r>
      <w:r>
        <w:rPr>
          <w:rFonts w:ascii="Arial" w:cs="Arial" w:eastAsia="Arial" w:hAnsi="Arial"/>
          <w:b/>
          <w:bCs/>
          <w:i w:val="false"/>
          <w:iCs w:val="false"/>
          <w:color w:val="000000"/>
          <w:sz w:val="19"/>
          <w:szCs w:val="19"/>
        </w:rPr>
        <w:t xml:space="preserve">Lakeshore Hospital</w:t>
      </w:r>
      <w:r>
        <w:rPr>
          <w:rFonts w:ascii="Arial" w:cs="Arial" w:eastAsia="Arial" w:hAnsi="Arial"/>
          <w:b w:val="false"/>
          <w:bCs w:val="false"/>
          <w:i w:val="false"/>
          <w:iCs w:val="false"/>
          <w:color w:val="000000"/>
          <w:sz w:val="19"/>
          <w:szCs w:val="19"/>
        </w:rPr>
        <w:t xml:space="preserve">. Together they establish the clinical standards and operational templates that every subsequent node is built upon.</w:t>
      </w:r>
    </w:p>
    <w:p>
      <w:pPr>
        <w:pBdr>
          <w:bottom w:val="single" w:color="D4185A" w:sz="6" w:space="1"/>
        </w:pBdr>
        <w:spacing w:after="40" w:before="40"/>
      </w:pPr>
      <w:r>
        <w:rPr>
          <w:rFonts w:ascii="Arial" w:cs="Arial" w:eastAsia="Arial" w:hAnsi="Arial"/>
          <w:b w:val="false"/>
          <w:bCs w:val="false"/>
          <w:i w:val="false"/>
          <w:iCs w:val="false"/>
          <w:color w:val="000000"/>
          <w:sz w:val="4"/>
          <w:szCs w:val="4"/>
        </w:rPr>
        <w:t xml:space="preserve"/>
      </w:r>
    </w:p>
    <w:p>
      <w:pPr>
        <w:spacing w:after="0" w:before="80"/>
      </w:pPr>
      <w:r>
        <w:rPr>
          <w:rFonts w:ascii="Arial" w:cs="Arial" w:eastAsia="Arial" w:hAnsi="Arial"/>
          <w:b w:val="false"/>
          <w:bCs w:val="false"/>
          <w:i w:val="false"/>
          <w:iCs w:val="false"/>
          <w:color w:val="000000"/>
          <w:sz w:val="4"/>
          <w:szCs w:val="4"/>
        </w:rPr>
        <w:t xml:space="preserve"/>
      </w:r>
    </w:p>
    <w:p>
      <w:pPr>
        <w:spacing w:after="0" w:before="0"/>
      </w:pPr>
      <w:r>
        <w:drawing>
          <wp:inline distT="0" distB="0" distL="0" distR="0">
            <wp:extent cx="5943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FFFFFF" w:val="clear"/>
            <w:tcMar>
              <w:top w:type="dxa" w:w="100"/>
              <w:left w:type="dxa" w:w="0"/>
              <w:bottom w:type="dxa" w:w="0"/>
              <w:right w:type="dxa" w:w="160"/>
            </w:tcMar>
            <w:vAlign w:val="top"/>
          </w:tcPr>
          <w:p>
            <w:pPr>
              <w:spacing w:after="100" w:before="0"/>
              <w:jc w:val="left"/>
            </w:pPr>
            <w:r>
              <w:rPr>
                <w:rFonts w:ascii="Arial" w:cs="Arial" w:eastAsia="Arial" w:hAnsi="Arial"/>
                <w:b w:val="false"/>
                <w:bCs w:val="false"/>
                <w:i w:val="false"/>
                <w:iCs w:val="false"/>
                <w:color w:val="000000"/>
                <w:sz w:val="17"/>
                <w:szCs w:val="17"/>
              </w:rPr>
              <w:t xml:space="preserve">The clinical programme is organised around five verticals: Haemato-Oncology and BMT/CAR-T; Precision Oncology for solid tumours; Organ-Specific Transplantation covering liver, kidney, and multi-organ; Rare Disease, Metabolic Disorders, and Immunology; and Genomics, Molecular Surveillance, Prevention, and Clinical Trials.</w:t>
            </w:r>
          </w:p>
          <w:p>
            <w:pPr>
              <w:spacing w:after="100" w:before="0"/>
              <w:jc w:val="left"/>
            </w:pPr>
            <w:r>
              <w:rPr>
                <w:rFonts w:ascii="Arial" w:cs="Arial" w:eastAsia="Arial" w:hAnsi="Arial"/>
                <w:b w:val="false"/>
                <w:bCs w:val="false"/>
                <w:i w:val="false"/>
                <w:iCs w:val="false"/>
                <w:color w:val="000000"/>
                <w:sz w:val="17"/>
                <w:szCs w:val="17"/>
              </w:rPr>
              <w:t xml:space="preserve">Every programme in the building is genomics-integrated. Clinical workup begins with whole-exome or whole-genome sequencing where indicated, pharmacogenomic profiling informs drug selection, liquid biopsy surveillance tracks treatment response, and Phase I–III clinical trials are embedded in the care pathway rather than siloed from it. The facility carries a biobank and a molecular diagnostics laboratory capable of same-day gene panel reporting.</w:t>
            </w:r>
          </w:p>
          <w:p>
            <w:pPr>
              <w:spacing w:after="80" w:before="0"/>
              <w:jc w:val="left"/>
            </w:pPr>
            <w:r>
              <w:rPr>
                <w:rFonts w:ascii="Arial" w:cs="Arial" w:eastAsia="Arial" w:hAnsi="Arial"/>
                <w:b w:val="false"/>
                <w:bCs w:val="false"/>
                <w:i w:val="false"/>
                <w:iCs w:val="false"/>
                <w:color w:val="000000"/>
                <w:sz w:val="17"/>
                <w:szCs w:val="17"/>
              </w:rPr>
              <w:t xml:space="preserve">The Precision Prevention Clinic at Ground Floor functions as the public-facing entry point for genomic risk assessment, hereditary cancer screening, and liquid biopsy surveillance for individuals without an active diagnosis — a well-patient environment, deliberately separated in flow and aesthetic from the treatment OPD floors above. International and NRI patients are received through a dedicated LPMC Reception and International Lounge, with a ring-fenced admission pathway bypassing the general OPD queue.</w:t>
            </w:r>
          </w:p>
        </w:tc>
        <w:tc>
          <w:tcPr>
            <w:tcW w:type="dxa" w:w="4960"/>
            <w:tcBorders>
              <w:top w:val="none" w:color="FFFFFF" w:sz="0"/>
              <w:left w:val="none" w:color="FFFFFF" w:sz="0"/>
              <w:bottom w:val="none" w:color="FFFFFF" w:sz="0"/>
              <w:right w:val="none" w:color="FFFFFF" w:sz="0"/>
            </w:tcBorders>
            <w:shd w:fill="FFFFFF" w:val="clear"/>
            <w:tcMar>
              <w:top w:type="dxa" w:w="80"/>
              <w:left w:type="dxa" w:w="0"/>
              <w:bottom w:type="dxa" w:w="0"/>
              <w:right w:type="dxa" w:w="0"/>
            </w:tcMar>
            <w:vAlign w:val="top"/>
          </w:tcPr>
          <w:p>
            <w:pPr>
              <w:spacing w:after="40" w:before="0"/>
              <w:jc w:val="left"/>
            </w:pPr>
            <w:r>
              <w:rPr>
                <w:rFonts w:ascii="Arial" w:cs="Arial" w:eastAsia="Arial" w:hAnsi="Arial"/>
                <w:b/>
                <w:bCs/>
                <w:i w:val="false"/>
                <w:iCs w:val="false"/>
                <w:color w:val="4A5E72"/>
                <w:sz w:val="11"/>
                <w:szCs w:val="11"/>
              </w:rPr>
              <w:t xml:space="preserve">Floor Stack — Kochi New Block</w:t>
            </w:r>
          </w:p>
          <w:tbl>
            <w:tblPr>
              <w:tblW w:type="dxa" w:w="4960"/>
              <w:tblBorders>
                <w:top w:val="single" w:color="auto" w:sz="4"/>
                <w:left w:val="single" w:color="auto" w:sz="4"/>
                <w:bottom w:val="single" w:color="auto" w:sz="4"/>
                <w:right w:val="single" w:color="auto" w:sz="4"/>
                <w:insideH w:val="single" w:color="auto" w:sz="4"/>
                <w:insideV w:val="single" w:color="auto" w:sz="4"/>
              </w:tblBorders>
            </w:tblPr>
            <w:tblGrid>
              <w:gridCol w:w="460"/>
              <w:gridCol w:w="4500"/>
            </w:tblGrid>
            <w:tr>
              <w:tc>
                <w:tcPr>
                  <w:tcW w:type="dxa" w:w="460"/>
                  <w:tcBorders>
                    <w:top w:val="single" w:color="0D2B55" w:sz="1"/>
                    <w:left w:val="single" w:color="0D2B55" w:sz="1"/>
                    <w:bottom w:val="single" w:color="0D2B55" w:sz="1"/>
                    <w:right w:val="single" w:color="0D2B55" w:sz="1"/>
                  </w:tcBorders>
                  <w:shd w:fill="0D2B55" w:val="clear"/>
                  <w:tcMar>
                    <w:top w:type="dxa" w:w="44"/>
                    <w:left w:type="dxa" w:w="50"/>
                    <w:bottom w:type="dxa" w:w="44"/>
                    <w:right w:type="dxa" w:w="50"/>
                  </w:tcMar>
                </w:tcPr>
                <w:p>
                  <w:pPr>
                    <w:spacing w:after="0" w:before="0"/>
                    <w:jc w:val="center"/>
                  </w:pPr>
                  <w:r>
                    <w:rPr>
                      <w:rFonts w:ascii="Arial" w:cs="Arial" w:eastAsia="Arial" w:hAnsi="Arial"/>
                      <w:b/>
                      <w:bCs/>
                      <w:i w:val="false"/>
                      <w:iCs w:val="false"/>
                      <w:color w:val="FFFFFF"/>
                      <w:sz w:val="11"/>
                      <w:szCs w:val="11"/>
                    </w:rPr>
                    <w:t xml:space="preserve">Floor</w:t>
                  </w:r>
                </w:p>
              </w:tc>
              <w:tc>
                <w:tcPr>
                  <w:tcW w:type="dxa" w:w="4500"/>
                  <w:tcBorders>
                    <w:top w:val="single" w:color="0D2B55" w:sz="1"/>
                    <w:left w:val="single" w:color="0D2B55" w:sz="1"/>
                    <w:bottom w:val="single" w:color="0D2B55" w:sz="1"/>
                    <w:right w:val="single" w:color="0D2B55" w:sz="1"/>
                  </w:tcBorders>
                  <w:shd w:fill="0D2B55" w:val="clear"/>
                  <w:tcMar>
                    <w:top w:type="dxa" w:w="44"/>
                    <w:left w:type="dxa" w:w="90"/>
                    <w:bottom w:type="dxa" w:w="44"/>
                    <w:right w:type="dxa" w:w="60"/>
                  </w:tcMar>
                </w:tcPr>
                <w:p>
                  <w:pPr>
                    <w:spacing w:after="0" w:before="0"/>
                    <w:jc w:val="left"/>
                  </w:pPr>
                  <w:r>
                    <w:rPr>
                      <w:rFonts w:ascii="Arial" w:cs="Arial" w:eastAsia="Arial" w:hAnsi="Arial"/>
                      <w:b/>
                      <w:bCs/>
                      <w:i w:val="false"/>
                      <w:iCs w:val="false"/>
                      <w:color w:val="FFFFFF"/>
                      <w:sz w:val="11"/>
                      <w:szCs w:val="11"/>
                    </w:rPr>
                    <w:t xml:space="preserve">Clinical Content</w:t>
                  </w:r>
                </w:p>
              </w:tc>
            </w:tr>
            <w:tr>
              <w:tc>
                <w:tcPr>
                  <w:tcW w:type="dxa" w:w="460"/>
                  <w:tcBorders>
                    <w:top w:val="single" w:color="D0D8E0" w:sz="1"/>
                    <w:left w:val="single" w:color="D0D8E0" w:sz="1"/>
                    <w:bottom w:val="single" w:color="D0D8E0" w:sz="1"/>
                    <w:right w:val="single" w:color="D0D8E0" w:sz="1"/>
                  </w:tcBorders>
                  <w:shd w:fill="0D2B55"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F10</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Premium Inpatient — international, single rooms, post-BMT and post-transplant step-down, Digital Command Centre, NRI and medical value travel accommodation</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F9</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BMT and Cellular Therapy — HEPA+ positive-pressure rooms for allo/auto HSCT, CAR-T, and GVHD management, dedicated BMT nursing station and day care, pharmacy satellite</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F8</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Onco ICU, AIIR Isolation rooms ×4 (negative-pressure), Step-Down and HDU, Immunocompromised Inpatient</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F7</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Haematology and Blood Disorders Ward, Complex Care Inpatient for rare tumours, sarcoma, neuro-oncology and neuromuscular conditions, Palliative and Symptom Management sub-zone</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F6</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Chemotherapy Daycare, Complex Infusion for immunotherapy and bispecific antibodies, Rare Disease Infusion for enzyme replacement and factor concentrates, pharmacy satellite</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F5</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Clinical Trials Unit with Phase I monitoring bays and Phase II/III bays, Investigational Medicinal Product Pharmacy, bioinformatics workstations, sponsor liaison</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F4</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Comprehensive Liver Care and Hepatobiliary, GI Surgery, Medical Gastroenterology, Endoscopy and Bronchoscopy with dedicated decontamination zone, Gastro ICU</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F3</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Transplant OPD, Renal Sciences, GI and Hepatobiliary Institute OPD, MDT Clinic Pods, Transplant workup, IVF and Reproductive Medicine with independent HVAC</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F2</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Neurosciences OPD, Rare Disease OPD, Genetic Counselling rooms, Neuromuscular OPD</w:t>
                  </w:r>
                </w:p>
              </w:tc>
            </w:tr>
            <w:tr>
              <w:tc>
                <w:tcPr>
                  <w:tcW w:type="dxa" w:w="460"/>
                  <w:tcBorders>
                    <w:top w:val="single" w:color="D0D8E0" w:sz="1"/>
                    <w:left w:val="single" w:color="D0D8E0" w:sz="1"/>
                    <w:bottom w:val="single" w:color="D0D8E0" w:sz="1"/>
                    <w:right w:val="single" w:color="D0D8E0" w:sz="1"/>
                  </w:tcBorders>
                  <w:shd w:fill="C8D4E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0D2B55"/>
                      <w:sz w:val="12"/>
                      <w:szCs w:val="12"/>
                    </w:rPr>
                    <w:t xml:space="preserve">F1</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Onco Sciences and Haematology OPD, BMT OPD, Phlebotomy, Pharmacy</w:t>
                  </w:r>
                </w:p>
              </w:tc>
            </w:tr>
            <w:tr>
              <w:tc>
                <w:tcPr>
                  <w:tcW w:type="dxa" w:w="460"/>
                  <w:tcBorders>
                    <w:top w:val="single" w:color="D0D8E0" w:sz="1"/>
                    <w:left w:val="single" w:color="D0D8E0" w:sz="1"/>
                    <w:bottom w:val="single" w:color="D0D8E0" w:sz="1"/>
                    <w:right w:val="single" w:color="D0D8E0" w:sz="1"/>
                  </w:tcBorders>
                  <w:shd w:fill="0D2B55"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G</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LPMC Reception and International Lounge, Precision Prevention Clinic, Urgent Oncology and Toxicity Review, OPD Billing and Admissions</w:t>
                  </w:r>
                </w:p>
              </w:tc>
            </w:tr>
            <w:tr>
              <w:tc>
                <w:tcPr>
                  <w:tcW w:type="dxa" w:w="460"/>
                  <w:tcBorders>
                    <w:top w:val="single" w:color="D0D8E0" w:sz="1"/>
                    <w:left w:val="single" w:color="D0D8E0" w:sz="1"/>
                    <w:bottom w:val="single" w:color="D0D8E0" w:sz="1"/>
                    <w:right w:val="single" w:color="D0D8E0" w:sz="1"/>
                  </w:tcBorders>
                  <w:shd w:fill="0D2B55"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B1</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Advanced Radiology — MRI ×2, CT, PET-CT with dedicated uptake and isolation rooms, MDT Boardrooms, Molecular Diagnostics and Genomics Laboratory, Apheresis unit</w:t>
                  </w:r>
                </w:p>
              </w:tc>
            </w:tr>
            <w:tr>
              <w:tc>
                <w:tcPr>
                  <w:tcW w:type="dxa" w:w="460"/>
                  <w:tcBorders>
                    <w:top w:val="single" w:color="D0D8E0" w:sz="1"/>
                    <w:left w:val="single" w:color="D0D8E0" w:sz="1"/>
                    <w:bottom w:val="single" w:color="D0D8E0" w:sz="1"/>
                    <w:right w:val="single" w:color="D0D8E0" w:sz="1"/>
                  </w:tcBorders>
                  <w:shd w:fill="0D2B55"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B2</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Radiation Oncology — LINAC vault, HDR Brachytherapy, CyberKnife, Dosimetry and Treatment Planning, Tumour Board Room, CSSD satellite, Medical Records back-office</w:t>
                  </w:r>
                </w:p>
              </w:tc>
            </w:tr>
          </w:tbl>
          <w:p/>
        </w:tc>
      </w:tr>
    </w:tbl>
    <w:p>
      <w:pPr>
        <w:spacing w:after="0" w:before="60"/>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single" w:color="0D2B55" w:sz="1"/>
              <w:left w:val="single" w:color="0D2B55" w:sz="1"/>
              <w:bottom w:val="single" w:color="0D2B55" w:sz="1"/>
              <w:right w:val="single" w:color="0D2B55" w:sz="1"/>
            </w:tcBorders>
            <w:shd w:fill="0D2B55"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Benchmark</w:t>
            </w:r>
          </w:p>
        </w:tc>
        <w:tc>
          <w:tcPr>
            <w:tcW w:type="dxa" w:w="8400"/>
            <w:tcBorders>
              <w:top w:val="single" w:color="0D2B55" w:sz="1"/>
              <w:left w:val="single" w:color="0D2B55" w:sz="1"/>
              <w:bottom w:val="single" w:color="0D2B55" w:sz="1"/>
              <w:right w:val="single" w:color="0D2B55" w:sz="1"/>
            </w:tcBorders>
            <w:shd w:fill="0D2B55"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Institution &amp; Rationale</w:t>
            </w:r>
          </w:p>
        </w:tc>
      </w:tr>
      <w:tr>
        <w:tc>
          <w:tcPr>
            <w:tcW w:type="dxa" w:w="960"/>
            <w:tcBorders>
              <w:top w:val="single" w:color="D0D8E0" w:sz="1"/>
              <w:left w:val="single" w:color="D0D8E0" w:sz="1"/>
              <w:bottom w:val="single" w:color="D0D8E0" w:sz="1"/>
              <w:right w:val="single" w:color="D0D8E0" w:sz="1"/>
            </w:tcBorders>
            <w:shd w:fill="C8D4E8"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0D2B55"/>
                <w:sz w:val="13"/>
                <w:szCs w:val="13"/>
              </w:rPr>
              <w:t xml:space="preserve">Global</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NIH Undiagnosed Diseases Program (UDP), Bethesda, Maryland — a multidisciplinary, genomics-led evaluation programme for patients with rare and undiagnosed conditions, embedding whole-genome and whole-exome sequencing, multidisciplinary case conferencing, and biobank-linked research into a single clinical encounter at the NIH Clinical Center.</w:t>
            </w:r>
          </w:p>
        </w:tc>
      </w:tr>
      <w:tr>
        <w:tc>
          <w:tcPr>
            <w:tcW w:type="dxa" w:w="960"/>
            <w:tcBorders>
              <w:top w:val="single" w:color="D0D8E0" w:sz="1"/>
              <w:left w:val="single" w:color="D0D8E0" w:sz="1"/>
              <w:bottom w:val="single" w:color="D0D8E0" w:sz="1"/>
              <w:right w:val="single" w:color="D0D8E0" w:sz="1"/>
            </w:tcBorders>
            <w:shd w:fill="F8F9FA"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0D2B55"/>
                <w:sz w:val="13"/>
                <w:szCs w:val="13"/>
              </w:rPr>
              <w:t xml:space="preserve">India</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Institute of Medical Genetics and Genomics, Sir Ganga Ram Hospital, New Delhi — India's leading clinical genetics and genomics centre, conducting approximately 20,000 genetic tests annually across cytogenetic, molecular, biochemical, and HLA sections, and a founding member of the Undiagnosed Diseases Network International.</w:t>
            </w:r>
          </w:p>
        </w:tc>
      </w:tr>
    </w:tbl>
    <w:p>
      <w:pPr>
        <w:spacing w:after="0" w:before="60"/>
      </w:pPr>
      <w:r>
        <w:rPr>
          <w:rFonts w:ascii="Arial" w:cs="Arial" w:eastAsia="Arial" w:hAnsi="Arial"/>
          <w:b w:val="false"/>
          <w:bCs w:val="false"/>
          <w:i w:val="false"/>
          <w:iCs w:val="false"/>
          <w:color w:val="000000"/>
          <w:sz w:val="4"/>
          <w:szCs w:val="4"/>
        </w:rPr>
        <w:t xml:space="preserve"/>
      </w:r>
    </w:p>
    <w:p>
      <w:pPr>
        <w:spacing w:after="0" w:before="0"/>
      </w:pPr>
      <w:r>
        <w:drawing>
          <wp:inline distT="0" distB="0" distL="0" distR="0">
            <wp:extent cx="5943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FFFFFF" w:val="clear"/>
            <w:tcMar>
              <w:top w:type="dxa" w:w="100"/>
              <w:left w:type="dxa" w:w="0"/>
              <w:bottom w:type="dxa" w:w="0"/>
              <w:right w:type="dxa" w:w="160"/>
            </w:tcMar>
            <w:vAlign w:val="top"/>
          </w:tcPr>
          <w:p>
            <w:pPr>
              <w:spacing w:after="100" w:before="0"/>
              <w:jc w:val="left"/>
            </w:pPr>
            <w:r>
              <w:rPr>
                <w:rFonts w:ascii="Arial" w:cs="Arial" w:eastAsia="Arial" w:hAnsi="Arial"/>
                <w:b w:val="false"/>
                <w:bCs w:val="false"/>
                <w:i w:val="false"/>
                <w:iCs w:val="false"/>
                <w:color w:val="000000"/>
                <w:sz w:val="17"/>
                <w:szCs w:val="17"/>
              </w:rPr>
              <w:t xml:space="preserve">Superspecialty referral hospital. Clinical scope covers Cardiac Sciences, Neurosciences, Maternal and Child Health, Orthopaedics and Musculoskeletal Surgery, Gastroenterology, Nephrology, Emergency and Trauma, and high-acuity critical care across MICU, Cardiac ICU, and transplant ICUs.</w:t>
            </w:r>
          </w:p>
          <w:p>
            <w:pPr>
              <w:spacing w:after="80" w:before="0"/>
              <w:jc w:val="left"/>
            </w:pPr>
            <w:r>
              <w:rPr>
                <w:rFonts w:ascii="Arial" w:cs="Arial" w:eastAsia="Arial" w:hAnsi="Arial"/>
                <w:b w:val="false"/>
                <w:bCs w:val="false"/>
                <w:i w:val="false"/>
                <w:iCs w:val="false"/>
                <w:color w:val="000000"/>
                <w:sz w:val="17"/>
                <w:szCs w:val="17"/>
              </w:rPr>
              <w:t xml:space="preserve">The OT suite on F2 runs the full procedural range — general, cardiac, neuro, orthopaedic, and GI — with the transplant complex linked by a sterile corridor to the New Block. A&amp;E at Ground has a physically separate entrance, triage zone, and resus bays from elective OPD. The Immunocompromised Ward at F9 runs its own dedicated AHU, sited three floors above the general wards.</w:t>
            </w:r>
          </w:p>
        </w:tc>
        <w:tc>
          <w:tcPr>
            <w:tcW w:type="dxa" w:w="4960"/>
            <w:tcBorders>
              <w:top w:val="none" w:color="FFFFFF" w:sz="0"/>
              <w:left w:val="none" w:color="FFFFFF" w:sz="0"/>
              <w:bottom w:val="none" w:color="FFFFFF" w:sz="0"/>
              <w:right w:val="none" w:color="FFFFFF" w:sz="0"/>
            </w:tcBorders>
            <w:shd w:fill="FFFFFF" w:val="clear"/>
            <w:tcMar>
              <w:top w:type="dxa" w:w="80"/>
              <w:left w:type="dxa" w:w="0"/>
              <w:bottom w:type="dxa" w:w="0"/>
              <w:right w:type="dxa" w:w="0"/>
            </w:tcMar>
            <w:vAlign w:val="top"/>
          </w:tcPr>
          <w:p>
            <w:pPr>
              <w:spacing w:after="40" w:before="0"/>
              <w:jc w:val="left"/>
            </w:pPr>
            <w:r>
              <w:rPr>
                <w:rFonts w:ascii="Arial" w:cs="Arial" w:eastAsia="Arial" w:hAnsi="Arial"/>
                <w:b/>
                <w:bCs/>
                <w:i w:val="false"/>
                <w:iCs w:val="false"/>
                <w:color w:val="4A5E72"/>
                <w:sz w:val="11"/>
                <w:szCs w:val="11"/>
              </w:rPr>
              <w:t xml:space="preserve">Floor Stack — Kochi Main Block</w:t>
            </w:r>
          </w:p>
          <w:tbl>
            <w:tblPr>
              <w:tblW w:type="dxa" w:w="4960"/>
              <w:tblBorders>
                <w:top w:val="single" w:color="auto" w:sz="4"/>
                <w:left w:val="single" w:color="auto" w:sz="4"/>
                <w:bottom w:val="single" w:color="auto" w:sz="4"/>
                <w:right w:val="single" w:color="auto" w:sz="4"/>
                <w:insideH w:val="single" w:color="auto" w:sz="4"/>
                <w:insideV w:val="single" w:color="auto" w:sz="4"/>
              </w:tblBorders>
            </w:tblPr>
            <w:tblGrid>
              <w:gridCol w:w="460"/>
              <w:gridCol w:w="4500"/>
            </w:tblGrid>
            <w:tr>
              <w:tc>
                <w:tcPr>
                  <w:tcW w:type="dxa" w:w="460"/>
                  <w:tcBorders>
                    <w:top w:val="single" w:color="153A6E" w:sz="1"/>
                    <w:left w:val="single" w:color="153A6E" w:sz="1"/>
                    <w:bottom w:val="single" w:color="153A6E" w:sz="1"/>
                    <w:right w:val="single" w:color="153A6E" w:sz="1"/>
                  </w:tcBorders>
                  <w:shd w:fill="153A6E" w:val="clear"/>
                  <w:tcMar>
                    <w:top w:type="dxa" w:w="44"/>
                    <w:left w:type="dxa" w:w="50"/>
                    <w:bottom w:type="dxa" w:w="44"/>
                    <w:right w:type="dxa" w:w="50"/>
                  </w:tcMar>
                </w:tcPr>
                <w:p>
                  <w:pPr>
                    <w:spacing w:after="0" w:before="0"/>
                    <w:jc w:val="center"/>
                  </w:pPr>
                  <w:r>
                    <w:rPr>
                      <w:rFonts w:ascii="Arial" w:cs="Arial" w:eastAsia="Arial" w:hAnsi="Arial"/>
                      <w:b/>
                      <w:bCs/>
                      <w:i w:val="false"/>
                      <w:iCs w:val="false"/>
                      <w:color w:val="FFFFFF"/>
                      <w:sz w:val="11"/>
                      <w:szCs w:val="11"/>
                    </w:rPr>
                    <w:t xml:space="preserve">Floor</w:t>
                  </w:r>
                </w:p>
              </w:tc>
              <w:tc>
                <w:tcPr>
                  <w:tcW w:type="dxa" w:w="4500"/>
                  <w:tcBorders>
                    <w:top w:val="single" w:color="153A6E" w:sz="1"/>
                    <w:left w:val="single" w:color="153A6E" w:sz="1"/>
                    <w:bottom w:val="single" w:color="153A6E" w:sz="1"/>
                    <w:right w:val="single" w:color="153A6E" w:sz="1"/>
                  </w:tcBorders>
                  <w:shd w:fill="153A6E" w:val="clear"/>
                  <w:tcMar>
                    <w:top w:type="dxa" w:w="44"/>
                    <w:left w:type="dxa" w:w="90"/>
                    <w:bottom w:type="dxa" w:w="44"/>
                    <w:right w:type="dxa" w:w="60"/>
                  </w:tcMar>
                </w:tcPr>
                <w:p>
                  <w:pPr>
                    <w:spacing w:after="0" w:before="0"/>
                    <w:jc w:val="left"/>
                  </w:pPr>
                  <w:r>
                    <w:rPr>
                      <w:rFonts w:ascii="Arial" w:cs="Arial" w:eastAsia="Arial" w:hAnsi="Arial"/>
                      <w:b/>
                      <w:bCs/>
                      <w:i w:val="false"/>
                      <w:iCs w:val="false"/>
                      <w:color w:val="FFFFFF"/>
                      <w:sz w:val="11"/>
                      <w:szCs w:val="11"/>
                    </w:rPr>
                    <w:t xml:space="preserve">Clinical Content</w:t>
                  </w:r>
                </w:p>
              </w:tc>
            </w:tr>
            <w:tr>
              <w:tc>
                <w:tcPr>
                  <w:tcW w:type="dxa" w:w="460"/>
                  <w:tcBorders>
                    <w:top w:val="single" w:color="D0D8E0" w:sz="1"/>
                    <w:left w:val="single" w:color="D0D8E0" w:sz="1"/>
                    <w:bottom w:val="single" w:color="D0D8E0" w:sz="1"/>
                    <w:right w:val="single" w:color="D0D8E0" w:sz="1"/>
                  </w:tcBorders>
                  <w:shd w:fill="153A6E"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F10</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Executive Floor — suites, deluxe rooms, single rooms, dedicated billing and reception, VIP admission pathway</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F9</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Twin and single inpatient rooms, Cardiac HDU, Immunocompromised Ward with dedicated AHU and restricted access</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F8</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General Inpatient Wards, Physiotherapy and Rehabilitation</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F7</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Blood Bank, Apheresis, Cord Store, IP Pharmacy</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F6</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Transplant ICUs for liver, renal, and BMT, Routine Laboratory, ICU Visiting, dedicated lift for immunocompromised transplant patients</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F5</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MICU, Cardiac ICU, IPD Billing</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F4</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Paediatrics Ward, PICU, Reproductive Medicine with independent HVAC wing, Microbiology, Pathology, and Histopathology Laboratory</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F3</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Obstetrics, Labour and Delivery Suite, NICU in a separate wing from PICU, Neonatology</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F2</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Main OT Suite covering general, cardiac, neuro, orthopaedic, GI, and transplant procedures, DSA, Cath Lab, SICU, Anaesthesiology, Pre-op, Recovery</w:t>
                  </w:r>
                </w:p>
              </w:tc>
            </w:tr>
            <w:tr>
              <w:tc>
                <w:tcPr>
                  <w:tcW w:type="dxa" w:w="460"/>
                  <w:tcBorders>
                    <w:top w:val="single" w:color="D0D8E0" w:sz="1"/>
                    <w:left w:val="single" w:color="D0D8E0" w:sz="1"/>
                    <w:bottom w:val="single" w:color="D0D8E0" w:sz="1"/>
                    <w:right w:val="single" w:color="D0D8E0" w:sz="1"/>
                  </w:tcBorders>
                  <w:shd w:fill="C8D8EC"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153A6E"/>
                      <w:sz w:val="12"/>
                      <w:szCs w:val="12"/>
                    </w:rPr>
                    <w:t xml:space="preserve">F1</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Specialist OPD, Dialysis, Daycare, Administration</w:t>
                  </w:r>
                </w:p>
              </w:tc>
            </w:tr>
            <w:tr>
              <w:tc>
                <w:tcPr>
                  <w:tcW w:type="dxa" w:w="460"/>
                  <w:tcBorders>
                    <w:top w:val="single" w:color="D0D8E0" w:sz="1"/>
                    <w:left w:val="single" w:color="D0D8E0" w:sz="1"/>
                    <w:bottom w:val="single" w:color="D0D8E0" w:sz="1"/>
                    <w:right w:val="single" w:color="D0D8E0" w:sz="1"/>
                  </w:tcBorders>
                  <w:shd w:fill="153A6E"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G</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A&amp;E with a dedicated entrance, triage, and resus area physically separated from elective OPD, Radiology, Pharmacy, Reception, Patient Services</w:t>
                  </w:r>
                </w:p>
              </w:tc>
            </w:tr>
          </w:tbl>
          <w:p/>
        </w:tc>
      </w:tr>
    </w:tbl>
    <w:p>
      <w:pPr>
        <w:spacing w:after="0" w:before="60"/>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single" w:color="153A6E" w:sz="1"/>
              <w:left w:val="single" w:color="153A6E" w:sz="1"/>
              <w:bottom w:val="single" w:color="153A6E" w:sz="1"/>
              <w:right w:val="single" w:color="153A6E" w:sz="1"/>
            </w:tcBorders>
            <w:shd w:fill="153A6E"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Benchmark</w:t>
            </w:r>
          </w:p>
        </w:tc>
        <w:tc>
          <w:tcPr>
            <w:tcW w:type="dxa" w:w="8400"/>
            <w:tcBorders>
              <w:top w:val="single" w:color="153A6E" w:sz="1"/>
              <w:left w:val="single" w:color="153A6E" w:sz="1"/>
              <w:bottom w:val="single" w:color="153A6E" w:sz="1"/>
              <w:right w:val="single" w:color="153A6E" w:sz="1"/>
            </w:tcBorders>
            <w:shd w:fill="153A6E"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Institution &amp; Rationale</w:t>
            </w:r>
          </w:p>
        </w:tc>
      </w:tr>
      <w:tr>
        <w:tc>
          <w:tcPr>
            <w:tcW w:type="dxa" w:w="960"/>
            <w:tcBorders>
              <w:top w:val="single" w:color="D0D8E0" w:sz="1"/>
              <w:left w:val="single" w:color="D0D8E0" w:sz="1"/>
              <w:bottom w:val="single" w:color="D0D8E0" w:sz="1"/>
              <w:right w:val="single" w:color="D0D8E0" w:sz="1"/>
            </w:tcBorders>
            <w:shd w:fill="C8D8EC"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153A6E"/>
                <w:sz w:val="13"/>
                <w:szCs w:val="13"/>
              </w:rPr>
              <w:t xml:space="preserve">Global</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Cleveland Clinic, Ohio — an institute-based multispecialty referral model in which every major clinical domain operates as a named institute with its own multidisciplinary team, consistently ranked among the top institutions in cardiology, neurosciences, and transplantation in the United States.</w:t>
            </w:r>
          </w:p>
        </w:tc>
      </w:tr>
      <w:tr>
        <w:tc>
          <w:tcPr>
            <w:tcW w:type="dxa" w:w="960"/>
            <w:tcBorders>
              <w:top w:val="single" w:color="D0D8E0" w:sz="1"/>
              <w:left w:val="single" w:color="D0D8E0" w:sz="1"/>
              <w:bottom w:val="single" w:color="D0D8E0" w:sz="1"/>
              <w:right w:val="single" w:color="D0D8E0" w:sz="1"/>
            </w:tcBorders>
            <w:shd w:fill="F8F9FA"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153A6E"/>
                <w:sz w:val="13"/>
                <w:szCs w:val="13"/>
              </w:rPr>
              <w:t xml:space="preserve">India</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Apollo Hospitals, Chennai — India's established benchmark for superspecialty tertiary referral, carrying JCI accreditation, a broad clinical depth across every major specialty, and a mature international patient programme serving the GCC diaspora and South Asian markets.</w:t>
            </w:r>
          </w:p>
        </w:tc>
      </w:tr>
    </w:tbl>
    <w:p>
      <w:pPr>
        <w:spacing w:after="0" w:before="60"/>
      </w:pPr>
      <w:r>
        <w:rPr>
          <w:rFonts w:ascii="Arial" w:cs="Arial" w:eastAsia="Arial" w:hAnsi="Arial"/>
          <w:b w:val="false"/>
          <w:bCs w:val="false"/>
          <w:i w:val="false"/>
          <w:iCs w:val="false"/>
          <w:color w:val="000000"/>
          <w:sz w:val="4"/>
          <w:szCs w:val="4"/>
        </w:rPr>
        <w:t xml:space="preserve"/>
      </w:r>
    </w:p>
    <w:p>
      <w:pPr>
        <w:pBdr>
          <w:bottom w:val="single" w:color="D0D8E0" w:sz="4" w:space="1"/>
        </w:pBdr>
        <w:spacing w:after="60" w:before="60"/>
      </w:pPr>
      <w:r>
        <w:rPr>
          <w:rFonts w:ascii="Arial" w:cs="Arial" w:eastAsia="Arial" w:hAnsi="Arial"/>
          <w:b w:val="false"/>
          <w:bCs w:val="false"/>
          <w:i w:val="false"/>
          <w:iCs w:val="false"/>
          <w:color w:val="000000"/>
          <w:sz w:val="4"/>
          <w:szCs w:val="4"/>
        </w:rPr>
        <w:t xml:space="preserve"/>
      </w:r>
    </w:p>
    <w:p>
      <w:pPr>
        <w:spacing w:after="0" w:before="0"/>
      </w:pPr>
      <w:r>
        <w:drawing>
          <wp:inline distT="0" distB="0" distL="0" distR="0">
            <wp:extent cx="5943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FFFFFF" w:val="clear"/>
            <w:tcMar>
              <w:top w:type="dxa" w:w="100"/>
              <w:left w:type="dxa" w:w="0"/>
              <w:bottom w:type="dxa" w:w="0"/>
              <w:right w:type="dxa" w:w="160"/>
            </w:tcMar>
            <w:vAlign w:val="top"/>
          </w:tcPr>
          <w:p>
            <w:pPr>
              <w:spacing w:after="100" w:before="0"/>
              <w:jc w:val="left"/>
            </w:pPr>
            <w:r>
              <w:rPr>
                <w:rFonts w:ascii="Arial" w:cs="Arial" w:eastAsia="Arial" w:hAnsi="Arial"/>
                <w:b w:val="false"/>
                <w:bCs w:val="false"/>
                <w:i w:val="false"/>
                <w:iCs w:val="false"/>
                <w:color w:val="000000"/>
                <w:sz w:val="17"/>
                <w:szCs w:val="17"/>
              </w:rPr>
              <w:t xml:space="preserve">A large multispecialty facility serving the urban professional population — IT workforce, young families, and NRI communities — with clinical depth in the conditions of highest prevalence in this demographic.</w:t>
            </w:r>
          </w:p>
          <w:p>
            <w:pPr>
              <w:spacing w:after="80" w:before="0"/>
              <w:jc w:val="left"/>
            </w:pPr>
            <w:r>
              <w:rPr>
                <w:rFonts w:ascii="Arial" w:cs="Arial" w:eastAsia="Arial" w:hAnsi="Arial"/>
                <w:b w:val="false"/>
                <w:bCs w:val="false"/>
                <w:i w:val="false"/>
                <w:iCs w:val="false"/>
                <w:color w:val="000000"/>
                <w:sz w:val="17"/>
                <w:szCs w:val="17"/>
              </w:rPr>
              <w:t xml:space="preserve">Three dedicated programme verticals differentiate the clinical offer: Gut Health and Digestive Wellness; Musculoskeletal and Back Pain; and Longevity and Metabolic Health. Broader scope covers General Medicine, Cardiology, Obstetrics, Paediatrics, Emergency, and Psychiatry. Complex cases transfer to Lakeshore Hospital or Lakeshore PMC through defined referral protocols.</w:t>
            </w:r>
          </w:p>
        </w:tc>
        <w:tc>
          <w:tcPr>
            <w:tcW w:type="dxa" w:w="4960"/>
            <w:tcBorders>
              <w:top w:val="none" w:color="FFFFFF" w:sz="0"/>
              <w:left w:val="none" w:color="FFFFFF" w:sz="0"/>
              <w:bottom w:val="none" w:color="FFFFFF" w:sz="0"/>
              <w:right w:val="none" w:color="FFFFFF" w:sz="0"/>
            </w:tcBorders>
            <w:shd w:fill="FFFFFF" w:val="clear"/>
            <w:tcMar>
              <w:top w:type="dxa" w:w="80"/>
              <w:left w:type="dxa" w:w="0"/>
              <w:bottom w:type="dxa" w:w="0"/>
              <w:right w:type="dxa" w:w="0"/>
            </w:tcMar>
            <w:vAlign w:val="top"/>
          </w:tcPr>
          <w:p>
            <w:pPr>
              <w:spacing w:after="40" w:before="0"/>
              <w:jc w:val="left"/>
            </w:pPr>
            <w:r>
              <w:rPr>
                <w:rFonts w:ascii="Arial" w:cs="Arial" w:eastAsia="Arial" w:hAnsi="Arial"/>
                <w:b/>
                <w:bCs/>
                <w:i w:val="false"/>
                <w:iCs w:val="false"/>
                <w:color w:val="4A5E72"/>
                <w:sz w:val="11"/>
                <w:szCs w:val="11"/>
              </w:rPr>
              <w:t xml:space="preserve">Floor Stack — Kakkanad (400 beds, phased)</w:t>
            </w:r>
          </w:p>
          <w:tbl>
            <w:tblPr>
              <w:tblW w:type="dxa" w:w="4960"/>
              <w:tblBorders>
                <w:top w:val="single" w:color="auto" w:sz="4"/>
                <w:left w:val="single" w:color="auto" w:sz="4"/>
                <w:bottom w:val="single" w:color="auto" w:sz="4"/>
                <w:right w:val="single" w:color="auto" w:sz="4"/>
                <w:insideH w:val="single" w:color="auto" w:sz="4"/>
                <w:insideV w:val="single" w:color="auto" w:sz="4"/>
              </w:tblBorders>
            </w:tblPr>
            <w:tblGrid>
              <w:gridCol w:w="460"/>
              <w:gridCol w:w="4500"/>
            </w:tblGrid>
            <w:tr>
              <w:tc>
                <w:tcPr>
                  <w:tcW w:type="dxa" w:w="460"/>
                  <w:tcBorders>
                    <w:top w:val="single" w:color="2E6B8E" w:sz="1"/>
                    <w:left w:val="single" w:color="2E6B8E" w:sz="1"/>
                    <w:bottom w:val="single" w:color="2E6B8E" w:sz="1"/>
                    <w:right w:val="single" w:color="2E6B8E" w:sz="1"/>
                  </w:tcBorders>
                  <w:shd w:fill="2E6B8E" w:val="clear"/>
                  <w:tcMar>
                    <w:top w:type="dxa" w:w="44"/>
                    <w:left w:type="dxa" w:w="50"/>
                    <w:bottom w:type="dxa" w:w="44"/>
                    <w:right w:type="dxa" w:w="50"/>
                  </w:tcMar>
                </w:tcPr>
                <w:p>
                  <w:pPr>
                    <w:spacing w:after="0" w:before="0"/>
                    <w:jc w:val="center"/>
                  </w:pPr>
                  <w:r>
                    <w:rPr>
                      <w:rFonts w:ascii="Arial" w:cs="Arial" w:eastAsia="Arial" w:hAnsi="Arial"/>
                      <w:b/>
                      <w:bCs/>
                      <w:i w:val="false"/>
                      <w:iCs w:val="false"/>
                      <w:color w:val="FFFFFF"/>
                      <w:sz w:val="11"/>
                      <w:szCs w:val="11"/>
                    </w:rPr>
                    <w:t xml:space="preserve">Floor</w:t>
                  </w:r>
                </w:p>
              </w:tc>
              <w:tc>
                <w:tcPr>
                  <w:tcW w:type="dxa" w:w="4500"/>
                  <w:tcBorders>
                    <w:top w:val="single" w:color="2E6B8E" w:sz="1"/>
                    <w:left w:val="single" w:color="2E6B8E" w:sz="1"/>
                    <w:bottom w:val="single" w:color="2E6B8E" w:sz="1"/>
                    <w:right w:val="single" w:color="2E6B8E" w:sz="1"/>
                  </w:tcBorders>
                  <w:shd w:fill="2E6B8E" w:val="clear"/>
                  <w:tcMar>
                    <w:top w:type="dxa" w:w="44"/>
                    <w:left w:type="dxa" w:w="90"/>
                    <w:bottom w:type="dxa" w:w="44"/>
                    <w:right w:type="dxa" w:w="60"/>
                  </w:tcMar>
                </w:tcPr>
                <w:p>
                  <w:pPr>
                    <w:spacing w:after="0" w:before="0"/>
                    <w:jc w:val="left"/>
                  </w:pPr>
                  <w:r>
                    <w:rPr>
                      <w:rFonts w:ascii="Arial" w:cs="Arial" w:eastAsia="Arial" w:hAnsi="Arial"/>
                      <w:b/>
                      <w:bCs/>
                      <w:i w:val="false"/>
                      <w:iCs w:val="false"/>
                      <w:color w:val="FFFFFF"/>
                      <w:sz w:val="11"/>
                      <w:szCs w:val="11"/>
                    </w:rPr>
                    <w:t xml:space="preserve">Clinical Content</w:t>
                  </w:r>
                </w:p>
              </w:tc>
            </w:tr>
            <w:tr>
              <w:tc>
                <w:tcPr>
                  <w:tcW w:type="dxa" w:w="460"/>
                  <w:tcBorders>
                    <w:top w:val="single" w:color="D0D8E0" w:sz="1"/>
                    <w:left w:val="single" w:color="D0D8E0" w:sz="1"/>
                    <w:bottom w:val="single" w:color="D0D8E0" w:sz="1"/>
                    <w:right w:val="single" w:color="D0D8E0" w:sz="1"/>
                  </w:tcBorders>
                  <w:shd w:fill="2E6B8E"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F10</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Premium Inpatient, Corporate Health Suites</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F9</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Twin and single inpatient rooms, post-procedure recovery</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F8</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General Inpatient, Maternity, Paediatric Ward</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F7</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Step-down and Rehabilitation, Physiotherapy, Dietetics</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F6</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ICU, HDU, NICU Level 2, Labour and Delivery, PICU</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F5</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OT Suite, Cath Lab, Endoscopy, Day Surgery</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F4</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Longevity and Metabolic Health, Sleep Medicine, Nutrition</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F3</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Gut Health and Digestive Wellness, MSK and Back Pain, Pain Management</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F2</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Specialist OPD, Psychiatry, Dermatology, ENT, Ophthalmology</w:t>
                  </w:r>
                </w:p>
              </w:tc>
            </w:tr>
            <w:tr>
              <w:tc>
                <w:tcPr>
                  <w:tcW w:type="dxa" w:w="460"/>
                  <w:tcBorders>
                    <w:top w:val="single" w:color="D0D8E0" w:sz="1"/>
                    <w:left w:val="single" w:color="D0D8E0" w:sz="1"/>
                    <w:bottom w:val="single" w:color="D0D8E0" w:sz="1"/>
                    <w:right w:val="single" w:color="D0D8E0" w:sz="1"/>
                  </w:tcBorders>
                  <w:shd w:fill="C4DCF0"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2E6B8E"/>
                      <w:sz w:val="12"/>
                      <w:szCs w:val="12"/>
                    </w:rPr>
                    <w:t xml:space="preserve">F1</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General Medicine, Paediatrics, OBG, Chronic Disease Clinic</w:t>
                  </w:r>
                </w:p>
              </w:tc>
            </w:tr>
            <w:tr>
              <w:tc>
                <w:tcPr>
                  <w:tcW w:type="dxa" w:w="460"/>
                  <w:tcBorders>
                    <w:top w:val="single" w:color="D0D8E0" w:sz="1"/>
                    <w:left w:val="single" w:color="D0D8E0" w:sz="1"/>
                    <w:bottom w:val="single" w:color="D0D8E0" w:sz="1"/>
                    <w:right w:val="single" w:color="D0D8E0" w:sz="1"/>
                  </w:tcBorders>
                  <w:shd w:fill="2E6B8E"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G</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Reception, A&amp;E, Pharmacy, Radiology, Diagnostics</w:t>
                  </w:r>
                </w:p>
              </w:tc>
            </w:tr>
            <w:tr>
              <w:tc>
                <w:tcPr>
                  <w:tcW w:type="dxa" w:w="460"/>
                  <w:tcBorders>
                    <w:top w:val="single" w:color="D0D8E0" w:sz="1"/>
                    <w:left w:val="single" w:color="D0D8E0" w:sz="1"/>
                    <w:bottom w:val="single" w:color="D0D8E0" w:sz="1"/>
                    <w:right w:val="single" w:color="D0D8E0" w:sz="1"/>
                  </w:tcBorders>
                  <w:shd w:fill="2E6B8E"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B1</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Car Parking, Staff, IT, Plant</w:t>
                  </w:r>
                </w:p>
              </w:tc>
            </w:tr>
          </w:tbl>
          <w:p/>
        </w:tc>
      </w:tr>
    </w:tbl>
    <w:p>
      <w:pPr>
        <w:spacing w:after="0" w:before="60"/>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single" w:color="2E6B8E" w:sz="1"/>
              <w:left w:val="single" w:color="2E6B8E" w:sz="1"/>
              <w:bottom w:val="single" w:color="2E6B8E" w:sz="1"/>
              <w:right w:val="single" w:color="2E6B8E" w:sz="1"/>
            </w:tcBorders>
            <w:shd w:fill="2E6B8E"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Benchmark</w:t>
            </w:r>
          </w:p>
        </w:tc>
        <w:tc>
          <w:tcPr>
            <w:tcW w:type="dxa" w:w="8400"/>
            <w:tcBorders>
              <w:top w:val="single" w:color="2E6B8E" w:sz="1"/>
              <w:left w:val="single" w:color="2E6B8E" w:sz="1"/>
              <w:bottom w:val="single" w:color="2E6B8E" w:sz="1"/>
              <w:right w:val="single" w:color="2E6B8E" w:sz="1"/>
            </w:tcBorders>
            <w:shd w:fill="2E6B8E"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Institution &amp; Rationale</w:t>
            </w:r>
          </w:p>
        </w:tc>
      </w:tr>
      <w:tr>
        <w:tc>
          <w:tcPr>
            <w:tcW w:type="dxa" w:w="960"/>
            <w:tcBorders>
              <w:top w:val="single" w:color="D0D8E0" w:sz="1"/>
              <w:left w:val="single" w:color="D0D8E0" w:sz="1"/>
              <w:bottom w:val="single" w:color="D0D8E0" w:sz="1"/>
              <w:right w:val="single" w:color="D0D8E0" w:sz="1"/>
            </w:tcBorders>
            <w:shd w:fill="C4DCF0"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2E6B8E"/>
                <w:sz w:val="13"/>
                <w:szCs w:val="13"/>
              </w:rPr>
              <w:t xml:space="preserve">Global</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Medeor Hospital, Abu Dhabi — a VPS Healthcare group institution and JCI-accredited urban multispecialty facility serving a professional and expatriate population across 35 specialties, with integrated emergency services and a strong TPA and corporate health programme; the direct group precedent for this prototype.</w:t>
            </w:r>
          </w:p>
        </w:tc>
      </w:tr>
      <w:tr>
        <w:tc>
          <w:tcPr>
            <w:tcW w:type="dxa" w:w="960"/>
            <w:tcBorders>
              <w:top w:val="single" w:color="D0D8E0" w:sz="1"/>
              <w:left w:val="single" w:color="D0D8E0" w:sz="1"/>
              <w:bottom w:val="single" w:color="D0D8E0" w:sz="1"/>
              <w:right w:val="single" w:color="D0D8E0" w:sz="1"/>
            </w:tcBorders>
            <w:shd w:fill="F8F9FA"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2E6B8E"/>
                <w:sz w:val="13"/>
                <w:szCs w:val="13"/>
              </w:rPr>
              <w:t xml:space="preserve">India</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Manipal Hospitals, Whitefield, Bengaluru — an IT corridor multispecialty campus serving a young professional and tech-sector catchment, with accessible specialist care, TPA integration, and a clinical depth calibrated to the ambulatory and elective needs of the urban professional rather than tertiary referral.</w:t>
            </w:r>
          </w:p>
        </w:tc>
      </w:tr>
    </w:tbl>
    <w:p>
      <w:pPr>
        <w:spacing w:after="0" w:before="60"/>
      </w:pPr>
      <w:r>
        <w:rPr>
          <w:rFonts w:ascii="Arial" w:cs="Arial" w:eastAsia="Arial" w:hAnsi="Arial"/>
          <w:b w:val="false"/>
          <w:bCs w:val="false"/>
          <w:i w:val="false"/>
          <w:iCs w:val="false"/>
          <w:color w:val="000000"/>
          <w:sz w:val="4"/>
          <w:szCs w:val="4"/>
        </w:rPr>
        <w:t xml:space="preserve"/>
      </w:r>
    </w:p>
    <w:p>
      <w:pPr>
        <w:spacing w:after="0" w:before="0"/>
      </w:pPr>
      <w:r>
        <w:drawing>
          <wp:inline distT="0" distB="0" distL="0" distR="0">
            <wp:extent cx="5943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FFFFFF" w:val="clear"/>
            <w:tcMar>
              <w:top w:type="dxa" w:w="100"/>
              <w:left w:type="dxa" w:w="0"/>
              <w:bottom w:type="dxa" w:w="0"/>
              <w:right w:type="dxa" w:w="160"/>
            </w:tcMar>
            <w:vAlign w:val="top"/>
          </w:tcPr>
          <w:p>
            <w:pPr>
              <w:spacing w:after="80" w:before="0"/>
              <w:jc w:val="left"/>
            </w:pPr>
            <w:r>
              <w:rPr>
                <w:rFonts w:ascii="Arial" w:cs="Arial" w:eastAsia="Arial" w:hAnsi="Arial"/>
                <w:b w:val="false"/>
                <w:bCs w:val="false"/>
                <w:i w:val="false"/>
                <w:iCs w:val="false"/>
                <w:color w:val="000000"/>
                <w:sz w:val="17"/>
                <w:szCs w:val="17"/>
              </w:rPr>
              <w:t xml:space="preserve">A dedicated floor or wing within an existing partner hospital, operating under the Lakeshore brand with VPS clinical staff, VPS protocols, and full EMR integration. The partner hospital provides the space; Lakeshore provides the brand, the staff, the protocols, and the referral network. Current nodes are MBMMH Kothamangalam, Malankara Mission Kunnamkulam, and VPS Calicut.</w:t>
            </w:r>
          </w:p>
        </w:tc>
        <w:tc>
          <w:tcPr>
            <w:tcW w:type="dxa" w:w="4960"/>
            <w:tcBorders>
              <w:top w:val="none" w:color="FFFFFF" w:sz="0"/>
              <w:left w:val="none" w:color="FFFFFF" w:sz="0"/>
              <w:bottom w:val="none" w:color="FFFFFF" w:sz="0"/>
              <w:right w:val="none" w:color="FFFFFF" w:sz="0"/>
            </w:tcBorders>
            <w:shd w:fill="FFFFFF" w:val="clear"/>
            <w:tcMar>
              <w:top w:type="dxa" w:w="80"/>
              <w:left w:type="dxa" w:w="0"/>
              <w:bottom w:type="dxa" w:w="0"/>
              <w:right w:type="dxa" w:w="0"/>
            </w:tcMar>
            <w:vAlign w:val="top"/>
          </w:tcPr>
          <w:p>
            <w:pPr>
              <w:spacing w:after="40" w:before="0"/>
              <w:jc w:val="left"/>
            </w:pPr>
            <w:r>
              <w:rPr>
                <w:rFonts w:ascii="Arial" w:cs="Arial" w:eastAsia="Arial" w:hAnsi="Arial"/>
                <w:b/>
                <w:bCs/>
                <w:i w:val="false"/>
                <w:iCs w:val="false"/>
                <w:color w:val="4A5E72"/>
                <w:sz w:val="11"/>
                <w:szCs w:val="11"/>
              </w:rPr>
              <w:t xml:space="preserve">Typical Floor — Partner Hospital</w:t>
            </w:r>
          </w:p>
          <w:tbl>
            <w:tblPr>
              <w:tblW w:type="dxa" w:w="4960"/>
              <w:tblBorders>
                <w:top w:val="single" w:color="auto" w:sz="4"/>
                <w:left w:val="single" w:color="auto" w:sz="4"/>
                <w:bottom w:val="single" w:color="auto" w:sz="4"/>
                <w:right w:val="single" w:color="auto" w:sz="4"/>
                <w:insideH w:val="single" w:color="auto" w:sz="4"/>
                <w:insideV w:val="single" w:color="auto" w:sz="4"/>
              </w:tblBorders>
            </w:tblPr>
            <w:tblGrid>
              <w:gridCol w:w="460"/>
              <w:gridCol w:w="4500"/>
            </w:tblGrid>
            <w:tr>
              <w:tc>
                <w:tcPr>
                  <w:tcW w:type="dxa" w:w="460"/>
                  <w:tcBorders>
                    <w:top w:val="single" w:color="D4185A" w:sz="1"/>
                    <w:left w:val="single" w:color="D4185A" w:sz="1"/>
                    <w:bottom w:val="single" w:color="D4185A" w:sz="1"/>
                    <w:right w:val="single" w:color="D4185A" w:sz="1"/>
                  </w:tcBorders>
                  <w:shd w:fill="D4185A" w:val="clear"/>
                  <w:tcMar>
                    <w:top w:type="dxa" w:w="44"/>
                    <w:left w:type="dxa" w:w="50"/>
                    <w:bottom w:type="dxa" w:w="44"/>
                    <w:right w:type="dxa" w:w="50"/>
                  </w:tcMar>
                </w:tcPr>
                <w:p>
                  <w:pPr>
                    <w:spacing w:after="0" w:before="0"/>
                    <w:jc w:val="center"/>
                  </w:pPr>
                  <w:r>
                    <w:rPr>
                      <w:rFonts w:ascii="Arial" w:cs="Arial" w:eastAsia="Arial" w:hAnsi="Arial"/>
                      <w:b/>
                      <w:bCs/>
                      <w:i w:val="false"/>
                      <w:iCs w:val="false"/>
                      <w:color w:val="FFFFFF"/>
                      <w:sz w:val="11"/>
                      <w:szCs w:val="11"/>
                    </w:rPr>
                    <w:t xml:space="preserve">Floor</w:t>
                  </w:r>
                </w:p>
              </w:tc>
              <w:tc>
                <w:tcPr>
                  <w:tcW w:type="dxa" w:w="4500"/>
                  <w:tcBorders>
                    <w:top w:val="single" w:color="D4185A" w:sz="1"/>
                    <w:left w:val="single" w:color="D4185A" w:sz="1"/>
                    <w:bottom w:val="single" w:color="D4185A" w:sz="1"/>
                    <w:right w:val="single" w:color="D4185A" w:sz="1"/>
                  </w:tcBorders>
                  <w:shd w:fill="D4185A" w:val="clear"/>
                  <w:tcMar>
                    <w:top w:type="dxa" w:w="44"/>
                    <w:left w:type="dxa" w:w="90"/>
                    <w:bottom w:type="dxa" w:w="44"/>
                    <w:right w:type="dxa" w:w="60"/>
                  </w:tcMar>
                </w:tcPr>
                <w:p>
                  <w:pPr>
                    <w:spacing w:after="0" w:before="0"/>
                    <w:jc w:val="left"/>
                  </w:pPr>
                  <w:r>
                    <w:rPr>
                      <w:rFonts w:ascii="Arial" w:cs="Arial" w:eastAsia="Arial" w:hAnsi="Arial"/>
                      <w:b/>
                      <w:bCs/>
                      <w:i w:val="false"/>
                      <w:iCs w:val="false"/>
                      <w:color w:val="FFFFFF"/>
                      <w:sz w:val="11"/>
                      <w:szCs w:val="11"/>
                    </w:rPr>
                    <w:t xml:space="preserve">Clinical Content</w:t>
                  </w:r>
                </w:p>
              </w:tc>
            </w:tr>
            <w:tr>
              <w:tc>
                <w:tcPr>
                  <w:tcW w:type="dxa" w:w="460"/>
                  <w:tcBorders>
                    <w:top w:val="single" w:color="D0D8E0" w:sz="1"/>
                    <w:left w:val="single" w:color="D0D8E0" w:sz="1"/>
                    <w:bottom w:val="single" w:color="D0D8E0" w:sz="1"/>
                    <w:right w:val="single" w:color="D0D8E0" w:sz="1"/>
                  </w:tcBorders>
                  <w:shd w:fill="D4185A"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ZONE A</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Multispecialty consulting rooms (6 to 8), waiting area</w:t>
                  </w:r>
                </w:p>
              </w:tc>
            </w:tr>
            <w:tr>
              <w:tc>
                <w:tcPr>
                  <w:tcW w:type="dxa" w:w="460"/>
                  <w:tcBorders>
                    <w:top w:val="single" w:color="D0D8E0" w:sz="1"/>
                    <w:left w:val="single" w:color="D0D8E0" w:sz="1"/>
                    <w:bottom w:val="single" w:color="D0D8E0" w:sz="1"/>
                    <w:right w:val="single" w:color="D0D8E0" w:sz="1"/>
                  </w:tcBorders>
                  <w:shd w:fill="FAD4E3"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D4185A"/>
                      <w:sz w:val="12"/>
                      <w:szCs w:val="12"/>
                    </w:rPr>
                    <w:t xml:space="preserve">ZONE B</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Phlebotomy, ECG, basic diagnostics, pharmacy</w:t>
                  </w:r>
                </w:p>
              </w:tc>
            </w:tr>
            <w:tr>
              <w:tc>
                <w:tcPr>
                  <w:tcW w:type="dxa" w:w="460"/>
                  <w:tcBorders>
                    <w:top w:val="single" w:color="D0D8E0" w:sz="1"/>
                    <w:left w:val="single" w:color="D0D8E0" w:sz="1"/>
                    <w:bottom w:val="single" w:color="D0D8E0" w:sz="1"/>
                    <w:right w:val="single" w:color="D0D8E0" w:sz="1"/>
                  </w:tcBorders>
                  <w:shd w:fill="FAD4E3"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D4185A"/>
                      <w:sz w:val="12"/>
                      <w:szCs w:val="12"/>
                    </w:rPr>
                    <w:t xml:space="preserve">ZONE C</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Risk Assessment Centre — cancer screening and counselling</w:t>
                  </w:r>
                </w:p>
              </w:tc>
            </w:tr>
            <w:tr>
              <w:tc>
                <w:tcPr>
                  <w:tcW w:type="dxa" w:w="460"/>
                  <w:tcBorders>
                    <w:top w:val="single" w:color="D0D8E0" w:sz="1"/>
                    <w:left w:val="single" w:color="D0D8E0" w:sz="1"/>
                    <w:bottom w:val="single" w:color="D0D8E0" w:sz="1"/>
                    <w:right w:val="single" w:color="D0D8E0" w:sz="1"/>
                  </w:tcBorders>
                  <w:shd w:fill="D4185A"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ADMIN</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Reception, billing, medical records, EMR terminal, teleconsultation</w:t>
                  </w:r>
                </w:p>
              </w:tc>
            </w:tr>
          </w:tbl>
          <w:p/>
        </w:tc>
      </w:tr>
    </w:tbl>
    <w:p>
      <w:pPr>
        <w:spacing w:after="0" w:before="60"/>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single" w:color="D4185A" w:sz="1"/>
              <w:left w:val="single" w:color="D4185A" w:sz="1"/>
              <w:bottom w:val="single" w:color="D4185A" w:sz="1"/>
              <w:right w:val="single" w:color="D4185A" w:sz="1"/>
            </w:tcBorders>
            <w:shd w:fill="D4185A"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Benchmark</w:t>
            </w:r>
          </w:p>
        </w:tc>
        <w:tc>
          <w:tcPr>
            <w:tcW w:type="dxa" w:w="8400"/>
            <w:tcBorders>
              <w:top w:val="single" w:color="D4185A" w:sz="1"/>
              <w:left w:val="single" w:color="D4185A" w:sz="1"/>
              <w:bottom w:val="single" w:color="D4185A" w:sz="1"/>
              <w:right w:val="single" w:color="D4185A" w:sz="1"/>
            </w:tcBorders>
            <w:shd w:fill="D4185A"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Institution &amp; Rationale</w:t>
            </w:r>
          </w:p>
        </w:tc>
      </w:tr>
      <w:tr>
        <w:tc>
          <w:tcPr>
            <w:tcW w:type="dxa" w:w="960"/>
            <w:tcBorders>
              <w:top w:val="single" w:color="D0D8E0" w:sz="1"/>
              <w:left w:val="single" w:color="D0D8E0" w:sz="1"/>
              <w:bottom w:val="single" w:color="D0D8E0" w:sz="1"/>
              <w:right w:val="single" w:color="D0D8E0" w:sz="1"/>
            </w:tcBorders>
            <w:shd w:fill="FAD4E3"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D4185A"/>
                <w:sz w:val="13"/>
                <w:szCs w:val="13"/>
              </w:rPr>
              <w:t xml:space="preserve">Global</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Mayo Clinic Care Network, USA — a membership model in which partner hospitals embed Mayo clinical protocols, eConsult access to Mayo specialists, and Mayo quality standards within their own facilities, without acquisition or capital transfer from Mayo, making it directly analogous to this prototype.</w:t>
            </w:r>
          </w:p>
        </w:tc>
      </w:tr>
      <w:tr>
        <w:tc>
          <w:tcPr>
            <w:tcW w:type="dxa" w:w="960"/>
            <w:tcBorders>
              <w:top w:val="single" w:color="D0D8E0" w:sz="1"/>
              <w:left w:val="single" w:color="D0D8E0" w:sz="1"/>
              <w:bottom w:val="single" w:color="D0D8E0" w:sz="1"/>
              <w:right w:val="single" w:color="D0D8E0" w:sz="1"/>
            </w:tcBorders>
            <w:shd w:fill="F8F9FA"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D4185A"/>
                <w:sz w:val="13"/>
                <w:szCs w:val="13"/>
              </w:rPr>
              <w:t xml:space="preserve">India</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HCG Cancer Centre satellite network — branded oncology OPD units embedded within partner hospitals across Tier 2 cities in Karnataka and Andhra Pradesh, with defined referral protocols to HCG flagship centres and a consistent clinical standard applied across all nodes.</w:t>
            </w:r>
          </w:p>
        </w:tc>
      </w:tr>
    </w:tbl>
    <w:p>
      <w:pPr>
        <w:spacing w:after="0" w:before="60"/>
      </w:pPr>
      <w:r>
        <w:rPr>
          <w:rFonts w:ascii="Arial" w:cs="Arial" w:eastAsia="Arial" w:hAnsi="Arial"/>
          <w:b w:val="false"/>
          <w:bCs w:val="false"/>
          <w:i w:val="false"/>
          <w:iCs w:val="false"/>
          <w:color w:val="000000"/>
          <w:sz w:val="4"/>
          <w:szCs w:val="4"/>
        </w:rPr>
        <w:t xml:space="preserve"/>
      </w:r>
    </w:p>
    <w:p>
      <w:pPr>
        <w:pBdr>
          <w:bottom w:val="single" w:color="D0D8E0" w:sz="4" w:space="1"/>
        </w:pBdr>
        <w:spacing w:after="60" w:before="60"/>
      </w:pPr>
      <w:r>
        <w:rPr>
          <w:rFonts w:ascii="Arial" w:cs="Arial" w:eastAsia="Arial" w:hAnsi="Arial"/>
          <w:b w:val="false"/>
          <w:bCs w:val="false"/>
          <w:i w:val="false"/>
          <w:iCs w:val="false"/>
          <w:color w:val="000000"/>
          <w:sz w:val="4"/>
          <w:szCs w:val="4"/>
        </w:rPr>
        <w:t xml:space="preserve"/>
      </w:r>
    </w:p>
    <w:p>
      <w:pPr>
        <w:spacing w:after="0" w:before="0"/>
      </w:pPr>
      <w:r>
        <w:drawing>
          <wp:inline distT="0" distB="0" distL="0" distR="0">
            <wp:extent cx="5943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FFFFFF" w:val="clear"/>
            <w:tcMar>
              <w:top w:type="dxa" w:w="100"/>
              <w:left w:type="dxa" w:w="0"/>
              <w:bottom w:type="dxa" w:w="0"/>
              <w:right w:type="dxa" w:w="160"/>
            </w:tcMar>
            <w:vAlign w:val="top"/>
          </w:tcPr>
          <w:p>
            <w:pPr>
              <w:spacing w:after="80" w:before="0"/>
              <w:jc w:val="left"/>
            </w:pPr>
            <w:r>
              <w:rPr>
                <w:rFonts w:ascii="Arial" w:cs="Arial" w:eastAsia="Arial" w:hAnsi="Arial"/>
                <w:b w:val="false"/>
                <w:bCs w:val="false"/>
                <w:i w:val="false"/>
                <w:iCs w:val="false"/>
                <w:color w:val="000000"/>
                <w:sz w:val="17"/>
                <w:szCs w:val="17"/>
              </w:rPr>
              <w:t xml:space="preserve">A Risk Assessment Centre deployed at high-footfall locations — not a clinical facility, but a structured risk assessment and triage station. The assessment covers cancer risk (oral, breast, cervical, colorectal, lung), cardiac and metabolic risk profiling, and genomic risk assessment including polygenic risk scores and pharmacogenomics flags. Positive findings are entered into the VPS EMR and followed up within 24 hours.</w:t>
            </w:r>
          </w:p>
        </w:tc>
        <w:tc>
          <w:tcPr>
            <w:tcW w:type="dxa" w:w="4960"/>
            <w:tcBorders>
              <w:top w:val="none" w:color="FFFFFF" w:sz="0"/>
              <w:left w:val="none" w:color="FFFFFF" w:sz="0"/>
              <w:bottom w:val="none" w:color="FFFFFF" w:sz="0"/>
              <w:right w:val="none" w:color="FFFFFF" w:sz="0"/>
            </w:tcBorders>
            <w:shd w:fill="FFFFFF" w:val="clear"/>
            <w:tcMar>
              <w:top w:type="dxa" w:w="80"/>
              <w:left w:type="dxa" w:w="0"/>
              <w:bottom w:type="dxa" w:w="0"/>
              <w:right w:type="dxa" w:w="0"/>
            </w:tcMar>
            <w:vAlign w:val="top"/>
          </w:tcPr>
          <w:p>
            <w:pPr>
              <w:spacing w:after="40" w:before="0"/>
              <w:jc w:val="left"/>
            </w:pPr>
            <w:r>
              <w:rPr>
                <w:rFonts w:ascii="Arial" w:cs="Arial" w:eastAsia="Arial" w:hAnsi="Arial"/>
                <w:b/>
                <w:bCs/>
                <w:i w:val="false"/>
                <w:iCs w:val="false"/>
                <w:color w:val="4A5E72"/>
                <w:sz w:val="11"/>
                <w:szCs w:val="11"/>
              </w:rPr>
              <w:t xml:space="preserve">Risk Assessment Centre — Station Layout</w:t>
            </w:r>
          </w:p>
          <w:tbl>
            <w:tblPr>
              <w:tblW w:type="dxa" w:w="4960"/>
              <w:tblBorders>
                <w:top w:val="single" w:color="auto" w:sz="4"/>
                <w:left w:val="single" w:color="auto" w:sz="4"/>
                <w:bottom w:val="single" w:color="auto" w:sz="4"/>
                <w:right w:val="single" w:color="auto" w:sz="4"/>
                <w:insideH w:val="single" w:color="auto" w:sz="4"/>
                <w:insideV w:val="single" w:color="auto" w:sz="4"/>
              </w:tblBorders>
            </w:tblPr>
            <w:tblGrid>
              <w:gridCol w:w="460"/>
              <w:gridCol w:w="4500"/>
            </w:tblGrid>
            <w:tr>
              <w:tc>
                <w:tcPr>
                  <w:tcW w:type="dxa" w:w="460"/>
                  <w:tcBorders>
                    <w:top w:val="single" w:color="9B3878" w:sz="1"/>
                    <w:left w:val="single" w:color="9B3878" w:sz="1"/>
                    <w:bottom w:val="single" w:color="9B3878" w:sz="1"/>
                    <w:right w:val="single" w:color="9B3878" w:sz="1"/>
                  </w:tcBorders>
                  <w:shd w:fill="9B3878" w:val="clear"/>
                  <w:tcMar>
                    <w:top w:type="dxa" w:w="44"/>
                    <w:left w:type="dxa" w:w="50"/>
                    <w:bottom w:type="dxa" w:w="44"/>
                    <w:right w:type="dxa" w:w="50"/>
                  </w:tcMar>
                </w:tcPr>
                <w:p>
                  <w:pPr>
                    <w:spacing w:after="0" w:before="0"/>
                    <w:jc w:val="center"/>
                  </w:pPr>
                  <w:r>
                    <w:rPr>
                      <w:rFonts w:ascii="Arial" w:cs="Arial" w:eastAsia="Arial" w:hAnsi="Arial"/>
                      <w:b/>
                      <w:bCs/>
                      <w:i w:val="false"/>
                      <w:iCs w:val="false"/>
                      <w:color w:val="FFFFFF"/>
                      <w:sz w:val="11"/>
                      <w:szCs w:val="11"/>
                    </w:rPr>
                    <w:t xml:space="preserve">Floor</w:t>
                  </w:r>
                </w:p>
              </w:tc>
              <w:tc>
                <w:tcPr>
                  <w:tcW w:type="dxa" w:w="4500"/>
                  <w:tcBorders>
                    <w:top w:val="single" w:color="9B3878" w:sz="1"/>
                    <w:left w:val="single" w:color="9B3878" w:sz="1"/>
                    <w:bottom w:val="single" w:color="9B3878" w:sz="1"/>
                    <w:right w:val="single" w:color="9B3878" w:sz="1"/>
                  </w:tcBorders>
                  <w:shd w:fill="9B3878" w:val="clear"/>
                  <w:tcMar>
                    <w:top w:type="dxa" w:w="44"/>
                    <w:left w:type="dxa" w:w="90"/>
                    <w:bottom w:type="dxa" w:w="44"/>
                    <w:right w:type="dxa" w:w="60"/>
                  </w:tcMar>
                </w:tcPr>
                <w:p>
                  <w:pPr>
                    <w:spacing w:after="0" w:before="0"/>
                    <w:jc w:val="left"/>
                  </w:pPr>
                  <w:r>
                    <w:rPr>
                      <w:rFonts w:ascii="Arial" w:cs="Arial" w:eastAsia="Arial" w:hAnsi="Arial"/>
                      <w:b/>
                      <w:bCs/>
                      <w:i w:val="false"/>
                      <w:iCs w:val="false"/>
                      <w:color w:val="FFFFFF"/>
                      <w:sz w:val="11"/>
                      <w:szCs w:val="11"/>
                    </w:rPr>
                    <w:t xml:space="preserve">Clinical Content</w:t>
                  </w:r>
                </w:p>
              </w:tc>
            </w:tr>
            <w:tr>
              <w:tc>
                <w:tcPr>
                  <w:tcW w:type="dxa" w:w="460"/>
                  <w:tcBorders>
                    <w:top w:val="single" w:color="D0D8E0" w:sz="1"/>
                    <w:left w:val="single" w:color="D0D8E0" w:sz="1"/>
                    <w:bottom w:val="single" w:color="D0D8E0" w:sz="1"/>
                    <w:right w:val="single" w:color="D0D8E0" w:sz="1"/>
                  </w:tcBorders>
                  <w:shd w:fill="9B387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ZONE A</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Cancer Risk Assessment — nurse-led structured protocol covering oral, breast, cervical, colorectal, and lung cancer</w:t>
                  </w:r>
                </w:p>
              </w:tc>
            </w:tr>
            <w:tr>
              <w:tc>
                <w:tcPr>
                  <w:tcW w:type="dxa" w:w="460"/>
                  <w:tcBorders>
                    <w:top w:val="single" w:color="D0D8E0" w:sz="1"/>
                    <w:left w:val="single" w:color="D0D8E0" w:sz="1"/>
                    <w:bottom w:val="single" w:color="D0D8E0" w:sz="1"/>
                    <w:right w:val="single" w:color="D0D8E0" w:sz="1"/>
                  </w:tcBorders>
                  <w:shd w:fill="EDDAEA"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9B3878"/>
                      <w:sz w:val="12"/>
                      <w:szCs w:val="12"/>
                    </w:rPr>
                    <w:t xml:space="preserve">ZONE B</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Cardiac and metabolic risk profiling — blood pressure, ECG, BMI, blood glucose, metabolic risk stratification</w:t>
                  </w:r>
                </w:p>
              </w:tc>
            </w:tr>
            <w:tr>
              <w:tc>
                <w:tcPr>
                  <w:tcW w:type="dxa" w:w="460"/>
                  <w:tcBorders>
                    <w:top w:val="single" w:color="D0D8E0" w:sz="1"/>
                    <w:left w:val="single" w:color="D0D8E0" w:sz="1"/>
                    <w:bottom w:val="single" w:color="D0D8E0" w:sz="1"/>
                    <w:right w:val="single" w:color="D0D8E0" w:sz="1"/>
                  </w:tcBorders>
                  <w:shd w:fill="EDDAEA"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9B3878"/>
                      <w:sz w:val="12"/>
                      <w:szCs w:val="12"/>
                    </w:rPr>
                    <w:t xml:space="preserve">ZONE C</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Genomic Risk Assessment — polygenic risk scores, hereditary cancer predisposition questionnaire, pharmacogenomics flag</w:t>
                  </w:r>
                </w:p>
              </w:tc>
            </w:tr>
            <w:tr>
              <w:tc>
                <w:tcPr>
                  <w:tcW w:type="dxa" w:w="460"/>
                  <w:tcBorders>
                    <w:top w:val="single" w:color="D0D8E0" w:sz="1"/>
                    <w:left w:val="single" w:color="D0D8E0" w:sz="1"/>
                    <w:bottom w:val="single" w:color="D0D8E0" w:sz="1"/>
                    <w:right w:val="single" w:color="D0D8E0" w:sz="1"/>
                  </w:tcBorders>
                  <w:shd w:fill="9B3878" w:val="clear"/>
                  <w:tcMar>
                    <w:top w:type="dxa" w:w="34"/>
                    <w:left w:type="dxa" w:w="40"/>
                    <w:bottom w:type="dxa" w:w="34"/>
                    <w:right w:type="dxa" w:w="40"/>
                  </w:tcMar>
                  <w:vAlign w:val="center"/>
                </w:tcPr>
                <w:p>
                  <w:pPr>
                    <w:spacing w:after="0" w:before="0"/>
                    <w:jc w:val="center"/>
                  </w:pPr>
                  <w:r>
                    <w:rPr>
                      <w:rFonts w:ascii="Arial" w:cs="Arial" w:eastAsia="Arial" w:hAnsi="Arial"/>
                      <w:b/>
                      <w:bCs/>
                      <w:i w:val="false"/>
                      <w:iCs w:val="false"/>
                      <w:color w:val="FFFFFF"/>
                      <w:sz w:val="12"/>
                      <w:szCs w:val="12"/>
                    </w:rPr>
                    <w:t xml:space="preserve">DIGITAL</w:t>
                  </w:r>
                </w:p>
              </w:tc>
              <w:tc>
                <w:tcPr>
                  <w:tcW w:type="dxa" w:w="4500"/>
                  <w:tcBorders>
                    <w:top w:val="single" w:color="D0D8E0" w:sz="1"/>
                    <w:left w:val="single" w:color="D0D8E0" w:sz="1"/>
                    <w:bottom w:val="single" w:color="D0D8E0" w:sz="1"/>
                    <w:right w:val="single" w:color="D0D8E0" w:sz="1"/>
                  </w:tcBorders>
                  <w:shd w:fill="FFFFFF" w:val="clear"/>
                  <w:tcMar>
                    <w:top w:type="dxa" w:w="34"/>
                    <w:left w:type="dxa" w:w="90"/>
                    <w:bottom w:type="dxa" w:w="34"/>
                    <w:right w:type="dxa" w:w="60"/>
                  </w:tcMar>
                </w:tcPr>
                <w:p>
                  <w:pPr>
                    <w:spacing w:after="0" w:before="0"/>
                    <w:jc w:val="left"/>
                  </w:pPr>
                  <w:r>
                    <w:rPr>
                      <w:rFonts w:ascii="Arial" w:cs="Arial" w:eastAsia="Arial" w:hAnsi="Arial"/>
                      <w:b w:val="false"/>
                      <w:bCs w:val="false"/>
                      <w:i w:val="false"/>
                      <w:iCs w:val="false"/>
                      <w:color w:val="000000"/>
                      <w:sz w:val="13"/>
                      <w:szCs w:val="13"/>
                    </w:rPr>
                    <w:t xml:space="preserve">VPS EMR entry, contact centre follow-up within 24 hours, NRI pre-travel consultation</w:t>
                  </w:r>
                </w:p>
              </w:tc>
            </w:tr>
          </w:tbl>
          <w:p/>
        </w:tc>
      </w:tr>
    </w:tbl>
    <w:p>
      <w:pPr>
        <w:spacing w:after="0" w:before="60"/>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single" w:color="9B3878" w:sz="1"/>
              <w:left w:val="single" w:color="9B3878" w:sz="1"/>
              <w:bottom w:val="single" w:color="9B3878" w:sz="1"/>
              <w:right w:val="single" w:color="9B3878" w:sz="1"/>
            </w:tcBorders>
            <w:shd w:fill="9B3878"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Benchmark</w:t>
            </w:r>
          </w:p>
        </w:tc>
        <w:tc>
          <w:tcPr>
            <w:tcW w:type="dxa" w:w="8400"/>
            <w:tcBorders>
              <w:top w:val="single" w:color="9B3878" w:sz="1"/>
              <w:left w:val="single" w:color="9B3878" w:sz="1"/>
              <w:bottom w:val="single" w:color="9B3878" w:sz="1"/>
              <w:right w:val="single" w:color="9B3878" w:sz="1"/>
            </w:tcBorders>
            <w:shd w:fill="9B3878" w:val="clear"/>
            <w:tcMar>
              <w:top w:type="dxa" w:w="44"/>
              <w:left w:type="dxa" w:w="80"/>
              <w:bottom w:type="dxa" w:w="44"/>
              <w:right w:type="dxa" w:w="60"/>
            </w:tcMar>
          </w:tcPr>
          <w:p>
            <w:pPr>
              <w:spacing w:after="0" w:before="0"/>
              <w:jc w:val="left"/>
            </w:pPr>
            <w:r>
              <w:rPr>
                <w:rFonts w:ascii="Arial" w:cs="Arial" w:eastAsia="Arial" w:hAnsi="Arial"/>
                <w:b/>
                <w:bCs/>
                <w:i w:val="false"/>
                <w:iCs w:val="false"/>
                <w:color w:val="FFFFFF"/>
                <w:sz w:val="11"/>
                <w:szCs w:val="11"/>
              </w:rPr>
              <w:t xml:space="preserve">Institution &amp; Rationale</w:t>
            </w:r>
          </w:p>
        </w:tc>
      </w:tr>
      <w:tr>
        <w:tc>
          <w:tcPr>
            <w:tcW w:type="dxa" w:w="960"/>
            <w:tcBorders>
              <w:top w:val="single" w:color="D0D8E0" w:sz="1"/>
              <w:left w:val="single" w:color="D0D8E0" w:sz="1"/>
              <w:bottom w:val="single" w:color="D0D8E0" w:sz="1"/>
              <w:right w:val="single" w:color="D0D8E0" w:sz="1"/>
            </w:tcBorders>
            <w:shd w:fill="EDDAEA"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9B3878"/>
                <w:sz w:val="13"/>
                <w:szCs w:val="13"/>
              </w:rPr>
              <w:t xml:space="preserve">Global</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H4D Consult Station, France — a certified Class IIa connected medical booth deployed within hospital emergency departments, corporate offices, and town halls, in which a patient self-measures vital signs while a remotely connected physician conducts a full clinical examination and issues a prescription via video, with all diagnostic instruments built into the booth and deployments across France, the UAE, the Philippines, and the United States.</w:t>
            </w:r>
          </w:p>
        </w:tc>
      </w:tr>
      <w:tr>
        <w:tc>
          <w:tcPr>
            <w:tcW w:type="dxa" w:w="960"/>
            <w:tcBorders>
              <w:top w:val="single" w:color="D0D8E0" w:sz="1"/>
              <w:left w:val="single" w:color="D0D8E0" w:sz="1"/>
              <w:bottom w:val="single" w:color="D0D8E0" w:sz="1"/>
              <w:right w:val="single" w:color="D0D8E0" w:sz="1"/>
            </w:tcBorders>
            <w:shd w:fill="F8F9FA" w:val="clear"/>
            <w:tcMar>
              <w:top w:type="dxa" w:w="60"/>
              <w:left w:type="dxa" w:w="80"/>
              <w:bottom w:type="dxa" w:w="60"/>
              <w:right w:type="dxa" w:w="60"/>
            </w:tcMar>
            <w:vAlign w:val="top"/>
          </w:tcPr>
          <w:p>
            <w:pPr>
              <w:spacing w:after="0" w:before="0"/>
              <w:jc w:val="left"/>
            </w:pPr>
            <w:r>
              <w:rPr>
                <w:rFonts w:ascii="Arial" w:cs="Arial" w:eastAsia="Arial" w:hAnsi="Arial"/>
                <w:b/>
                <w:bCs/>
                <w:i w:val="false"/>
                <w:iCs w:val="false"/>
                <w:color w:val="9B3878"/>
                <w:sz w:val="13"/>
                <w:szCs w:val="13"/>
              </w:rPr>
              <w:t xml:space="preserve">India</w:t>
            </w:r>
          </w:p>
        </w:tc>
        <w:tc>
          <w:tcPr>
            <w:tcW w:type="dxa" w:w="8400"/>
            <w:tcBorders>
              <w:top w:val="single" w:color="D0D8E0" w:sz="1"/>
              <w:left w:val="single" w:color="D0D8E0" w:sz="1"/>
              <w:bottom w:val="single" w:color="D0D8E0" w:sz="1"/>
              <w:right w:val="single" w:color="D0D8E0" w:sz="1"/>
            </w:tcBorders>
            <w:shd w:fill="FFFFFF" w:val="clear"/>
            <w:tcMar>
              <w:top w:type="dxa" w:w="60"/>
              <w:left w:type="dxa" w:w="80"/>
              <w:bottom w:type="dxa" w:w="60"/>
              <w:right w:type="dxa" w:w="60"/>
            </w:tcMar>
          </w:tcPr>
          <w:p>
            <w:pPr>
              <w:spacing w:after="0" w:before="0"/>
              <w:jc w:val="left"/>
            </w:pPr>
            <w:r>
              <w:rPr>
                <w:rFonts w:ascii="Arial" w:cs="Arial" w:eastAsia="Arial" w:hAnsi="Arial"/>
                <w:b w:val="false"/>
                <w:bCs w:val="false"/>
                <w:i w:val="false"/>
                <w:iCs w:val="false"/>
                <w:color w:val="000000"/>
                <w:sz w:val="14"/>
                <w:szCs w:val="14"/>
              </w:rPr>
              <w:t xml:space="preserve">Clinics on Cloud Health ATM — a CDSCO-licensed, AI-powered health assessment kiosk deployed in hospitals, corporate offices, government health centres, and defence establishments, measuring 60+ health parameters in under 15 minutes, integrated with eSanjeevani for live telemedicine and with the Ayushman Bharat Digital Mission for health record linkage, with over 3,000 installations across India and six other countries.</w:t>
            </w:r>
          </w:p>
        </w:tc>
      </w:tr>
    </w:tbl>
    <w:p>
      <w:pPr>
        <w:spacing w:after="0" w:before="60"/>
      </w:pPr>
      <w:r>
        <w:rPr>
          <w:rFonts w:ascii="Arial" w:cs="Arial" w:eastAsia="Arial" w:hAnsi="Arial"/>
          <w:b w:val="false"/>
          <w:bCs w:val="false"/>
          <w:i w:val="false"/>
          <w:iCs w:val="false"/>
          <w:color w:val="000000"/>
          <w:sz w:val="4"/>
          <w:szCs w:val="4"/>
        </w:rPr>
        <w:t xml:space="preserve"/>
      </w:r>
    </w:p>
    <w:p>
      <w:pPr>
        <w:pBdr>
          <w:bottom w:val="single" w:color="D4185A" w:sz="6" w:space="1"/>
        </w:pBdr>
        <w:spacing w:after="40" w:before="40"/>
      </w:pPr>
      <w:r>
        <w:rPr>
          <w:rFonts w:ascii="Arial" w:cs="Arial" w:eastAsia="Arial" w:hAnsi="Arial"/>
          <w:b w:val="false"/>
          <w:bCs w:val="false"/>
          <w:i w:val="false"/>
          <w:iCs w:val="false"/>
          <w:color w:val="000000"/>
          <w:sz w:val="4"/>
          <w:szCs w:val="4"/>
        </w:rPr>
        <w:t xml:space="preserve"/>
      </w:r>
    </w:p>
    <w:p>
      <w:pPr>
        <w:spacing w:after="0" w:before="80"/>
      </w:pPr>
      <w:r>
        <w:rPr>
          <w:rFonts w:ascii="Arial" w:cs="Arial" w:eastAsia="Arial" w:hAnsi="Arial"/>
          <w:b w:val="false"/>
          <w:bCs w:val="false"/>
          <w:i w:val="false"/>
          <w:iCs w:val="false"/>
          <w:color w:val="000000"/>
          <w:sz w:val="4"/>
          <w:szCs w:val="4"/>
        </w:rPr>
        <w:t xml:space="preserve"/>
      </w:r>
    </w:p>
    <w:p>
      <w:pPr>
        <w:spacing w:after="0" w:before="0"/>
        <w:jc w:val="center"/>
      </w:pPr>
      <w:r>
        <w:rPr>
          <w:rFonts w:ascii="Arial" w:cs="Arial" w:eastAsia="Arial" w:hAnsi="Arial"/>
          <w:b w:val="false"/>
          <w:bCs w:val="false"/>
          <w:i w:val="false"/>
          <w:iCs w:val="false"/>
          <w:color w:val="4A5E72"/>
          <w:sz w:val="15"/>
          <w:szCs w:val="15"/>
        </w:rPr>
        <w:t xml:space="preserve">VPS Lakeshore Healthcare  ·  Network Architecture  ·  April 2026  ·  Confidential</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20589e95c263afcd01a4a23a9cd5cbce96fcc7.png"/><Relationship Id="rId8" Type="http://schemas.openxmlformats.org/officeDocument/2006/relationships/image" Target="media/074e418fe4c568948ff161fae54fd1cb8a07b31f.png"/><Relationship Id="rId9" Type="http://schemas.openxmlformats.org/officeDocument/2006/relationships/image" Target="media/d98bbfa5ee1661b3583844e92f22222965bcaf13.png"/><Relationship Id="rId10" Type="http://schemas.openxmlformats.org/officeDocument/2006/relationships/image" Target="media/a8574e6213bf310bc3bbdedd84eade15febf14d2.png"/><Relationship Id="rId11" Type="http://schemas.openxmlformats.org/officeDocument/2006/relationships/image" Target="media/88ede98f3570df8952f683b9e864bb3376002f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2026-04-16T10:49:11.391Z</dcterms:created>
  <dcterms:modified xsi:type="dcterms:W3CDTF">2026-04-16T10:49:11.391Z</dcterms:modified>
</cp:coreProperties>
</file>

<file path=docProps/custom.xml><?xml version="1.0" encoding="utf-8"?>
<Properties xmlns="http://schemas.openxmlformats.org/officeDocument/2006/custom-properties" xmlns:vt="http://schemas.openxmlformats.org/officeDocument/2006/docPropsVTypes"/>
</file>