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D6B2E" w14:paraId="5814CAB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400" w:type="dxa"/>
              <w:left w:w="600" w:type="dxa"/>
              <w:bottom w:w="400" w:type="dxa"/>
              <w:right w:w="600" w:type="dxa"/>
            </w:tcMar>
          </w:tcPr>
          <w:p w14:paraId="6DC7A602" w14:textId="77777777" w:rsidR="008D6B2E" w:rsidRDefault="00000000">
            <w:pPr>
              <w:pStyle w:val="Heading1"/>
            </w:pPr>
            <w:r>
              <w:rPr>
                <w:sz w:val="40"/>
                <w:szCs w:val="40"/>
              </w:rPr>
              <w:t>EXECUTIVE SUMMARY</w:t>
            </w:r>
          </w:p>
          <w:p w14:paraId="1F387ED5" w14:textId="77777777" w:rsidR="008D6B2E" w:rsidRDefault="00000000">
            <w:r>
              <w:rPr>
                <w:color w:val="BDD7EE"/>
                <w:sz w:val="26"/>
                <w:szCs w:val="26"/>
              </w:rPr>
              <w:t>Manpower Rationalisation Initiative</w:t>
            </w:r>
          </w:p>
          <w:p w14:paraId="55667EA1" w14:textId="77777777" w:rsidR="008D6B2E" w:rsidRDefault="00000000">
            <w:r>
              <w:rPr>
                <w:i/>
                <w:iCs/>
                <w:color w:val="9DC3E6"/>
                <w:sz w:val="18"/>
                <w:szCs w:val="18"/>
              </w:rPr>
              <w:t>Prepared: 31 March 2026  |  CONFIDENTIAL</w:t>
            </w:r>
          </w:p>
        </w:tc>
      </w:tr>
    </w:tbl>
    <w:p w14:paraId="530511A1" w14:textId="77777777" w:rsidR="008D6B2E" w:rsidRDefault="00000000">
      <w:pPr>
        <w:pStyle w:val="Heading2"/>
      </w:pPr>
      <w:r>
        <w:t>Overview</w:t>
      </w:r>
    </w:p>
    <w:p w14:paraId="0482296E" w14:textId="77777777" w:rsidR="008D6B2E" w:rsidRDefault="00000000">
      <w:pPr>
        <w:spacing w:before="80" w:after="160"/>
      </w:pPr>
      <w:r>
        <w:t xml:space="preserve">Initial optimisation workings under the Manpower Rationalisation Initiative have identified a combined financial opportunity exceeding </w:t>
      </w:r>
      <w:r w:rsidRPr="00C87C6E">
        <w:rPr>
          <w:b/>
          <w:bCs/>
        </w:rPr>
        <w:t>INR 7.9 Crores</w:t>
      </w:r>
      <w:r>
        <w:t>, alongside meaningful headcount and structural efficiencies across key functions. An Execution Committee has been established to govern realisation of these targets through a structured weekly review cadence.</w:t>
      </w:r>
    </w:p>
    <w:p w14:paraId="026E06C5" w14:textId="24660530" w:rsidR="008D6B2E" w:rsidRDefault="00000000" w:rsidP="006A537F">
      <w:pPr>
        <w:pStyle w:val="Heading2"/>
      </w:pPr>
      <w:r>
        <w:t xml:space="preserve">Key </w:t>
      </w:r>
      <w:r w:rsidR="006A537F">
        <w:t>o</w:t>
      </w:r>
      <w:r>
        <w:t xml:space="preserve">pportunities at a </w:t>
      </w:r>
      <w:r w:rsidR="006A537F">
        <w:t>g</w:t>
      </w:r>
      <w:r>
        <w:t>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1752"/>
        <w:gridCol w:w="5630"/>
      </w:tblGrid>
      <w:tr w:rsidR="008D6B2E" w14:paraId="34D89C12" w14:textId="77777777">
        <w:tblPrEx>
          <w:tblCellMar>
            <w:top w:w="0" w:type="dxa"/>
            <w:bottom w:w="0" w:type="dxa"/>
          </w:tblCellMar>
        </w:tblPrEx>
        <w:trPr>
          <w:tblHeader/>
        </w:trPr>
        <w:tc>
          <w:tcPr>
            <w:tcW w:w="0" w:type="auto"/>
            <w:tcBorders>
              <w:top w:val="single" w:sz="1" w:space="0" w:color="BBCFDF"/>
              <w:left w:val="single" w:sz="1" w:space="0" w:color="BBCFDF"/>
              <w:bottom w:val="single" w:sz="1" w:space="0" w:color="BBCFDF"/>
              <w:right w:val="single" w:sz="1" w:space="0" w:color="BBCFDF"/>
            </w:tcBorders>
            <w:shd w:val="clear" w:color="auto" w:fill="2E75B6"/>
            <w:tcMar>
              <w:top w:w="100" w:type="dxa"/>
              <w:left w:w="140" w:type="dxa"/>
              <w:bottom w:w="100" w:type="dxa"/>
              <w:right w:w="140" w:type="dxa"/>
            </w:tcMar>
          </w:tcPr>
          <w:p w14:paraId="520665EB" w14:textId="77777777" w:rsidR="008D6B2E" w:rsidRDefault="00000000">
            <w:r>
              <w:rPr>
                <w:b/>
                <w:bCs/>
                <w:color w:val="FFFFFF"/>
                <w:sz w:val="20"/>
                <w:szCs w:val="20"/>
              </w:rPr>
              <w:t>Area</w:t>
            </w:r>
          </w:p>
        </w:tc>
        <w:tc>
          <w:tcPr>
            <w:tcW w:w="0" w:type="auto"/>
            <w:tcBorders>
              <w:top w:val="single" w:sz="1" w:space="0" w:color="BBCFDF"/>
              <w:left w:val="single" w:sz="1" w:space="0" w:color="BBCFDF"/>
              <w:bottom w:val="single" w:sz="1" w:space="0" w:color="BBCFDF"/>
              <w:right w:val="single" w:sz="1" w:space="0" w:color="BBCFDF"/>
            </w:tcBorders>
            <w:shd w:val="clear" w:color="auto" w:fill="2E75B6"/>
            <w:tcMar>
              <w:top w:w="100" w:type="dxa"/>
              <w:left w:w="140" w:type="dxa"/>
              <w:bottom w:w="100" w:type="dxa"/>
              <w:right w:w="140" w:type="dxa"/>
            </w:tcMar>
          </w:tcPr>
          <w:p w14:paraId="5A80C49C" w14:textId="77777777" w:rsidR="008D6B2E" w:rsidRDefault="00000000">
            <w:r>
              <w:rPr>
                <w:b/>
                <w:bCs/>
                <w:color w:val="FFFFFF"/>
                <w:sz w:val="20"/>
                <w:szCs w:val="20"/>
              </w:rPr>
              <w:t>Financial Impact</w:t>
            </w:r>
          </w:p>
        </w:tc>
        <w:tc>
          <w:tcPr>
            <w:tcW w:w="0" w:type="auto"/>
            <w:tcBorders>
              <w:top w:val="single" w:sz="1" w:space="0" w:color="BBCFDF"/>
              <w:left w:val="single" w:sz="1" w:space="0" w:color="BBCFDF"/>
              <w:bottom w:val="single" w:sz="1" w:space="0" w:color="BBCFDF"/>
              <w:right w:val="single" w:sz="1" w:space="0" w:color="BBCFDF"/>
            </w:tcBorders>
            <w:shd w:val="clear" w:color="auto" w:fill="2E75B6"/>
            <w:tcMar>
              <w:top w:w="100" w:type="dxa"/>
              <w:left w:w="140" w:type="dxa"/>
              <w:bottom w:w="100" w:type="dxa"/>
              <w:right w:w="140" w:type="dxa"/>
            </w:tcMar>
          </w:tcPr>
          <w:p w14:paraId="19037628" w14:textId="77777777" w:rsidR="008D6B2E" w:rsidRDefault="00000000">
            <w:r>
              <w:rPr>
                <w:b/>
                <w:bCs/>
                <w:color w:val="FFFFFF"/>
                <w:sz w:val="20"/>
                <w:szCs w:val="20"/>
              </w:rPr>
              <w:t>Key Action / Remark</w:t>
            </w:r>
          </w:p>
        </w:tc>
      </w:tr>
      <w:tr w:rsidR="008D6B2E" w14:paraId="437A20BD" w14:textId="77777777">
        <w:tblPrEx>
          <w:tblCellMar>
            <w:top w:w="0" w:type="dxa"/>
            <w:bottom w:w="0" w:type="dxa"/>
          </w:tblCellMar>
        </w:tblPrEx>
        <w:tc>
          <w:tcPr>
            <w:tcW w:w="0" w:type="auto"/>
            <w:tcBorders>
              <w:top w:val="single" w:sz="1" w:space="0" w:color="BBCFDF"/>
              <w:left w:val="single" w:sz="1" w:space="0" w:color="BBCFDF"/>
              <w:bottom w:val="single" w:sz="1" w:space="0" w:color="BBCFDF"/>
              <w:right w:val="single" w:sz="1" w:space="0" w:color="BBCFDF"/>
            </w:tcBorders>
            <w:shd w:val="clear" w:color="auto" w:fill="D6E4F0"/>
            <w:tcMar>
              <w:top w:w="100" w:type="dxa"/>
              <w:left w:w="140" w:type="dxa"/>
              <w:bottom w:w="100" w:type="dxa"/>
              <w:right w:w="140" w:type="dxa"/>
            </w:tcMar>
          </w:tcPr>
          <w:p w14:paraId="74E83993" w14:textId="77777777" w:rsidR="008D6B2E" w:rsidRDefault="00000000">
            <w:r>
              <w:rPr>
                <w:b/>
                <w:bCs/>
                <w:color w:val="1F4E79"/>
                <w:sz w:val="20"/>
                <w:szCs w:val="20"/>
              </w:rPr>
              <w:t>Nursing Department</w:t>
            </w:r>
          </w:p>
        </w:tc>
        <w:tc>
          <w:tcPr>
            <w:tcW w:w="0" w:type="auto"/>
            <w:tcBorders>
              <w:top w:val="single" w:sz="1" w:space="0" w:color="BBCFDF"/>
              <w:left w:val="single" w:sz="1" w:space="0" w:color="BBCFDF"/>
              <w:bottom w:val="single" w:sz="1" w:space="0" w:color="BBCFDF"/>
              <w:right w:val="single" w:sz="1" w:space="0" w:color="BBCFDF"/>
            </w:tcBorders>
            <w:tcMar>
              <w:top w:w="100" w:type="dxa"/>
              <w:left w:w="140" w:type="dxa"/>
              <w:bottom w:w="100" w:type="dxa"/>
              <w:right w:w="140" w:type="dxa"/>
            </w:tcMar>
          </w:tcPr>
          <w:p w14:paraId="0BF5B0D8" w14:textId="77777777" w:rsidR="008D6B2E" w:rsidRDefault="00000000">
            <w:r>
              <w:rPr>
                <w:sz w:val="20"/>
                <w:szCs w:val="20"/>
              </w:rPr>
              <w:t>INR 3.3 Crores</w:t>
            </w:r>
          </w:p>
        </w:tc>
        <w:tc>
          <w:tcPr>
            <w:tcW w:w="0" w:type="auto"/>
            <w:tcBorders>
              <w:top w:val="single" w:sz="1" w:space="0" w:color="BBCFDF"/>
              <w:left w:val="single" w:sz="1" w:space="0" w:color="BBCFDF"/>
              <w:bottom w:val="single" w:sz="1" w:space="0" w:color="BBCFDF"/>
              <w:right w:val="single" w:sz="1" w:space="0" w:color="BBCFDF"/>
            </w:tcBorders>
            <w:tcMar>
              <w:top w:w="100" w:type="dxa"/>
              <w:left w:w="140" w:type="dxa"/>
              <w:bottom w:w="100" w:type="dxa"/>
              <w:right w:w="140" w:type="dxa"/>
            </w:tcMar>
          </w:tcPr>
          <w:p w14:paraId="6B8E0C48" w14:textId="77777777" w:rsidR="008D6B2E" w:rsidRDefault="00000000">
            <w:r>
              <w:rPr>
                <w:sz w:val="20"/>
                <w:szCs w:val="20"/>
              </w:rPr>
              <w:t>Rationalisation of ~90 FTEs identified</w:t>
            </w:r>
          </w:p>
        </w:tc>
      </w:tr>
      <w:tr w:rsidR="008D6B2E" w14:paraId="04DD8B23" w14:textId="77777777">
        <w:tblPrEx>
          <w:tblCellMar>
            <w:top w:w="0" w:type="dxa"/>
            <w:bottom w:w="0" w:type="dxa"/>
          </w:tblCellMar>
        </w:tblPrEx>
        <w:tc>
          <w:tcPr>
            <w:tcW w:w="0" w:type="auto"/>
            <w:tcBorders>
              <w:top w:val="single" w:sz="1" w:space="0" w:color="BBCFDF"/>
              <w:left w:val="single" w:sz="1" w:space="0" w:color="BBCFDF"/>
              <w:bottom w:val="single" w:sz="1" w:space="0" w:color="BBCFDF"/>
              <w:right w:val="single" w:sz="1" w:space="0" w:color="BBCFDF"/>
            </w:tcBorders>
            <w:shd w:val="clear" w:color="auto" w:fill="EBF3FB"/>
            <w:tcMar>
              <w:top w:w="100" w:type="dxa"/>
              <w:left w:w="140" w:type="dxa"/>
              <w:bottom w:w="100" w:type="dxa"/>
              <w:right w:w="140" w:type="dxa"/>
            </w:tcMar>
          </w:tcPr>
          <w:p w14:paraId="3F46D2CB" w14:textId="77777777" w:rsidR="008D6B2E" w:rsidRDefault="00000000">
            <w:r>
              <w:rPr>
                <w:b/>
                <w:bCs/>
                <w:color w:val="1F4E79"/>
                <w:sz w:val="20"/>
                <w:szCs w:val="20"/>
              </w:rPr>
              <w:t>Merit Increase Restructuring</w:t>
            </w:r>
          </w:p>
        </w:tc>
        <w:tc>
          <w:tcPr>
            <w:tcW w:w="0" w:type="auto"/>
            <w:tcBorders>
              <w:top w:val="single" w:sz="1" w:space="0" w:color="BBCFDF"/>
              <w:left w:val="single" w:sz="1" w:space="0" w:color="BBCFDF"/>
              <w:bottom w:val="single" w:sz="1" w:space="0" w:color="BBCFDF"/>
              <w:right w:val="single" w:sz="1" w:space="0" w:color="BBCFDF"/>
            </w:tcBorders>
            <w:shd w:val="clear" w:color="auto" w:fill="EBF3FB"/>
            <w:tcMar>
              <w:top w:w="100" w:type="dxa"/>
              <w:left w:w="140" w:type="dxa"/>
              <w:bottom w:w="100" w:type="dxa"/>
              <w:right w:w="140" w:type="dxa"/>
            </w:tcMar>
          </w:tcPr>
          <w:p w14:paraId="1B119150" w14:textId="77777777" w:rsidR="008D6B2E" w:rsidRDefault="00000000">
            <w:r>
              <w:rPr>
                <w:sz w:val="20"/>
                <w:szCs w:val="20"/>
              </w:rPr>
              <w:t>INR 4.6 Crores</w:t>
            </w:r>
          </w:p>
        </w:tc>
        <w:tc>
          <w:tcPr>
            <w:tcW w:w="0" w:type="auto"/>
            <w:tcBorders>
              <w:top w:val="single" w:sz="1" w:space="0" w:color="BBCFDF"/>
              <w:left w:val="single" w:sz="1" w:space="0" w:color="BBCFDF"/>
              <w:bottom w:val="single" w:sz="1" w:space="0" w:color="BBCFDF"/>
              <w:right w:val="single" w:sz="1" w:space="0" w:color="BBCFDF"/>
            </w:tcBorders>
            <w:shd w:val="clear" w:color="auto" w:fill="EBF3FB"/>
            <w:tcMar>
              <w:top w:w="100" w:type="dxa"/>
              <w:left w:w="140" w:type="dxa"/>
              <w:bottom w:w="100" w:type="dxa"/>
              <w:right w:w="140" w:type="dxa"/>
            </w:tcMar>
          </w:tcPr>
          <w:p w14:paraId="0C005C31" w14:textId="77777777" w:rsidR="008D6B2E" w:rsidRDefault="00000000">
            <w:r>
              <w:rPr>
                <w:sz w:val="20"/>
                <w:szCs w:val="20"/>
              </w:rPr>
              <w:t>Opportunity generated through merit increase harmonisation for new FY</w:t>
            </w:r>
          </w:p>
        </w:tc>
      </w:tr>
      <w:tr w:rsidR="008D6B2E" w14:paraId="44FF3172" w14:textId="77777777">
        <w:tblPrEx>
          <w:tblCellMar>
            <w:top w:w="0" w:type="dxa"/>
            <w:bottom w:w="0" w:type="dxa"/>
          </w:tblCellMar>
        </w:tblPrEx>
        <w:tc>
          <w:tcPr>
            <w:tcW w:w="0" w:type="auto"/>
            <w:tcBorders>
              <w:top w:val="single" w:sz="1" w:space="0" w:color="BBCFDF"/>
              <w:left w:val="single" w:sz="1" w:space="0" w:color="BBCFDF"/>
              <w:bottom w:val="single" w:sz="1" w:space="0" w:color="BBCFDF"/>
              <w:right w:val="single" w:sz="1" w:space="0" w:color="BBCFDF"/>
            </w:tcBorders>
            <w:shd w:val="clear" w:color="auto" w:fill="D6E4F0"/>
            <w:tcMar>
              <w:top w:w="100" w:type="dxa"/>
              <w:left w:w="140" w:type="dxa"/>
              <w:bottom w:w="100" w:type="dxa"/>
              <w:right w:w="140" w:type="dxa"/>
            </w:tcMar>
          </w:tcPr>
          <w:p w14:paraId="422F6E32" w14:textId="77777777" w:rsidR="008D6B2E" w:rsidRDefault="00000000">
            <w:r>
              <w:rPr>
                <w:b/>
                <w:bCs/>
                <w:color w:val="1F4E79"/>
                <w:sz w:val="20"/>
                <w:szCs w:val="20"/>
              </w:rPr>
              <w:t>Pharmacy Resources</w:t>
            </w:r>
          </w:p>
        </w:tc>
        <w:tc>
          <w:tcPr>
            <w:tcW w:w="0" w:type="auto"/>
            <w:tcBorders>
              <w:top w:val="single" w:sz="1" w:space="0" w:color="BBCFDF"/>
              <w:left w:val="single" w:sz="1" w:space="0" w:color="BBCFDF"/>
              <w:bottom w:val="single" w:sz="1" w:space="0" w:color="BBCFDF"/>
              <w:right w:val="single" w:sz="1" w:space="0" w:color="BBCFDF"/>
            </w:tcBorders>
            <w:tcMar>
              <w:top w:w="100" w:type="dxa"/>
              <w:left w:w="140" w:type="dxa"/>
              <w:bottom w:w="100" w:type="dxa"/>
              <w:right w:w="140" w:type="dxa"/>
            </w:tcMar>
          </w:tcPr>
          <w:p w14:paraId="30A33BA6" w14:textId="77777777" w:rsidR="008D6B2E" w:rsidRDefault="00000000">
            <w:r>
              <w:rPr>
                <w:sz w:val="20"/>
                <w:szCs w:val="20"/>
              </w:rPr>
              <w:t>20% Optimisation</w:t>
            </w:r>
          </w:p>
        </w:tc>
        <w:tc>
          <w:tcPr>
            <w:tcW w:w="0" w:type="auto"/>
            <w:tcBorders>
              <w:top w:val="single" w:sz="1" w:space="0" w:color="BBCFDF"/>
              <w:left w:val="single" w:sz="1" w:space="0" w:color="BBCFDF"/>
              <w:bottom w:val="single" w:sz="1" w:space="0" w:color="BBCFDF"/>
              <w:right w:val="single" w:sz="1" w:space="0" w:color="BBCFDF"/>
            </w:tcBorders>
            <w:tcMar>
              <w:top w:w="100" w:type="dxa"/>
              <w:left w:w="140" w:type="dxa"/>
              <w:bottom w:w="100" w:type="dxa"/>
              <w:right w:w="140" w:type="dxa"/>
            </w:tcMar>
          </w:tcPr>
          <w:p w14:paraId="01340DB9" w14:textId="77777777" w:rsidR="008D6B2E" w:rsidRDefault="00000000">
            <w:r>
              <w:rPr>
                <w:sz w:val="20"/>
                <w:szCs w:val="20"/>
              </w:rPr>
              <w:t>Work realignment exercise to release capacity across pharmacy function</w:t>
            </w:r>
          </w:p>
        </w:tc>
      </w:tr>
    </w:tbl>
    <w:p w14:paraId="0ABB5294" w14:textId="77777777" w:rsidR="008D6B2E" w:rsidRDefault="00000000">
      <w:pPr>
        <w:pStyle w:val="Heading2"/>
      </w:pPr>
      <w:r>
        <w:t>Risks &amp; Watch Items</w:t>
      </w:r>
    </w:p>
    <w:p w14:paraId="4F5BAC11" w14:textId="77777777" w:rsidR="008D6B2E" w:rsidRDefault="00000000">
      <w:pPr>
        <w:spacing w:before="80" w:after="80"/>
      </w:pPr>
      <w:r>
        <w:rPr>
          <w:b/>
          <w:bCs/>
        </w:rPr>
        <w:t>New Wage Code (India) — Potential Adverse Impact</w:t>
      </w:r>
    </w:p>
    <w:p w14:paraId="0AE4D9C7" w14:textId="77777777" w:rsidR="008D6B2E" w:rsidRDefault="00000000">
      <w:pPr>
        <w:spacing w:before="60" w:after="160"/>
      </w:pPr>
      <w:r>
        <w:t>The forthcoming introduction of the new wage code in India may have an adverse financial and structural impact on the optimisation targets. A formal impact assessment has been initiated and is expected to be completed in Q1 2027. Findings will be incorporated into revised planning assumptions as they become available.</w:t>
      </w:r>
    </w:p>
    <w:p w14:paraId="1A1E4531" w14:textId="5D31E43A" w:rsidR="006A537F" w:rsidRDefault="006A537F" w:rsidP="006A537F">
      <w:pPr>
        <w:spacing w:before="60" w:after="60"/>
      </w:pPr>
      <w:r w:rsidRPr="006A537F">
        <w:rPr>
          <w:b/>
          <w:bCs/>
        </w:rPr>
        <w:t>Minimum Wage Revision (</w:t>
      </w:r>
      <w:r w:rsidR="00C87C6E">
        <w:rPr>
          <w:b/>
          <w:bCs/>
        </w:rPr>
        <w:t>Draft version is released</w:t>
      </w:r>
      <w:r w:rsidRPr="006A537F">
        <w:rPr>
          <w:b/>
          <w:bCs/>
        </w:rPr>
        <w:t xml:space="preserve">): </w:t>
      </w:r>
      <w:r>
        <w:t xml:space="preserve">A revision to minimum wage structures is currently in draft </w:t>
      </w:r>
      <w:r w:rsidR="00C87C6E">
        <w:t xml:space="preserve">from the government </w:t>
      </w:r>
      <w:r>
        <w:t>and under review. Once finalised, this may have a bearing on cost assumptions underpinning the rationalisation targets. The revision will be monitored closely and its implications assessed and incorporated into planning as the draft progresses toward enactment.</w:t>
      </w:r>
    </w:p>
    <w:p w14:paraId="0883535B" w14:textId="77777777" w:rsidR="008D6B2E" w:rsidRDefault="00000000">
      <w:pPr>
        <w:pStyle w:val="Heading2"/>
      </w:pPr>
      <w:r>
        <w:t>Governance &amp; Execution</w:t>
      </w:r>
    </w:p>
    <w:p w14:paraId="3121760B" w14:textId="77777777" w:rsidR="008D6B2E" w:rsidRDefault="00000000">
      <w:pPr>
        <w:spacing w:before="80" w:after="100"/>
      </w:pPr>
      <w:r>
        <w:t>To ensure disciplined delivery against the identified opportunities, the following governance structure is in place:</w:t>
      </w:r>
    </w:p>
    <w:p w14:paraId="6BBA4F5F" w14:textId="77777777" w:rsidR="008D6B2E" w:rsidRDefault="00000000">
      <w:pPr>
        <w:pStyle w:val="ListParagraph"/>
        <w:numPr>
          <w:ilvl w:val="0"/>
          <w:numId w:val="2"/>
        </w:numPr>
        <w:spacing w:before="60" w:after="60"/>
      </w:pPr>
      <w:r>
        <w:rPr>
          <w:b/>
          <w:bCs/>
        </w:rPr>
        <w:t xml:space="preserve">Execution Committee: </w:t>
      </w:r>
      <w:r>
        <w:t>A dedicated committee has been constituted to drive realisation of all optimisation targets.</w:t>
      </w:r>
    </w:p>
    <w:p w14:paraId="6583E55F" w14:textId="77777777" w:rsidR="008D6B2E" w:rsidRDefault="00000000">
      <w:pPr>
        <w:pStyle w:val="ListParagraph"/>
        <w:numPr>
          <w:ilvl w:val="0"/>
          <w:numId w:val="2"/>
        </w:numPr>
        <w:spacing w:before="60" w:after="60"/>
      </w:pPr>
      <w:r>
        <w:rPr>
          <w:b/>
          <w:bCs/>
        </w:rPr>
        <w:t xml:space="preserve">Weekly Review Cadence: </w:t>
      </w:r>
      <w:r>
        <w:t>Progress against targets is reviewed weekly to enable timely course correction and escalation.</w:t>
      </w:r>
    </w:p>
    <w:p w14:paraId="10036314" w14:textId="77777777" w:rsidR="008D6B2E" w:rsidRDefault="00000000">
      <w:pPr>
        <w:pStyle w:val="ListParagraph"/>
        <w:numPr>
          <w:ilvl w:val="0"/>
          <w:numId w:val="2"/>
        </w:numPr>
        <w:spacing w:before="60" w:after="60"/>
      </w:pPr>
      <w:r>
        <w:rPr>
          <w:b/>
          <w:bCs/>
        </w:rPr>
        <w:t xml:space="preserve">Wage Code Assessment: </w:t>
      </w:r>
      <w:r>
        <w:t>Impact assessment to be concluded by Q1 2027, with outcomes factored into updated targets.</w:t>
      </w:r>
    </w:p>
    <w:p w14:paraId="0175DB76" w14:textId="3FAB2590" w:rsidR="008D6B2E" w:rsidRDefault="00000000" w:rsidP="006A537F">
      <w:pPr>
        <w:pStyle w:val="ListParagraph"/>
        <w:numPr>
          <w:ilvl w:val="0"/>
          <w:numId w:val="2"/>
        </w:numPr>
        <w:spacing w:before="60" w:after="200"/>
      </w:pPr>
      <w:r>
        <w:rPr>
          <w:b/>
          <w:bCs/>
        </w:rPr>
        <w:t xml:space="preserve">Progressive Performance-Linked Methodology: </w:t>
      </w:r>
      <w:r>
        <w:t>A progressive, performance-linked methodology is currently being developed to embed accountability and drive measurable outcomes across the rationalisation programme. This framework will link realisation of optimisation targets to defined performance milestones, ensuring sustained delivery and enabling incremental course correction throughout the execution cycle.</w:t>
      </w:r>
    </w:p>
    <w:sectPr w:rsidR="008D6B2E">
      <w:pgSz w:w="12240" w:h="15840"/>
      <w:pgMar w:top="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073A1"/>
    <w:multiLevelType w:val="hybridMultilevel"/>
    <w:tmpl w:val="5D2A7B36"/>
    <w:lvl w:ilvl="0" w:tplc="563EF456">
      <w:start w:val="1"/>
      <w:numFmt w:val="bullet"/>
      <w:lvlText w:val="●"/>
      <w:lvlJc w:val="left"/>
      <w:pPr>
        <w:ind w:left="720" w:hanging="360"/>
      </w:pPr>
    </w:lvl>
    <w:lvl w:ilvl="1" w:tplc="3806CB5E">
      <w:start w:val="1"/>
      <w:numFmt w:val="bullet"/>
      <w:lvlText w:val="○"/>
      <w:lvlJc w:val="left"/>
      <w:pPr>
        <w:ind w:left="1440" w:hanging="360"/>
      </w:pPr>
    </w:lvl>
    <w:lvl w:ilvl="2" w:tplc="7C5AF090">
      <w:start w:val="1"/>
      <w:numFmt w:val="bullet"/>
      <w:lvlText w:val="■"/>
      <w:lvlJc w:val="left"/>
      <w:pPr>
        <w:ind w:left="2160" w:hanging="360"/>
      </w:pPr>
    </w:lvl>
    <w:lvl w:ilvl="3" w:tplc="516AD758">
      <w:start w:val="1"/>
      <w:numFmt w:val="bullet"/>
      <w:lvlText w:val="●"/>
      <w:lvlJc w:val="left"/>
      <w:pPr>
        <w:ind w:left="2880" w:hanging="360"/>
      </w:pPr>
    </w:lvl>
    <w:lvl w:ilvl="4" w:tplc="04AA26E6">
      <w:start w:val="1"/>
      <w:numFmt w:val="bullet"/>
      <w:lvlText w:val="○"/>
      <w:lvlJc w:val="left"/>
      <w:pPr>
        <w:ind w:left="3600" w:hanging="360"/>
      </w:pPr>
    </w:lvl>
    <w:lvl w:ilvl="5" w:tplc="8F2AD528">
      <w:start w:val="1"/>
      <w:numFmt w:val="bullet"/>
      <w:lvlText w:val="■"/>
      <w:lvlJc w:val="left"/>
      <w:pPr>
        <w:ind w:left="4320" w:hanging="360"/>
      </w:pPr>
    </w:lvl>
    <w:lvl w:ilvl="6" w:tplc="D610A34A">
      <w:start w:val="1"/>
      <w:numFmt w:val="bullet"/>
      <w:lvlText w:val="●"/>
      <w:lvlJc w:val="left"/>
      <w:pPr>
        <w:ind w:left="5040" w:hanging="360"/>
      </w:pPr>
    </w:lvl>
    <w:lvl w:ilvl="7" w:tplc="B80E9BAC">
      <w:start w:val="1"/>
      <w:numFmt w:val="bullet"/>
      <w:lvlText w:val="●"/>
      <w:lvlJc w:val="left"/>
      <w:pPr>
        <w:ind w:left="5760" w:hanging="360"/>
      </w:pPr>
    </w:lvl>
    <w:lvl w:ilvl="8" w:tplc="970C132C">
      <w:start w:val="1"/>
      <w:numFmt w:val="bullet"/>
      <w:lvlText w:val="●"/>
      <w:lvlJc w:val="left"/>
      <w:pPr>
        <w:ind w:left="6480" w:hanging="360"/>
      </w:pPr>
    </w:lvl>
  </w:abstractNum>
  <w:abstractNum w:abstractNumId="1" w15:restartNumberingAfterBreak="0">
    <w:nsid w:val="75004859"/>
    <w:multiLevelType w:val="hybridMultilevel"/>
    <w:tmpl w:val="A8BEF442"/>
    <w:lvl w:ilvl="0" w:tplc="42F8AD6E">
      <w:start w:val="1"/>
      <w:numFmt w:val="bullet"/>
      <w:lvlText w:val="•"/>
      <w:lvlJc w:val="left"/>
      <w:pPr>
        <w:ind w:left="720" w:hanging="360"/>
      </w:pPr>
    </w:lvl>
    <w:lvl w:ilvl="1" w:tplc="DC6806D0">
      <w:numFmt w:val="decimal"/>
      <w:lvlText w:val=""/>
      <w:lvlJc w:val="left"/>
    </w:lvl>
    <w:lvl w:ilvl="2" w:tplc="AE4631F0">
      <w:numFmt w:val="decimal"/>
      <w:lvlText w:val=""/>
      <w:lvlJc w:val="left"/>
    </w:lvl>
    <w:lvl w:ilvl="3" w:tplc="3676B1BC">
      <w:numFmt w:val="decimal"/>
      <w:lvlText w:val=""/>
      <w:lvlJc w:val="left"/>
    </w:lvl>
    <w:lvl w:ilvl="4" w:tplc="F7E00C86">
      <w:numFmt w:val="decimal"/>
      <w:lvlText w:val=""/>
      <w:lvlJc w:val="left"/>
    </w:lvl>
    <w:lvl w:ilvl="5" w:tplc="B608EB4E">
      <w:numFmt w:val="decimal"/>
      <w:lvlText w:val=""/>
      <w:lvlJc w:val="left"/>
    </w:lvl>
    <w:lvl w:ilvl="6" w:tplc="C8E6C518">
      <w:numFmt w:val="decimal"/>
      <w:lvlText w:val=""/>
      <w:lvlJc w:val="left"/>
    </w:lvl>
    <w:lvl w:ilvl="7" w:tplc="AF12C70A">
      <w:numFmt w:val="decimal"/>
      <w:lvlText w:val=""/>
      <w:lvlJc w:val="left"/>
    </w:lvl>
    <w:lvl w:ilvl="8" w:tplc="3DBCE45E">
      <w:numFmt w:val="decimal"/>
      <w:lvlText w:val=""/>
      <w:lvlJc w:val="left"/>
    </w:lvl>
  </w:abstractNum>
  <w:num w:numId="1" w16cid:durableId="105009117">
    <w:abstractNumId w:val="0"/>
    <w:lvlOverride w:ilvl="0">
      <w:startOverride w:val="1"/>
    </w:lvlOverride>
  </w:num>
  <w:num w:numId="2" w16cid:durableId="6269350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B2E"/>
    <w:rsid w:val="006A537F"/>
    <w:rsid w:val="008D6B2E"/>
    <w:rsid w:val="00C87C6E"/>
    <w:rsid w:val="00DD4D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93BCEDB"/>
  <w15:docId w15:val="{E57720FA-55E1-264A-99E0-6891899C4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FFFFFF"/>
      <w:sz w:val="36"/>
      <w:szCs w:val="36"/>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384</Words>
  <Characters>2127</Characters>
  <Application>Microsoft Office Word</Application>
  <DocSecurity>0</DocSecurity>
  <Lines>47</Lines>
  <Paragraphs>35</Paragraphs>
  <ScaleCrop>false</ScaleCrop>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 Vishwanath Pudipeddi</cp:lastModifiedBy>
  <cp:revision>3</cp:revision>
  <dcterms:created xsi:type="dcterms:W3CDTF">2026-03-31T12:09:00Z</dcterms:created>
  <dcterms:modified xsi:type="dcterms:W3CDTF">2026-03-31T12:10:00Z</dcterms:modified>
</cp:coreProperties>
</file>