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Title"/>
        <w:spacing w:after="96"/>
      </w:pPr>
      <w:r>
        <w:t xml:space="preserve">TOP-10 BILLS, WHO PAYS, AND THE NCR MARKET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color w:val="2B7CBE"/>
          <w:sz w:val="48"/>
          <w:szCs w:val="48"/>
        </w:rPr>
        <w:t xml:space="preserve">Five Quaternary Prototypes — Revenue Anchors, Payer Sources, NCR Demand &amp; Break-even Volumes</w:t>
      </w:r>
    </w:p>
    <w:p>
      <w:pPr>
        <w:pBdr>
          <w:top w:val="single" w:color="2B7CBE" w:sz="4" w:space="3"/>
        </w:pBdr>
        <w:spacing w:after="200" w:before="8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Companion Reference to the Delhi Precision Hospital Prototypes</w:t>
      </w:r>
    </w:p>
    <w:p>
      <w:r>
        <w:rPr>
          <w:rFonts w:ascii="Calibri" w:cs="Calibri" w:eastAsia="Calibri" w:hAnsi="Calibri"/>
          <w:i/>
          <w:iCs/>
          <w:color w:val="7F8C9B"/>
          <w:sz w:val="28"/>
          <w:szCs w:val="28"/>
        </w:rPr>
        <w:t xml:space="preserve">June 2026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7CBE" w:val="clear"/>
            <w:tcMar>
              <w:top w:type="dxa" w:w="160"/>
              <w:left w:type="dxa" w:w="360"/>
              <w:bottom w:type="dxa" w:w="160"/>
              <w:right w:type="dxa" w:w="36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ED8EF"/>
                <w:sz w:val="26"/>
                <w:szCs w:val="26"/>
              </w:rPr>
              <w:t xml:space="preserve">PART I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HOW TO READ THIS</w:t>
            </w:r>
          </w:p>
        </w:tc>
      </w:tr>
    </w:tbl>
    <w:p>
      <w:pPr>
        <w:pStyle w:val="Heading1"/>
        <w:shd w:fill="2B7CBE" w:val="clear"/>
        <w:spacing w:after="200" w:before="360"/>
        <w:ind w:left="240" w:right="240"/>
      </w:pPr>
      <w:r>
        <w:t xml:space="preserve">1. Payer Sources &amp; The NCR Backdrop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each prototype below, the ten highest-value bills are listed with an indicative price at private-quaternary rates and the payer most likely to fund them. Indian high-end care is paid from a handful of distinct pockets — the mix, not just the price, decides whether a programme is bankable. Bills are benchmark-derived and pre-diligence.</w:t>
      </w:r>
    </w:p>
    <w:p>
      <w:pPr>
        <w:pStyle w:val="Heading2"/>
        <w:pBdr>
          <w:bottom w:val="single" w:color="8B1A4A" w:sz="4" w:space="3"/>
        </w:pBdr>
      </w:pPr>
      <w:r>
        <w:t xml:space="preserve">The Payer Pockets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Cash / self-pay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still the largest pocket for premium and elective care; the default for cutting-edge therapies that insurers cap or exclude.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PHI — private health insurance &amp; corporate TPA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growing urban-affluent pocket; covers most surgery, chemo and radiation up to policy limits.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CGHS / ECHS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central-government and ex-servicemen schemes; very large in Delhi, paid at regulated (lower) tariffs but high, reliable volume — empanelment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PM-JAY (Ayushman Bharat)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low-income cover; Delhi joined only in April 2025; low tariffs, high volume, thin margin.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MVT — international / medical-value travel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cash, premium pricing; oncology is the fastest-growing inbound segment and Delhi is a 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Charity / CSR / crowdfunding —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realistic funding route for the crore-plus gene and cell therapies and for many paediatric cases.</w:t>
      </w:r>
    </w:p>
    <w:p>
      <w:pPr>
        <w:pStyle w:val="Heading2"/>
        <w:pBdr>
          <w:bottom w:val="single" w:color="8B1A4A" w:sz="4" w:space="3"/>
        </w:pBdr>
      </w:pPr>
      <w:r>
        <w:t xml:space="preserve">Delhi NCR — The Numbers Behind The Demand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2B7CB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~32 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8DFF0"/>
                <w:sz w:val="18"/>
                <w:szCs w:val="18"/>
              </w:rPr>
              <w:t xml:space="preserve">NCR population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7CBE"/>
                <w:sz w:val="24"/>
                <w:szCs w:val="24"/>
              </w:rPr>
              <w:t xml:space="preserve">~40,000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7F8C9B"/>
                <w:sz w:val="18"/>
                <w:szCs w:val="18"/>
              </w:rPr>
              <w:t xml:space="preserve">New cancer cases / yr (est.)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7CBE"/>
                <w:sz w:val="24"/>
                <w:szCs w:val="24"/>
              </w:rPr>
              <w:t xml:space="preserve">~250k+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7F8C9B"/>
                <w:sz w:val="18"/>
                <w:szCs w:val="18"/>
              </w:rPr>
              <w:t xml:space="preserve">People with epilepsy (est.)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7CBE"/>
                <w:sz w:val="24"/>
                <w:szCs w:val="24"/>
              </w:rPr>
              <w:t xml:space="preserve">~8–9 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7F8C9B"/>
                <w:sz w:val="18"/>
                <w:szCs w:val="18"/>
              </w:rPr>
              <w:t xml:space="preserve">Children (0–14)</w:t>
            </w:r>
          </w:p>
        </w:tc>
        <w:tc>
          <w:tcPr>
            <w:tcW w:type="dxa" w:w="187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2F5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2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7CBE"/>
                <w:sz w:val="24"/>
                <w:szCs w:val="24"/>
              </w:rPr>
              <w:t xml:space="preserve">Apr 2025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7F8C9B"/>
                <w:sz w:val="18"/>
                <w:szCs w:val="18"/>
              </w:rPr>
              <w:t xml:space="preserve">Delhi joins PM-JAY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7F8C9B"/>
          <w:sz w:val="20"/>
          <w:szCs w:val="20"/>
        </w:rPr>
        <w:t xml:space="preserve">NCR demand figures are indicative estimates from national incidence/prevalence rates applied to the NCR population (NCRP, neurology epidemiology). Pre-diligence.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7CBE" w:val="clear"/>
            <w:tcMar>
              <w:top w:type="dxa" w:w="160"/>
              <w:left w:type="dxa" w:w="360"/>
              <w:bottom w:type="dxa" w:w="160"/>
              <w:right w:type="dxa" w:w="36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ED8EF"/>
                <w:sz w:val="26"/>
                <w:szCs w:val="26"/>
              </w:rPr>
              <w:t xml:space="preserve">PART II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TOP-10 BILLS &amp; PAYER BY PROTOTYPE</w:t>
            </w:r>
          </w:p>
        </w:tc>
      </w:tr>
    </w:tbl>
    <w:p>
      <w:pPr>
        <w:pStyle w:val="Heading1"/>
        <w:shd w:fill="2B7CBE" w:val="clear"/>
        <w:spacing w:after="200" w:before="360"/>
        <w:ind w:left="240" w:right="240"/>
      </w:pPr>
      <w:r>
        <w:t xml:space="preserve">2. POC — Precision Oncology Centre</w:t>
      </w:r>
    </w:p>
    <w:tbl>
      <w:tblPr>
        <w:tblW w:type="dxa" w:w="9360"/>
        <w:tblBorders>
          <w:top w:val="single" w:color="CBD6E2" w:sz="4"/>
          <w:left w:val="none" w:color="FFFFFF" w:sz="0"/>
          <w:bottom w:val="single" w:color="CBD6E2" w:sz="4"/>
          <w:right w:val="none" w:color="FFFFFF" w:sz="0"/>
          <w:insideH w:val="single" w:color="CBD6E2" w:sz="4"/>
          <w:insideV w:val="none" w:color="FFFFFF" w:sz="0"/>
        </w:tblBorders>
      </w:tblPr>
      <w:tblGrid>
        <w:gridCol w:w="560"/>
        <w:gridCol w:w="4300"/>
        <w:gridCol w:w="1900"/>
        <w:gridCol w:w="2600"/>
      </w:tblGrid>
      <w:tr>
        <w:trPr>
          <w:tblHeader/>
        </w:trP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High-value case archetype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Indicative bill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Likely payer source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CAR-T / advanced cellular therapy (relapsed disease)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₹40–55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MVT / Charity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Proton / advanced radiation full course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₹25–35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 / MVT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Checkpoint-inhibitor immunotherapy (annual)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₹15–25 L / yr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Complex sarcoma — multi-modality episode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₹15–22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Cytoreductive surgery + HIPEC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₹8–12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Robotic complex resection (HPB / thoracic / pelvic)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₹5–9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Neuro-oncology craniotomy + adjuvant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₹6–10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NGS-guided targeted therapy (annual)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₹4–8 L / yr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Autologous-supported high-dose chemotherapy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₹6–10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PET-CT + molecular tumour-board diagnostic episode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₹40k–1.0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Delhi NCR market: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largest of the five — roughly 40,000 new cancer cases a year in the region, rising ~13% on 2020 levels, with breast, lung and oral the leading sites. The privately addressable high-end slice (~12,000–16,000 cases/yr) plus recurring radiation and chemotherapy implies an indicative private-oncology market of order ₹4,000–6,000 Cr. Payer-mix skews cash + PHI + CGHS, with MVT the pricing upside.</w:t>
      </w:r>
    </w:p>
    <w:p>
      <w:pPr>
        <w:pStyle w:val="Heading1"/>
        <w:shd w:fill="2B7CBE" w:val="clear"/>
        <w:spacing w:after="200" w:before="360"/>
        <w:ind w:left="240" w:right="240"/>
      </w:pPr>
      <w:r>
        <w:t xml:space="preserve">3. BDI — Blood Disorders Institute</w:t>
      </w:r>
    </w:p>
    <w:tbl>
      <w:tblPr>
        <w:tblW w:type="dxa" w:w="9360"/>
        <w:tblBorders>
          <w:top w:val="single" w:color="CBD6E2" w:sz="4"/>
          <w:left w:val="none" w:color="FFFFFF" w:sz="0"/>
          <w:bottom w:val="single" w:color="CBD6E2" w:sz="4"/>
          <w:right w:val="none" w:color="FFFFFF" w:sz="0"/>
          <w:insideH w:val="single" w:color="CBD6E2" w:sz="4"/>
          <w:insideV w:val="none" w:color="FFFFFF" w:sz="0"/>
        </w:tblBorders>
      </w:tblPr>
      <w:tblGrid>
        <w:gridCol w:w="560"/>
        <w:gridCol w:w="4300"/>
        <w:gridCol w:w="1900"/>
        <w:gridCol w:w="2600"/>
      </w:tblGrid>
      <w:tr>
        <w:trPr>
          <w:tblHeader/>
        </w:trP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High-value case archetype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Indicative bill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Likely payer source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 therapy — transfusion-dependent thal / sickle (future)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₹2.5–4 Cr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Govt / MVT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CAR-T for relapsed leukaemia / lymphoma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₹40–75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MVT / Charity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Allogeneic HSCT — matched-unrelated / haplo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₹25–35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 / Charity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Paediatric matched-sibling transplant (thalassaemia)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₹18–25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Cash / PM-JAY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Relapsed acute leukaemia — induction + ICU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₹15–22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Autologous HSCT (myeloma / lymphoma)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₹12–18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Complex lymphoma — chemo-immunotherapy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₹12–18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Haemophilia inhibitor / factor management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₹10–20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Govt programme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Aplastic anaemia — immunosuppression + work-up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₹8–15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Therapeutic apheresis programme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₹2–6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Delhi NCR market: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real but narrow. India sees ~100,000 leukaemia/lymphoma patients and 10,000–15,000 new thalassaemia-major births a year; NCR transplant demand is of order 600–900 HSCT/yr across centres. Indicative regional haemato-oncology + transplant market ~₹500–900 Cr. Thalassaemia and gene therapy lean heavily on charity, government and crowdfunding rather than insurance.</w:t>
      </w:r>
    </w:p>
    <w:p>
      <w:pPr>
        <w:pStyle w:val="Heading1"/>
        <w:shd w:fill="2B7CBE" w:val="clear"/>
        <w:spacing w:after="200" w:before="360"/>
        <w:ind w:left="240" w:right="240"/>
      </w:pPr>
      <w:r>
        <w:t xml:space="preserve">4. NNC — Neurology &amp; Neuromuscular Centre</w:t>
      </w:r>
    </w:p>
    <w:tbl>
      <w:tblPr>
        <w:tblW w:type="dxa" w:w="9360"/>
        <w:tblBorders>
          <w:top w:val="single" w:color="CBD6E2" w:sz="4"/>
          <w:left w:val="none" w:color="FFFFFF" w:sz="0"/>
          <w:bottom w:val="single" w:color="CBD6E2" w:sz="4"/>
          <w:right w:val="none" w:color="FFFFFF" w:sz="0"/>
          <w:insideH w:val="single" w:color="CBD6E2" w:sz="4"/>
          <w:insideV w:val="none" w:color="FFFFFF" w:sz="0"/>
        </w:tblBorders>
      </w:tblPr>
      <w:tblGrid>
        <w:gridCol w:w="560"/>
        <w:gridCol w:w="4300"/>
        <w:gridCol w:w="1900"/>
        <w:gridCol w:w="2600"/>
      </w:tblGrid>
      <w:tr>
        <w:trPr>
          <w:tblHeader/>
        </w:trP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High-value case archetype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Indicative bill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Likely payer source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 / neuromuscular gene therapy (import)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₹16–17 Cr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crowdfunding / Govt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Enzyme-replacement / chronic infusion (annual)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₹30 L–1 Cr+ / yr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Govt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Deep brain stimulation — bilateral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₹15–30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Complex epilepsy surgery + invasive monitoring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₹6–15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Neuro-oncology — skull-base craniotomy + ICU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₹6–12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Acute stroke — mechanical thrombectomy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₹6–10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Complex spine — deformity / tumour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₹5–9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DBS pulse-generator replacement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₹6–10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Neuromuscular genetic diagnostic + work-up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₹1–3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EMG / video-EEG monitoring episode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₹40k–1.5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PHI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Delhi NCR market: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broad at the base, thin at the quaternary tip. The region has ~250,000+ people with epilepsy and tens of thousands of stroke events a year, so stroke, epilepsy and neurosurgery carry the volume; DBS and gene therapy are halo cases, not volume drivers. Indicative addressable neuro market ~₹1,500–2,500 Cr, mostly PHI/CGHS-funded; the gene-therapy line is charity/government-funded and very low volume.</w:t>
      </w:r>
    </w:p>
    <w:p>
      <w:pPr>
        <w:pStyle w:val="Heading1"/>
        <w:shd w:fill="2B7CBE" w:val="clear"/>
        <w:spacing w:after="200" w:before="360"/>
        <w:ind w:left="240" w:right="240"/>
      </w:pPr>
      <w:r>
        <w:t xml:space="preserve">5. LLEI — Longevity &amp; Lifespan Extension Institute</w:t>
      </w:r>
    </w:p>
    <w:tbl>
      <w:tblPr>
        <w:tblW w:type="dxa" w:w="9360"/>
        <w:tblBorders>
          <w:top w:val="single" w:color="CBD6E2" w:sz="4"/>
          <w:left w:val="none" w:color="FFFFFF" w:sz="0"/>
          <w:bottom w:val="single" w:color="CBD6E2" w:sz="4"/>
          <w:right w:val="none" w:color="FFFFFF" w:sz="0"/>
          <w:insideH w:val="single" w:color="CBD6E2" w:sz="4"/>
          <w:insideV w:val="none" w:color="FFFFFF" w:sz="0"/>
        </w:tblBorders>
      </w:tblPr>
      <w:tblGrid>
        <w:gridCol w:w="560"/>
        <w:gridCol w:w="4300"/>
        <w:gridCol w:w="1900"/>
        <w:gridCol w:w="2600"/>
      </w:tblGrid>
      <w:tr>
        <w:trPr>
          <w:tblHeader/>
        </w:trP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High-value case archetype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Indicative bill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Likely payer source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Concierge healthspan membership (annual)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₹10–25 L / yr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Corporate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Multi-omics assessment (genome + full-body MRI)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₹7–13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Cellular rejuvenation / regenerative course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₹5–15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Corporate executive-cohort contract (per annum)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₹5–20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Corporate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Stem-cell banking + infusion package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₹4–10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Metabolic-reversal programme (12-month)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₹3–8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Regenerative / aesthetic surgery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₹3–8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Cognitive-ageing amyloid–tau monitoring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₹2–5 L / yr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Premium executive health check (single visit)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₹1–3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Corporate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IV-therapy / biohacking membership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₹1–4 L / yr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Delhi NCR market: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small in volume, almost entirely cash and corporate — essentially no insurance. The market is the affluent top decile of NCR’s ~32M (Vasant Kunj, South Delhi, Gurgaon) plus corporate executive-health contracts. Indicative premium-preventive / longevity market of order ₹500–1,000 Cr, high-margin but demand at the top price tier is unproven in India and brand/evidence-led.</w:t>
      </w:r>
    </w:p>
    <w:p>
      <w:pPr>
        <w:pStyle w:val="Heading1"/>
        <w:shd w:fill="2B7CBE" w:val="clear"/>
        <w:spacing w:after="200" w:before="360"/>
        <w:ind w:left="240" w:right="240"/>
      </w:pPr>
      <w:r>
        <w:t xml:space="preserve">6. CCH — Comprehensive Children’s Hospital</w:t>
      </w:r>
    </w:p>
    <w:tbl>
      <w:tblPr>
        <w:tblW w:type="dxa" w:w="9360"/>
        <w:tblBorders>
          <w:top w:val="single" w:color="CBD6E2" w:sz="4"/>
          <w:left w:val="none" w:color="FFFFFF" w:sz="0"/>
          <w:bottom w:val="single" w:color="CBD6E2" w:sz="4"/>
          <w:right w:val="none" w:color="FFFFFF" w:sz="0"/>
          <w:insideH w:val="single" w:color="CBD6E2" w:sz="4"/>
          <w:insideV w:val="none" w:color="FFFFFF" w:sz="0"/>
        </w:tblBorders>
      </w:tblPr>
      <w:tblGrid>
        <w:gridCol w:w="560"/>
        <w:gridCol w:w="4300"/>
        <w:gridCol w:w="1900"/>
        <w:gridCol w:w="2600"/>
      </w:tblGrid>
      <w:tr>
        <w:trPr>
          <w:tblHeader/>
        </w:trP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High-value case archetype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Indicative bill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Likely payer source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Paediatric rare-disease gene therapy (SMA-class)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₹16 Cr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crowdfunding / Govt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Paediatric CAR-T / cellular therapy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₹40–60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Charity / MVT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Paediatric allogeneic BMT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₹20–30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Cash / PM-JAY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Extended NICU stay — ELBW preterm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₹15–30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 / Charity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Paediatric solid tumour — multi-modality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₹10–18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Charity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Complex congenital cardiac surgery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₹5–12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PM-JAY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Neonatal cardiac surgery + NICU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₹8–15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PHI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Extended PICU — sepsis / multi-organ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₹8–15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Cash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Paediatric neurosurgery (tumour / craniofacial)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₹5–10 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Charity</w:t>
            </w:r>
          </w:p>
        </w:tc>
      </w:tr>
      <w:tr>
        <w:tc>
          <w:tcPr>
            <w:tcW w:type="dxa" w:w="56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Inborn error of metabolism + enzyme therapy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₹3–10 L / yr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Charity / Govt / PHI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Delhi NCR market: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large population base — roughly 8–9 million children in the region — but structurally lower realisation and a heavier reliance on charity and government schemes for the high-acuity congenital and rare-disease work. Indicative paediatric tertiary/quaternary market ~₹2,000–3,000 Cr (NICU/PICU, paediatric surgery, oncology and cardiac), with NICU and PICU providing the steadiest, PHI-funded annuity.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7CBE" w:val="clear"/>
            <w:tcMar>
              <w:top w:type="dxa" w:w="160"/>
              <w:left w:type="dxa" w:w="360"/>
              <w:bottom w:type="dxa" w:w="160"/>
              <w:right w:type="dxa" w:w="36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ED8EF"/>
                <w:sz w:val="26"/>
                <w:szCs w:val="26"/>
              </w:rPr>
              <w:t xml:space="preserve">PART III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DELHI NCR MARKET — AT A GLANCE</w:t>
            </w:r>
          </w:p>
        </w:tc>
      </w:tr>
    </w:tbl>
    <w:p>
      <w:pPr>
        <w:pStyle w:val="Heading1"/>
        <w:shd w:fill="2B7CBE" w:val="clear"/>
        <w:spacing w:after="200" w:before="360"/>
        <w:ind w:left="240" w:right="240"/>
      </w:pPr>
      <w:r>
        <w:t xml:space="preserve">7. Market Size &amp; Dominant Payer By Prototype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Pulling it together: oncology is by far the deepest and most bankable market in the region; paediatrics and neuro are large but payer-constrained; blood disorders is narrow; longevity is small and cash-only. All figures indicative and pre-diligence.</w:t>
      </w:r>
    </w:p>
    <w:tbl>
      <w:tblPr>
        <w:tblW w:type="dxa" w:w="13680"/>
        <w:tblBorders>
          <w:top w:val="single" w:color="CBD6E2" w:sz="4"/>
          <w:left w:val="none" w:color="FFFFFF" w:sz="0"/>
          <w:bottom w:val="single" w:color="CBD6E2" w:sz="4"/>
          <w:right w:val="none" w:color="FFFFFF" w:sz="0"/>
          <w:insideH w:val="single" w:color="CBD6E2" w:sz="4"/>
          <w:insideV w:val="none" w:color="FFFFFF" w:sz="0"/>
        </w:tblBorders>
      </w:tblPr>
      <w:tblGrid>
        <w:gridCol w:w="2550"/>
        <w:gridCol w:w="2400"/>
        <w:gridCol w:w="3330"/>
        <w:gridCol w:w="2600"/>
        <w:gridCol w:w="2800"/>
      </w:tblGrid>
      <w:tr>
        <w:trPr>
          <w:tblHeader/>
        </w:trPr>
        <w:tc>
          <w:tcPr>
            <w:tcW w:type="dxa" w:w="255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Prototype</w:t>
            </w:r>
          </w:p>
        </w:tc>
        <w:tc>
          <w:tcPr>
            <w:tcW w:type="dxa" w:w="24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Indicative NCR market</w:t>
            </w:r>
          </w:p>
        </w:tc>
        <w:tc>
          <w:tcPr>
            <w:tcW w:type="dxa" w:w="333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Demand driver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Dominant payer</w:t>
            </w:r>
          </w:p>
        </w:tc>
        <w:tc>
          <w:tcPr>
            <w:tcW w:type="dxa" w:w="28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Bankability read</w:t>
            </w:r>
          </w:p>
        </w:tc>
      </w:tr>
      <w:tr>
        <w:tc>
          <w:tcPr>
            <w:tcW w:type="dxa" w:w="255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POC — Oncology</w:t>
            </w:r>
          </w:p>
        </w:tc>
        <w:tc>
          <w:tcPr>
            <w:tcW w:type="dxa" w:w="24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₹4,000–6,000 Cr</w:t>
            </w:r>
          </w:p>
        </w:tc>
        <w:tc>
          <w:tcPr>
            <w:tcW w:type="dxa" w:w="333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~40,000 new cancer cases/yr, rising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+ PHI + CGHS (MVT upside)</w:t>
            </w:r>
          </w:p>
        </w:tc>
        <w:tc>
          <w:tcPr>
            <w:tcW w:type="dxa" w:w="28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1A1A"/>
                <w:sz w:val="20"/>
                <w:szCs w:val="20"/>
              </w:rPr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</w:r>
          </w:p>
        </w:tc>
      </w:tr>
      <w:tr>
        <w:tc>
          <w:tcPr>
            <w:tcW w:type="dxa" w:w="255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CCH — Children’s</w:t>
            </w:r>
          </w:p>
        </w:tc>
        <w:tc>
          <w:tcPr>
            <w:tcW w:type="dxa" w:w="24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₹2,000–3,000 Cr</w:t>
            </w:r>
          </w:p>
        </w:tc>
        <w:tc>
          <w:tcPr>
            <w:tcW w:type="dxa" w:w="333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~8–9M children; NICU/PICU annuity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+ Charity + PM-JAY</w:t>
            </w:r>
          </w:p>
        </w:tc>
        <w:tc>
          <w:tcPr>
            <w:tcW w:type="dxa" w:w="28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Large base, lower realisation</w:t>
            </w:r>
          </w:p>
        </w:tc>
      </w:tr>
      <w:tr>
        <w:tc>
          <w:tcPr>
            <w:tcW w:type="dxa" w:w="255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NNC — Neuro</w:t>
            </w:r>
          </w:p>
        </w:tc>
        <w:tc>
          <w:tcPr>
            <w:tcW w:type="dxa" w:w="24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₹1,500–2,500 Cr</w:t>
            </w:r>
          </w:p>
        </w:tc>
        <w:tc>
          <w:tcPr>
            <w:tcW w:type="dxa" w:w="333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Stroke, epilepsy, neurosurgery volume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PHI / CGHS</w:t>
            </w:r>
          </w:p>
        </w:tc>
        <w:tc>
          <w:tcPr>
            <w:tcW w:type="dxa" w:w="28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Volume at base, niche at tip</w:t>
            </w:r>
          </w:p>
        </w:tc>
      </w:tr>
      <w:tr>
        <w:tc>
          <w:tcPr>
            <w:tcW w:type="dxa" w:w="255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BDI — Blood Disorders</w:t>
            </w:r>
          </w:p>
        </w:tc>
        <w:tc>
          <w:tcPr>
            <w:tcW w:type="dxa" w:w="24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₹500–900 Cr</w:t>
            </w:r>
          </w:p>
        </w:tc>
        <w:tc>
          <w:tcPr>
            <w:tcW w:type="dxa" w:w="333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~600–900 HSCT/yr; leukaemia, thal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+ PHI + Charity</w:t>
            </w:r>
          </w:p>
        </w:tc>
        <w:tc>
          <w:tcPr>
            <w:tcW w:type="dxa" w:w="28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Narrow; charity-dependent at top</w:t>
            </w:r>
          </w:p>
        </w:tc>
      </w:tr>
      <w:tr>
        <w:tc>
          <w:tcPr>
            <w:tcW w:type="dxa" w:w="255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LLEI — Longevity</w:t>
            </w:r>
          </w:p>
        </w:tc>
        <w:tc>
          <w:tcPr>
            <w:tcW w:type="dxa" w:w="24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₹500–1,000 Cr</w:t>
            </w:r>
          </w:p>
        </w:tc>
        <w:tc>
          <w:tcPr>
            <w:tcW w:type="dxa" w:w="333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Affluent top-decile + corporate</w:t>
            </w:r>
          </w:p>
        </w:tc>
        <w:tc>
          <w:tcPr>
            <w:tcW w:type="dxa" w:w="2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Cash / Corporate only</w:t>
            </w:r>
          </w:p>
        </w:tc>
        <w:tc>
          <w:tcPr>
            <w:tcW w:type="dxa" w:w="28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Small, high-margin, unproven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7F8C9B"/>
          <w:sz w:val="20"/>
          <w:szCs w:val="20"/>
        </w:rPr>
        <w:t xml:space="preserve">Market estimates derived from NCR population (~32M) applied to national incidence/prevalence and indicative private-share and pricing assumptions. For sizing only; confirm against primary registry and competitor data in diligence.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680"/>
      </w:tblGrid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7CBE" w:val="clear"/>
            <w:tcMar>
              <w:top w:type="dxa" w:w="160"/>
              <w:left w:type="dxa" w:w="360"/>
              <w:bottom w:type="dxa" w:w="160"/>
              <w:right w:type="dxa" w:w="36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BED8EF"/>
                <w:sz w:val="26"/>
                <w:szCs w:val="26"/>
              </w:rPr>
              <w:t xml:space="preserve">PART IV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HOW MANY CASES TO BREAK EVEN</w:t>
            </w:r>
          </w:p>
        </w:tc>
      </w:tr>
    </w:tbl>
    <w:p>
      <w:pPr>
        <w:pStyle w:val="Heading1"/>
        <w:shd w:fill="2B7CBE" w:val="clear"/>
        <w:spacing w:after="200" w:before="360"/>
        <w:ind w:left="240" w:right="240"/>
      </w:pPr>
      <w:r>
        <w:t xml:space="preserve">8. Cases Per Year To Break Even &amp; To Be Profitable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prototype is modelled as a standalone facility. A “case” is a major treated patient-episode — a new patient carried through a defining surgery, transplant, radiation course or multi-cycle regimen (day-care infusion counted as episodes); for Longevity it is a paying member or assessment programme. Break-even is where revenue covers all fixed and variable cost; “profitable” is set at a ~15% EBITDA margin. The maths is simple and shown so it can be challenged: break-even revenue = annual fixed cost ÷ contribution margin, then cases = break-even revenue ÷ average revenue per case.</w:t>
      </w:r>
    </w:p>
    <w:tbl>
      <w:tblPr>
        <w:tblW w:type="dxa" w:w="13680"/>
        <w:tblBorders>
          <w:top w:val="single" w:color="CBD6E2" w:sz="4"/>
          <w:left w:val="none" w:color="FFFFFF" w:sz="0"/>
          <w:bottom w:val="single" w:color="CBD6E2" w:sz="4"/>
          <w:right w:val="none" w:color="FFFFFF" w:sz="0"/>
          <w:insideH w:val="single" w:color="CBD6E2" w:sz="4"/>
          <w:insideV w:val="none" w:color="FFFFFF" w:sz="0"/>
        </w:tblBorders>
      </w:tblPr>
      <w:tblGrid>
        <w:gridCol w:w="2300"/>
        <w:gridCol w:w="1700"/>
        <w:gridCol w:w="1500"/>
        <w:gridCol w:w="1600"/>
        <w:gridCol w:w="1900"/>
        <w:gridCol w:w="2380"/>
        <w:gridCol w:w="2300"/>
      </w:tblGrid>
      <w:tr>
        <w:trPr>
          <w:tblHeader/>
        </w:trPr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Prototype</w:t>
            </w:r>
          </w:p>
        </w:tc>
        <w:tc>
          <w:tcPr>
            <w:tcW w:type="dxa" w:w="17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Fixed cost ₹Cr/yr</w:t>
            </w:r>
          </w:p>
        </w:tc>
        <w:tc>
          <w:tcPr>
            <w:tcW w:type="dxa" w:w="15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Contrib. margin</w:t>
            </w:r>
          </w:p>
        </w:tc>
        <w:tc>
          <w:tcPr>
            <w:tcW w:type="dxa" w:w="1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Avg rev / case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Break-even cases/yr</w:t>
            </w:r>
          </w:p>
        </w:tc>
        <w:tc>
          <w:tcPr>
            <w:tcW w:type="dxa" w:w="238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Cases/yr at ~15% EBITDA</w:t>
            </w:r>
          </w:p>
        </w:tc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2B7C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≈ cases / working day</w:t>
            </w:r>
          </w:p>
        </w:tc>
      </w:tr>
      <w:tr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POC — Oncology</w:t>
            </w:r>
          </w:p>
        </w:tc>
        <w:tc>
          <w:tcPr>
            <w:tcW w:type="dxa" w:w="17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~₹170</w:t>
            </w:r>
          </w:p>
        </w:tc>
        <w:tc>
          <w:tcPr>
            <w:tcW w:type="dxa" w:w="15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~58%</w:t>
            </w:r>
          </w:p>
        </w:tc>
        <w:tc>
          <w:tcPr>
            <w:tcW w:type="dxa" w:w="1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~₹6.0 L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~4,900</w:t>
            </w:r>
          </w:p>
        </w:tc>
        <w:tc>
          <w:tcPr>
            <w:tcW w:type="dxa" w:w="238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~6,600</w:t>
            </w:r>
          </w:p>
        </w:tc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~16–22</w:t>
            </w:r>
          </w:p>
        </w:tc>
      </w:tr>
      <w:tr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BDI — Blood Disorders</w:t>
            </w:r>
          </w:p>
        </w:tc>
        <w:tc>
          <w:tcPr>
            <w:tcW w:type="dxa" w:w="17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~₹110</w:t>
            </w:r>
          </w:p>
        </w:tc>
        <w:tc>
          <w:tcPr>
            <w:tcW w:type="dxa" w:w="15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~52%</w:t>
            </w:r>
          </w:p>
        </w:tc>
        <w:tc>
          <w:tcPr>
            <w:tcW w:type="dxa" w:w="1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~₹9.0 L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~2,350</w:t>
            </w:r>
          </w:p>
        </w:tc>
        <w:tc>
          <w:tcPr>
            <w:tcW w:type="dxa" w:w="238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~3,300</w:t>
            </w:r>
          </w:p>
        </w:tc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~8–11</w:t>
            </w:r>
          </w:p>
        </w:tc>
      </w:tr>
      <w:tr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NNC — Neuro</w:t>
            </w:r>
          </w:p>
        </w:tc>
        <w:tc>
          <w:tcPr>
            <w:tcW w:type="dxa" w:w="17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~₹105</w:t>
            </w:r>
          </w:p>
        </w:tc>
        <w:tc>
          <w:tcPr>
            <w:tcW w:type="dxa" w:w="15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~62%</w:t>
            </w:r>
          </w:p>
        </w:tc>
        <w:tc>
          <w:tcPr>
            <w:tcW w:type="dxa" w:w="1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~₹5.0 L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~3,400</w:t>
            </w:r>
          </w:p>
        </w:tc>
        <w:tc>
          <w:tcPr>
            <w:tcW w:type="dxa" w:w="238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~4,500</w:t>
            </w:r>
          </w:p>
        </w:tc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~11–15</w:t>
            </w:r>
          </w:p>
        </w:tc>
      </w:tr>
      <w:tr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LLEI — Longevity</w:t>
            </w:r>
          </w:p>
        </w:tc>
        <w:tc>
          <w:tcPr>
            <w:tcW w:type="dxa" w:w="17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~₹55</w:t>
            </w:r>
          </w:p>
        </w:tc>
        <w:tc>
          <w:tcPr>
            <w:tcW w:type="dxa" w:w="15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~70%</w:t>
            </w:r>
          </w:p>
        </w:tc>
        <w:tc>
          <w:tcPr>
            <w:tcW w:type="dxa" w:w="1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~₹5.0 L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~1,600</w:t>
            </w:r>
          </w:p>
        </w:tc>
        <w:tc>
          <w:tcPr>
            <w:tcW w:type="dxa" w:w="238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~2,000</w:t>
            </w:r>
          </w:p>
        </w:tc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~5–7 members</w:t>
            </w:r>
          </w:p>
        </w:tc>
      </w:tr>
      <w:tr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CCH — Children’s</w:t>
            </w:r>
          </w:p>
        </w:tc>
        <w:tc>
          <w:tcPr>
            <w:tcW w:type="dxa" w:w="17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~₹130</w:t>
            </w:r>
          </w:p>
        </w:tc>
        <w:tc>
          <w:tcPr>
            <w:tcW w:type="dxa" w:w="15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~60%</w:t>
            </w:r>
          </w:p>
        </w:tc>
        <w:tc>
          <w:tcPr>
            <w:tcW w:type="dxa" w:w="16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~₹4.0 L</w:t>
            </w:r>
          </w:p>
        </w:tc>
        <w:tc>
          <w:tcPr>
            <w:tcW w:type="dxa" w:w="19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~5,400</w:t>
            </w:r>
          </w:p>
        </w:tc>
        <w:tc>
          <w:tcPr>
            <w:tcW w:type="dxa" w:w="238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~7,200</w:t>
            </w:r>
          </w:p>
        </w:tc>
        <w:tc>
          <w:tcPr>
            <w:tcW w:type="dxa" w:w="2300"/>
            <w:tcBorders>
              <w:top w:val="single" w:color="CBD6E2" w:sz="4"/>
              <w:left w:val="none" w:color="FFFFFF" w:sz="0"/>
              <w:bottom w:val="single" w:color="CBD6E2" w:sz="4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~18–24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7F8C9B"/>
          <w:sz w:val="20"/>
          <w:szCs w:val="20"/>
        </w:rPr>
        <w:t xml:space="preserve">Fixed cost = salaried clinicians, nursing, facility, admin, depreciation &amp; financing. Contribution margin = 1 − variable cost (drugs, consumables, implants). All figures indicative, pre-diligence; ~300 working days assumed for the per-day column.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B7CBE" w:sz="6"/>
              <w:left w:val="single" w:color="2B7CBE" w:sz="18"/>
              <w:bottom w:val="single" w:color="D0DEE8" w:sz="1"/>
              <w:right w:val="none" w:color="FFFFFF" w:sz="0"/>
            </w:tcBorders>
            <w:shd w:fill="EBF4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Read against Part III, the volumes line up with the demand: Oncology and Children’s need the most cases (~4,900 and ~5,400 to break even) but sit in the largest NCR markets, so the volume exists if referral and payer access are built. Blood Disorders needs the fewest acute cases (~2,350) but each is large and lumpy, so a bad year hurts. Longevity needs the fewest patients of all (~1,600 members) yet carries the highest demand risk, because that volume of top-tier paying members is unproven in India.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2"/>
                <w:szCs w:val="22"/>
              </w:rPr>
              <w:t xml:space="preserve">Rule of thumb: a prototype is bankable only where the break-even case count is a credible single-digit share of its NCR market — which holds comfortably for Oncology, is workable for Children’s and Neuro, is tight for Blood Disorders, and is the open question for Longevity.</w:t>
            </w:r>
          </w:p>
        </w:tc>
      </w:tr>
    </w:tbl>
    <w:sectPr>
      <w:headerReference w:type="default" r:id="rId15"/>
      <w:footerReference w:type="default" r:id="rId16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CBE" w:sz="4" w:space="3"/>
      </w:pBdr>
      <w:tabs>
        <w:tab w:val="right" w:pos="9360"/>
      </w:tabs>
      <w:spacing w:before="80"/>
    </w:pPr>
    <w:r>
      <w:rPr>
        <w:rFonts w:ascii="Calibri" w:cs="Calibri" w:eastAsia="Calibri" w:hAnsi="Calibri"/>
        <w:i/>
        <w:iCs/>
        <w:color w:val="7F8C9B"/>
        <w:sz w:val="16"/>
        <w:szCs w:val="16"/>
      </w:rPr>
      <w:t xml:space="preserve">Strictly Confidential</w:t>
    </w:r>
    <w:r>
      <w:rPr>
        <w:rFonts w:ascii="Calibri" w:cs="Calibri" w:eastAsia="Calibri" w:hAnsi="Calibri"/>
        <w:color w:val="7F8C9B"/>
        <w:sz w:val="16"/>
        <w:szCs w:val="16"/>
      </w:rPr>
      <w:t xml:space="preserve">	</w:t>
    </w:r>
    <w:r>
      <w:rPr>
        <w:rFonts w:ascii="Calibri" w:cs="Calibri" w:eastAsia="Calibri" w:hAnsi="Calibri"/>
        <w:color w:val="7F8C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CBE" w:sz="4" w:space="3"/>
      </w:pBdr>
      <w:tabs>
        <w:tab w:val="right" w:pos="9360"/>
      </w:tabs>
      <w:spacing w:before="80"/>
    </w:pPr>
    <w:r>
      <w:rPr>
        <w:rFonts w:ascii="Calibri" w:cs="Calibri" w:eastAsia="Calibri" w:hAnsi="Calibri"/>
        <w:i/>
        <w:iCs/>
        <w:color w:val="7F8C9B"/>
        <w:sz w:val="16"/>
        <w:szCs w:val="16"/>
      </w:rPr>
      <w:t xml:space="preserve">Strictly Confidential</w:t>
    </w:r>
    <w:r>
      <w:rPr>
        <w:rFonts w:ascii="Calibri" w:cs="Calibri" w:eastAsia="Calibri" w:hAnsi="Calibri"/>
        <w:color w:val="7F8C9B"/>
        <w:sz w:val="16"/>
        <w:szCs w:val="16"/>
      </w:rPr>
      <w:t xml:space="preserve">	</w:t>
    </w:r>
    <w:r>
      <w:rPr>
        <w:rFonts w:ascii="Calibri" w:cs="Calibri" w:eastAsia="Calibri" w:hAnsi="Calibri"/>
        <w:color w:val="7F8C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CBE" w:sz="4" w:space="3"/>
      </w:pBdr>
      <w:tabs>
        <w:tab w:val="right" w:pos="9360"/>
      </w:tabs>
      <w:spacing w:before="80"/>
    </w:pPr>
    <w:r>
      <w:rPr>
        <w:rFonts w:ascii="Calibri" w:cs="Calibri" w:eastAsia="Calibri" w:hAnsi="Calibri"/>
        <w:i/>
        <w:iCs/>
        <w:color w:val="7F8C9B"/>
        <w:sz w:val="16"/>
        <w:szCs w:val="16"/>
      </w:rPr>
      <w:t xml:space="preserve">Strictly Confidential</w:t>
    </w:r>
    <w:r>
      <w:rPr>
        <w:rFonts w:ascii="Calibri" w:cs="Calibri" w:eastAsia="Calibri" w:hAnsi="Calibri"/>
        <w:color w:val="7F8C9B"/>
        <w:sz w:val="16"/>
        <w:szCs w:val="16"/>
      </w:rPr>
      <w:t xml:space="preserve">	</w:t>
    </w:r>
    <w:r>
      <w:rPr>
        <w:rFonts w:ascii="Calibri" w:cs="Calibri" w:eastAsia="Calibri" w:hAnsi="Calibri"/>
        <w:color w:val="7F8C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CBE" w:sz="4" w:space="3"/>
      </w:pBdr>
      <w:tabs>
        <w:tab w:val="right" w:pos="9360"/>
      </w:tabs>
      <w:spacing w:before="80"/>
    </w:pPr>
    <w:r>
      <w:rPr>
        <w:rFonts w:ascii="Calibri" w:cs="Calibri" w:eastAsia="Calibri" w:hAnsi="Calibri"/>
        <w:i/>
        <w:iCs/>
        <w:color w:val="7F8C9B"/>
        <w:sz w:val="16"/>
        <w:szCs w:val="16"/>
      </w:rPr>
      <w:t xml:space="preserve">Strictly Confidential</w:t>
    </w:r>
    <w:r>
      <w:rPr>
        <w:rFonts w:ascii="Calibri" w:cs="Calibri" w:eastAsia="Calibri" w:hAnsi="Calibri"/>
        <w:color w:val="7F8C9B"/>
        <w:sz w:val="16"/>
        <w:szCs w:val="16"/>
      </w:rPr>
      <w:t xml:space="preserve">	</w:t>
    </w:r>
    <w:r>
      <w:rPr>
        <w:rFonts w:ascii="Calibri" w:cs="Calibri" w:eastAsia="Calibri" w:hAnsi="Calibri"/>
        <w:color w:val="7F8C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CBE" w:sz="4" w:space="3"/>
      </w:pBdr>
      <w:tabs>
        <w:tab w:val="right" w:pos="9360"/>
      </w:tabs>
      <w:spacing w:before="80"/>
    </w:pPr>
    <w:r>
      <w:rPr>
        <w:rFonts w:ascii="Calibri" w:cs="Calibri" w:eastAsia="Calibri" w:hAnsi="Calibri"/>
        <w:i/>
        <w:iCs/>
        <w:color w:val="7F8C9B"/>
        <w:sz w:val="16"/>
        <w:szCs w:val="16"/>
      </w:rPr>
      <w:t xml:space="preserve">Strictly Confidential</w:t>
    </w:r>
    <w:r>
      <w:rPr>
        <w:rFonts w:ascii="Calibri" w:cs="Calibri" w:eastAsia="Calibri" w:hAnsi="Calibri"/>
        <w:color w:val="7F8C9B"/>
        <w:sz w:val="16"/>
        <w:szCs w:val="16"/>
      </w:rPr>
      <w:t xml:space="preserve">	</w:t>
    </w:r>
    <w:r>
      <w:rPr>
        <w:rFonts w:ascii="Calibri" w:cs="Calibri" w:eastAsia="Calibri" w:hAnsi="Calibri"/>
        <w:color w:val="7F8C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CBE" w:sz="4" w:space="3"/>
      </w:pBdr>
      <w:tabs>
        <w:tab w:val="right" w:pos="9360"/>
      </w:tabs>
      <w:spacing w:after="0"/>
    </w:pPr>
    <w:r>
      <w:drawing>
        <wp:inline distT="0" distB="0" distL="0" distR="0">
          <wp:extent cx="3905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7F8C9B"/>
        <w:sz w:val="17"/>
        <w:szCs w:val="17"/>
      </w:rPr>
      <w:t xml:space="preserve">Delhi Precision Hospitals  ·  Top-10 Bills, Payer Source &amp; NCR Market  ·  June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CBE" w:sz="4" w:space="3"/>
      </w:pBdr>
      <w:tabs>
        <w:tab w:val="right" w:pos="9360"/>
      </w:tabs>
      <w:spacing w:after="0"/>
    </w:pPr>
    <w:r>
      <w:drawing>
        <wp:inline distT="0" distB="0" distL="0" distR="0">
          <wp:extent cx="3905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7F8C9B"/>
        <w:sz w:val="17"/>
        <w:szCs w:val="17"/>
      </w:rPr>
      <w:t xml:space="preserve">Delhi Precision Hospitals  ·  Top-10 Bills, Payer Source &amp; NCR Market  ·  June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CBE" w:sz="4" w:space="3"/>
      </w:pBdr>
      <w:tabs>
        <w:tab w:val="right" w:pos="9360"/>
      </w:tabs>
      <w:spacing w:after="0"/>
    </w:pPr>
    <w:r>
      <w:drawing>
        <wp:inline distT="0" distB="0" distL="0" distR="0">
          <wp:extent cx="3905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7F8C9B"/>
        <w:sz w:val="17"/>
        <w:szCs w:val="17"/>
      </w:rPr>
      <w:t xml:space="preserve">Delhi Precision Hospitals  ·  Top-10 Bills, Payer Source &amp; NCR Market  ·  June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CBE" w:sz="4" w:space="3"/>
      </w:pBdr>
      <w:tabs>
        <w:tab w:val="right" w:pos="9360"/>
      </w:tabs>
      <w:spacing w:after="0"/>
    </w:pPr>
    <w:r>
      <w:drawing>
        <wp:inline distT="0" distB="0" distL="0" distR="0">
          <wp:extent cx="3905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7F8C9B"/>
        <w:sz w:val="17"/>
        <w:szCs w:val="17"/>
      </w:rPr>
      <w:t xml:space="preserve">Delhi Precision Hospitals  ·  Top-10 Bills, Payer Source &amp; NCR Market  ·  June 2026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CBE" w:sz="4" w:space="3"/>
      </w:pBdr>
      <w:tabs>
        <w:tab w:val="right" w:pos="9360"/>
      </w:tabs>
      <w:spacing w:after="0"/>
    </w:pPr>
    <w:r>
      <w:drawing>
        <wp:inline distT="0" distB="0" distL="0" distR="0">
          <wp:extent cx="3905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7F8C9B"/>
        <w:sz w:val="17"/>
        <w:szCs w:val="17"/>
      </w:rPr>
      <w:t xml:space="preserve">Delhi Precision Hospitals  ·  Top-10 Bills, Payer Source &amp; NCR Market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aps/>
      <w:color w:val="8B1A4A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0" w:before="19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Calibri" w:cs="Calibri" w:eastAsia="Calibri" w:hAnsi="Calibr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8" w:before="160"/>
      <w:outlineLvl w:val="2"/>
    </w:pPr>
    <w:rPr>
      <w:rFonts w:ascii="Calibri" w:cs="Calibri" w:eastAsia="Calibri" w:hAnsi="Calibri"/>
      <w:b/>
      <w:bCs/>
      <w:color w:val="2B7CB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36" w:before="96"/>
      <w:outlineLvl w:val="3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b25facd0fc7dba55a2abe12bdfc910ed54d22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cb25facd0fc7dba55a2abe12bdfc910ed54d226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cb25facd0fc7dba55a2abe12bdfc910ed54d226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cb25facd0fc7dba55a2abe12bdfc910ed54d226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fcb25facd0fc7dba55a2abe12bdfc910ed54d22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2026-06-19T04:51:40.210Z</dcterms:created>
  <dcterms:modified xsi:type="dcterms:W3CDTF">2026-06-19T04:51:40.210Z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