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rFonts w:ascii="Arial" w:hAnsi="Arial"/>
          <w:b/>
          <w:i w:val="0"/>
          <w:color w:val="1A1A1A"/>
          <w:sz w:val="25"/>
        </w:rPr>
        <w:t>Acquisition Option — Ernakulam Medical Centre (Ernakulam Medical Centre Pvt Ltd)</w:t>
      </w:r>
    </w:p>
    <w:p>
      <w:pPr>
        <w:spacing w:after="100" w:before="0"/>
      </w:pPr>
      <w:r>
        <w:rPr>
          <w:rFonts w:ascii="Arial" w:hAnsi="Arial"/>
          <w:b w:val="0"/>
          <w:i/>
          <w:color w:val="595959"/>
          <w:sz w:val="19"/>
        </w:rPr>
        <w:t>A second VPS Lakeshore campus in the heart of Kochi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Proposal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A1A1A"/>
          <w:sz w:val="18"/>
        </w:rPr>
        <w:t>VPS can acquire 100% of Ernakulam Medical Centre and operate it as a second VPS Lakeshore campus, rebranding the unit and loading VPS clinical programmes, systems and procurement. EMC is an established, profitable, conservatively financed ~</w:t>
      </w:r>
      <w:r>
        <w:rPr>
          <w:rFonts w:ascii="Arial" w:hAnsi="Arial"/>
          <w:b w:val="0"/>
          <w:i w:val="0"/>
          <w:color w:val="1A1A1A"/>
          <w:sz w:val="18"/>
        </w:rPr>
        <w:t>Rs.100 cr tertiary hospital with a clean balance sheet and prime real estate. Unlike a distressed target, the entry risk is low; the prize — and the central bet — is margin: EMC earns ~6% EBITDA versus 15–20% for tertiary peers, and the VPS operating model is built to close that gap.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Location and promoters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A1A1A"/>
          <w:sz w:val="18"/>
        </w:rPr>
        <w:t>EMC on NH-66 Bypass, Palarivattom, Ernakulam 682028 sits on a prime arterial frontage minutes from VPS Lakeshore. MD is Dr Ravi Tharayil Velunny and Dr C G Raghu is Executive Director; the company is 100% held by ~12 resident-individual promoters across two families (no outside or institutional capital). It is a multi-specialty tertiary unit (~300 beds), incorporated 1980, audited by R G N Price &amp; Co with unqualified opinions and current filings.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Financial snapshot (standalone, FY20–FY25)</w:t>
      </w:r>
    </w:p>
    <w:p>
      <w:pPr>
        <w:spacing w:after="40" w:before="0"/>
      </w:pPr>
      <w:r>
        <w:rPr>
          <w:rFonts w:ascii="Arial" w:hAnsi="Arial"/>
          <w:b w:val="0"/>
          <w:i w:val="0"/>
          <w:color w:val="1A1A1A"/>
          <w:sz w:val="18"/>
        </w:rPr>
        <w:t>Revenue has compounded ~12% since FY22 and PAT has roughly quadrupled off the COVID trough, but EBITDA margins have held stubbornly at 5–7% — a low-margin operator, not a distressed one. The balance sheet is clean: net debt only ~Rs.3.5 cr against Rs.22 cr net worth.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12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Rs. crore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FY20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FY21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FY22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FY23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FY24</w:t>
            </w:r>
          </w:p>
        </w:tc>
        <w:tc>
          <w:tcPr>
            <w:tcW w:type="dxa" w:w="1368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FY25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Revenue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84.1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66.0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70.6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83.3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91.8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99.5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EBITDA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5.7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3.8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3.9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5.0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6.0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6.6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EBITDA margin %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6.6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5.7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5.5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6.0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6.4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6.5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Net profit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1.8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0.7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1.1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1.3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2.0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2.4</w:t>
            </w:r>
          </w:p>
        </w:tc>
      </w:tr>
      <w:tr>
        <w:tc>
          <w:tcPr>
            <w:tcW w:type="dxa" w:w="1512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Net worth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14.6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15.3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16.4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17.7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19.7</w:t>
            </w:r>
          </w:p>
        </w:tc>
        <w:tc>
          <w:tcPr>
            <w:tcW w:type="dxa" w:w="1368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22.0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Indicative valuation and acquisition EV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736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Approach</w:t>
            </w:r>
          </w:p>
        </w:tc>
        <w:tc>
          <w:tcPr>
            <w:tcW w:type="dxa" w:w="4320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Basis</w:t>
            </w:r>
          </w:p>
        </w:tc>
        <w:tc>
          <w:tcPr>
            <w:tcW w:type="dxa" w:w="2664"/>
            <w:shd w:val="clear" w:fill="E8E8E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F4D78"/>
                <w:sz w:val="17"/>
              </w:rPr>
              <w:t>Indicative EV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EV / Revenue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1.2–2.0x FY26E revenue (~Rs.109 cr)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Rs.131–219 cr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EV / EBITDA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18–25x current EBITDA (~Rs.6.6 cr)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Rs.118–165 cr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Real-estate floor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Palarivattom land + building + business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Rs.110–160 cr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Recommended entry EV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Blended midpoint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Rs.150 cr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Less net debt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Borrowings less cash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(Rs.3.5 cr)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Implied equity value (100%)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Rs.146.5 cr</w:t>
            </w:r>
          </w:p>
        </w:tc>
      </w:tr>
      <w:tr>
        <w:tc>
          <w:tcPr>
            <w:tcW w:type="dxa" w:w="2736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A1A1A"/>
                <w:sz w:val="17"/>
              </w:rPr>
              <w:t>Post-takeover EV (FY31)</w:t>
            </w:r>
          </w:p>
        </w:tc>
        <w:tc>
          <w:tcPr>
            <w:tcW w:type="dxa" w:w="4320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~Rs.37 cr EBITDA at 12x, on margin turnaround</w:t>
            </w:r>
          </w:p>
        </w:tc>
        <w:tc>
          <w:tcPr>
            <w:tcW w:type="dxa" w:w="2664"/>
          </w:tcPr>
          <w:p>
            <w:pPr>
              <w:spacing w:after="0"/>
              <w:jc w:val="left"/>
            </w:pPr>
            <w:r>
              <w:rPr>
                <w:rFonts w:ascii="Arial" w:hAnsi="Arial"/>
                <w:b w:val="0"/>
                <w:i w:val="0"/>
                <w:color w:val="1A1A1A"/>
                <w:sz w:val="17"/>
              </w:rPr>
              <w:t>~Rs.440 cr</w:t>
            </w:r>
          </w:p>
        </w:tc>
      </w:tr>
    </w:tbl>
    <w:p>
      <w:pPr>
        <w:spacing w:after="60" w:before="20"/>
      </w:pPr>
      <w:r>
        <w:rPr>
          <w:rFonts w:ascii="Arial" w:hAnsi="Arial"/>
          <w:b w:val="0"/>
          <w:i/>
          <w:color w:val="595959"/>
          <w:sz w:val="16"/>
        </w:rPr>
        <w:t>Indicative and pre-diligence. Land sits on the books at ~Rs.4 cr (historic cost) versus a likely Rs.50–100 cr market value — substantial unrealised real-estate value and the key downside protection.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Strategic fit and the Kochi cluster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A1A1A"/>
          <w:sz w:val="18"/>
        </w:rPr>
        <w:t>A second Kochi campus densifies the network in VPS Lakeshore's strongest market: routine and secondary work runs at EMC while complex tertiary/quaternary cases route to the main Lakeshore campus, keeping high-value revenue inside the VPS network rather than ceding it to Aster, Amrita or Rajagiri. Step-down and follow-up patients flow back to EMC.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Value-creation levers</w:t>
      </w:r>
    </w:p>
    <w:p>
      <w:pPr>
        <w:pStyle w:val="ListBullet"/>
        <w:spacing w:after="20" w:before="0"/>
        <w:ind w:left="317"/>
      </w:pPr>
      <w:r>
        <w:rPr>
          <w:rFonts w:ascii="Arial" w:hAnsi="Arial"/>
          <w:b/>
          <w:i w:val="0"/>
          <w:color w:val="1A1A1A"/>
          <w:sz w:val="18"/>
        </w:rPr>
        <w:t xml:space="preserve">Margin bridge from ~6% to ~18% </w:t>
      </w:r>
      <w:r>
        <w:rPr>
          <w:rFonts w:ascii="Arial" w:hAnsi="Arial"/>
          <w:b w:val="0"/>
          <w:i w:val="0"/>
          <w:color w:val="1A1A1A"/>
          <w:sz w:val="18"/>
        </w:rPr>
        <w:t>via VPS group procurement on pharmacy and consumables (~Rs.32 cr base spend).</w:t>
      </w:r>
    </w:p>
    <w:p>
      <w:pPr>
        <w:pStyle w:val="ListBullet"/>
        <w:spacing w:after="20" w:before="0"/>
        <w:ind w:left="317"/>
      </w:pPr>
      <w:r>
        <w:rPr>
          <w:rFonts w:ascii="Arial" w:hAnsi="Arial"/>
          <w:b/>
          <w:i w:val="0"/>
          <w:color w:val="1A1A1A"/>
          <w:sz w:val="18"/>
        </w:rPr>
        <w:t xml:space="preserve">Payor and case-mix upgrade — </w:t>
      </w:r>
      <w:r>
        <w:rPr>
          <w:rFonts w:ascii="Arial" w:hAnsi="Arial"/>
          <w:b w:val="0"/>
          <w:i w:val="0"/>
          <w:color w:val="1A1A1A"/>
          <w:sz w:val="18"/>
        </w:rPr>
        <w:t>higher-acuity tertiary work under the VPS brand lifts realisation per bed.</w:t>
      </w:r>
    </w:p>
    <w:p>
      <w:pPr>
        <w:pStyle w:val="ListBullet"/>
        <w:spacing w:after="20" w:before="0"/>
        <w:ind w:left="317"/>
      </w:pPr>
      <w:r>
        <w:rPr>
          <w:rFonts w:ascii="Arial" w:hAnsi="Arial"/>
          <w:b/>
          <w:i w:val="0"/>
          <w:color w:val="1A1A1A"/>
          <w:sz w:val="18"/>
        </w:rPr>
        <w:t xml:space="preserve">Overhead leverage and shared services </w:t>
      </w:r>
      <w:r>
        <w:rPr>
          <w:rFonts w:ascii="Arial" w:hAnsi="Arial"/>
          <w:b w:val="0"/>
          <w:i w:val="0"/>
          <w:color w:val="1A1A1A"/>
          <w:sz w:val="18"/>
        </w:rPr>
        <w:t>across the two Kochi units; brand pricing and cross-referral density.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Key threats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A1A1A"/>
          <w:sz w:val="18"/>
        </w:rPr>
        <w:t>The entire return rests on an unproven margin turnaround — six years of stable ~6% EBITDA may prove structural, not fixable; at Rs.150 cr the entry is a full ~23x current EBITDA, so VPS pays today for value it must itself create. Co-location with the main Lakeshore campus risks cannibalising one catchment rather than growing it. A clean 100% buyout needs near-unanimous consent across ~12 family shareholders, with founder-clinician dependence. Receivables are weak (~26% of gross provisioned doubtful) and the asset base is ~58% depreciated, so integration capex may exceed plan.</w:t>
      </w:r>
    </w:p>
    <w:p>
      <w:pPr>
        <w:spacing w:before="120" w:after="40"/>
      </w:pPr>
      <w:r>
        <w:rPr>
          <w:rFonts w:ascii="Arial" w:hAnsi="Arial"/>
          <w:b/>
          <w:i w:val="0"/>
          <w:color w:val="2E74B5"/>
          <w:sz w:val="21"/>
        </w:rPr>
        <w:t>Indicative terms and next steps</w:t>
      </w:r>
    </w:p>
    <w:p>
      <w:pPr>
        <w:spacing w:after="60" w:before="0"/>
      </w:pPr>
      <w:r>
        <w:rPr>
          <w:rFonts w:ascii="Arial" w:hAnsi="Arial"/>
          <w:b w:val="0"/>
          <w:i w:val="0"/>
          <w:color w:val="1A1A1A"/>
          <w:sz w:val="18"/>
        </w:rPr>
        <w:t>Structure: 100% share purchase, price subject to diligence (target Rs.135–165 cr EV). Confirm: that the ~6% margin is fixable rather than structural; real-estate title, freehold status and surveyed extent; nature of the ~Rs.8.5 cr borrowings and related-party balances; licences, NABH and litigation; a credible no-cannibalisation plan. Process: management meeting, NDA and term sheet, a two-to-three week confirmatory review, and a target to sign within ~60 days.</w:t>
      </w:r>
    </w:p>
    <w:sectPr w:rsidR="00FC693F" w:rsidRPr="0006063C" w:rsidSect="00034616">
      <w:footerReference w:type="default" r:id="rId9"/>
      <w:pgSz w:w="12240" w:h="15840"/>
      <w:pgMar w:top="792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/>
        <w:color w:val="595959"/>
        <w:sz w:val="16"/>
      </w:rPr>
      <w:t>Draft for discussion — Strictly confidential. All valuations indicative and pre-diligence.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