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CBB0" w14:textId="77777777" w:rsidR="00393A2E" w:rsidRDefault="00000000">
      <w:pPr>
        <w:spacing w:after="40"/>
      </w:pPr>
      <w:r>
        <w:rPr>
          <w:b/>
          <w:color w:val="111111"/>
          <w:sz w:val="32"/>
        </w:rPr>
        <w:t>Indorama  –  VPS Healthcare Partnership</w:t>
      </w:r>
    </w:p>
    <w:p w14:paraId="556DDF13" w14:textId="77777777" w:rsidR="00393A2E" w:rsidRDefault="00000000">
      <w:pPr>
        <w:spacing w:after="120"/>
      </w:pPr>
      <w:r>
        <w:rPr>
          <w:i/>
          <w:color w:val="666666"/>
        </w:rPr>
        <w:t>Jaipur &amp; Kota Centres   |   Discussion Note</w:t>
      </w:r>
    </w:p>
    <w:p w14:paraId="7313C852" w14:textId="77777777" w:rsidR="00393A2E" w:rsidRDefault="00000000">
      <w:pPr>
        <w:pBdr>
          <w:left w:val="thick" w:sz="14" w:space="0" w:color="8B1A4A"/>
        </w:pBdr>
        <w:shd w:val="clear" w:color="auto" w:fill="2B7CBE"/>
        <w:spacing w:before="280" w:after="120"/>
      </w:pPr>
      <w:r>
        <w:rPr>
          <w:sz w:val="22"/>
        </w:rPr>
        <w:t xml:space="preserve">  </w:t>
      </w:r>
      <w:r>
        <w:rPr>
          <w:b/>
          <w:color w:val="FFFFFF"/>
          <w:sz w:val="22"/>
        </w:rPr>
        <w:t>1.  Partnership Model</w:t>
      </w:r>
    </w:p>
    <w:p w14:paraId="58F8EB9F" w14:textId="461DA4E1" w:rsidR="00393A2E" w:rsidRDefault="00000000">
      <w:pPr>
        <w:spacing w:after="80"/>
      </w:pPr>
      <w:r>
        <w:t xml:space="preserve">VPS Healthcare enters as a 25% equity partner in both Indorama-owned hospital centres in Rajasthan. VPS's entire contribution is in the form of medical equipment </w:t>
      </w:r>
      <w:r w:rsidR="00330A24">
        <w:t>will be</w:t>
      </w:r>
      <w:r>
        <w:t xml:space="preserve"> approximately ₹100 crore, equal to about 25% of the estimated ₹400 crore total project cost for the two centres.</w:t>
      </w:r>
    </w:p>
    <w:p w14:paraId="607419F0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Structure: </w:t>
      </w:r>
      <w:r>
        <w:t>one SPV per centre, held 75% Indorama : 25% VPS. The split can be finalised with the Indorama Group.</w:t>
      </w:r>
    </w:p>
    <w:p w14:paraId="6113EA98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Contribution: </w:t>
      </w:r>
      <w:r>
        <w:t>VPS procures equipment in its own name at bulk-contracted rates and transfers it to each SPV at independently certified fair value.</w:t>
      </w:r>
    </w:p>
    <w:p w14:paraId="48478EB3" w14:textId="1E4109EE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Timeline: </w:t>
      </w:r>
      <w:r>
        <w:t>equipment phased over 12–18 months, with tranches tied to civil and fitout milestones at each site.</w:t>
      </w:r>
    </w:p>
    <w:p w14:paraId="7C3A4E1A" w14:textId="77777777" w:rsidR="00393A2E" w:rsidRDefault="00000000">
      <w:pPr>
        <w:pBdr>
          <w:left w:val="thick" w:sz="14" w:space="0" w:color="8B1A4A"/>
        </w:pBdr>
        <w:shd w:val="clear" w:color="auto" w:fill="2B7CBE"/>
        <w:spacing w:before="280" w:after="120"/>
      </w:pPr>
      <w:r>
        <w:rPr>
          <w:sz w:val="22"/>
        </w:rPr>
        <w:t xml:space="preserve">  </w:t>
      </w:r>
      <w:r>
        <w:rPr>
          <w:b/>
          <w:color w:val="FFFFFF"/>
          <w:sz w:val="22"/>
        </w:rPr>
        <w:t>2.  Project Delivery — VPS as Turnkey Project Manager</w:t>
      </w:r>
    </w:p>
    <w:p w14:paraId="63D33CEB" w14:textId="52AA2232" w:rsidR="00393A2E" w:rsidRDefault="00000000">
      <w:pPr>
        <w:spacing w:after="80"/>
      </w:pPr>
      <w:r>
        <w:t xml:space="preserve">Beyond operating the centres, VPS takes full project-management (PMC) responsibility for building both units </w:t>
      </w:r>
      <w:r w:rsidR="00330A24">
        <w:t>and</w:t>
      </w:r>
      <w:r>
        <w:t xml:space="preserve"> acting as the turnkey Project Management Consultant from initial conception through to a commissioned, operational handover.</w:t>
      </w:r>
    </w:p>
    <w:p w14:paraId="39D4FEC7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End-to-end scope: </w:t>
      </w:r>
      <w:r>
        <w:t>concept and master planning, architectural and MEP design coordination, civil and fitout supervision, medical equipment planning and procurement, installation, commissioning, and NABH-ready handover.</w:t>
      </w:r>
    </w:p>
    <w:p w14:paraId="79CA6949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Built to operating standard: </w:t>
      </w:r>
      <w:r>
        <w:t>designing to VPS clinical and operational standards from day one (correct specifications, departmental adjacencies, and equipment fit) so each centre opens operationally ready.</w:t>
      </w:r>
    </w:p>
    <w:p w14:paraId="6536187E" w14:textId="0C896A47" w:rsidR="00393A2E" w:rsidRDefault="00000000">
      <w:pPr>
        <w:pStyle w:val="ListBullet"/>
        <w:spacing w:after="40"/>
      </w:pPr>
      <w:r>
        <w:t>Commercial terms for the PMC scope</w:t>
      </w:r>
      <w:r w:rsidR="00330A24">
        <w:t>,</w:t>
      </w:r>
      <w:r>
        <w:t xml:space="preserve"> whether bundled into the partnership or charged as a separate project-management fee (typically a percentage of project cost) to be agreed with the Indorama Group.</w:t>
      </w:r>
    </w:p>
    <w:p w14:paraId="67568717" w14:textId="77777777" w:rsidR="00393A2E" w:rsidRDefault="00000000">
      <w:pPr>
        <w:pBdr>
          <w:left w:val="thick" w:sz="14" w:space="0" w:color="8B1A4A"/>
        </w:pBdr>
        <w:shd w:val="clear" w:color="auto" w:fill="2B7CBE"/>
        <w:spacing w:before="280" w:after="120"/>
      </w:pPr>
      <w:r>
        <w:rPr>
          <w:sz w:val="22"/>
        </w:rPr>
        <w:t xml:space="preserve">  </w:t>
      </w:r>
      <w:r>
        <w:rPr>
          <w:b/>
          <w:color w:val="FFFFFF"/>
          <w:sz w:val="22"/>
        </w:rPr>
        <w:t>3.  Operations &amp; Management Fee — 5% of Net Revenue</w:t>
      </w:r>
    </w:p>
    <w:p w14:paraId="7D897E14" w14:textId="23BBAAE9" w:rsidR="00393A2E" w:rsidRDefault="00000000">
      <w:pPr>
        <w:spacing w:after="80"/>
      </w:pPr>
      <w:r>
        <w:t>VPS manages and operates both centres under a long-term O&amp;M agreement and is paid a management fee of 5% of net revenue each year</w:t>
      </w:r>
      <w:r w:rsidR="00330A24">
        <w:t xml:space="preserve"> </w:t>
      </w:r>
      <w:r>
        <w:t>(comparable deals run roughly 4–9% of net revenue).</w:t>
      </w:r>
    </w:p>
    <w:p w14:paraId="1EB6C7B8" w14:textId="77777777" w:rsidR="00393A2E" w:rsidRDefault="00000000">
      <w:pPr>
        <w:pStyle w:val="ListBullet"/>
        <w:spacing w:after="40"/>
      </w:pPr>
      <w:r>
        <w:t>The fee is a pre-EBITDA operating cost, paid regardless of profitability. Example: if the two centres together collect ₹100 Cr of net revenue in a year, VPS earns ₹5 Cr.</w:t>
      </w:r>
    </w:p>
    <w:p w14:paraId="65189A75" w14:textId="77777777" w:rsidR="00393A2E" w:rsidRDefault="00000000">
      <w:pPr>
        <w:pStyle w:val="ListBullet"/>
        <w:spacing w:after="40"/>
      </w:pPr>
      <w:r>
        <w:t>Initial term of 10 years, with the fee reviewed against market benchmarks every 3 years.</w:t>
      </w:r>
    </w:p>
    <w:p w14:paraId="7BEA78AE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Profit share: </w:t>
      </w:r>
      <w:r>
        <w:t>in addition, once a centre turns profitable, VPS receives 12.5% of its EBITDA, calculated after the O&amp;M fee (i.e. on distributable profit). This rewards VPS for driving the centres to profitability and sits on top of its equity dividends.</w:t>
      </w:r>
    </w:p>
    <w:p w14:paraId="6D24A6EA" w14:textId="77777777" w:rsidR="00393A2E" w:rsidRDefault="00000000">
      <w:pPr>
        <w:spacing w:after="80"/>
      </w:pPr>
      <w:r>
        <w:t>The fee covers the full management package:</w:t>
      </w:r>
    </w:p>
    <w:p w14:paraId="32245B04" w14:textId="77777777" w:rsidR="00393A2E" w:rsidRDefault="00000000">
      <w:pPr>
        <w:pStyle w:val="ListBullet"/>
        <w:spacing w:after="40"/>
      </w:pPr>
      <w:r>
        <w:t>Clinical governance — quality standards, NABH protocols, M&amp;M reviews, credentialling</w:t>
      </w:r>
    </w:p>
    <w:p w14:paraId="37C4739B" w14:textId="77777777" w:rsidR="00393A2E" w:rsidRDefault="00000000">
      <w:pPr>
        <w:pStyle w:val="ListBullet"/>
        <w:spacing w:after="40"/>
      </w:pPr>
      <w:r>
        <w:t>Operational leadership — senior management deputed for the first 18 months per centre</w:t>
      </w:r>
    </w:p>
    <w:p w14:paraId="0693E245" w14:textId="77777777" w:rsidR="00393A2E" w:rsidRDefault="00000000">
      <w:pPr>
        <w:pStyle w:val="ListBullet"/>
        <w:spacing w:after="40"/>
      </w:pPr>
      <w:r>
        <w:t>Procurement — access to VPS bulk contracts, an estimated 12–15% saving on consumables</w:t>
      </w:r>
    </w:p>
    <w:p w14:paraId="725C2630" w14:textId="77777777" w:rsidR="00393A2E" w:rsidRDefault="00000000">
      <w:pPr>
        <w:pStyle w:val="ListBullet"/>
        <w:spacing w:after="40"/>
      </w:pPr>
      <w:r>
        <w:t>Brand — co-branding as “In clinical partnership with VPS Lakeshore” and accreditation support</w:t>
      </w:r>
    </w:p>
    <w:p w14:paraId="5431F752" w14:textId="77777777" w:rsidR="00393A2E" w:rsidRDefault="00000000">
      <w:pPr>
        <w:pStyle w:val="ListBullet"/>
        <w:spacing w:after="40"/>
      </w:pPr>
      <w:r>
        <w:t>Digital — HIS/EMR integration, shared analytics dashboard, and telemedicine across sites</w:t>
      </w:r>
    </w:p>
    <w:p w14:paraId="1BE9F69C" w14:textId="71986390" w:rsidR="00393A2E" w:rsidRDefault="00000000">
      <w:pPr>
        <w:spacing w:before="80" w:after="80"/>
      </w:pPr>
      <w:r>
        <w:t xml:space="preserve">VPS earns on three streams: </w:t>
      </w:r>
      <w:r>
        <w:rPr>
          <w:b/>
          <w:color w:val="111111"/>
        </w:rPr>
        <w:t>the O&amp;M fee</w:t>
      </w:r>
      <w:r>
        <w:t xml:space="preserve"> (recurring operating cash), a </w:t>
      </w:r>
      <w:r>
        <w:rPr>
          <w:b/>
          <w:color w:val="111111"/>
        </w:rPr>
        <w:t>12.5% EBITDA share</w:t>
      </w:r>
      <w:r>
        <w:t xml:space="preserve"> once the centres are profitable, and </w:t>
      </w:r>
      <w:r>
        <w:rPr>
          <w:b/>
          <w:color w:val="111111"/>
        </w:rPr>
        <w:t>its 25% equity</w:t>
      </w:r>
      <w:r>
        <w:t xml:space="preserve"> (dividends, plus value realised on exit).</w:t>
      </w:r>
    </w:p>
    <w:p w14:paraId="79A66EC6" w14:textId="7E3090FB" w:rsidR="00393A2E" w:rsidRDefault="00000000">
      <w:pPr>
        <w:pBdr>
          <w:left w:val="thick" w:sz="14" w:space="0" w:color="8B1A4A"/>
        </w:pBdr>
        <w:shd w:val="clear" w:color="auto" w:fill="2B7CBE"/>
        <w:spacing w:before="280" w:after="120"/>
      </w:pPr>
      <w:r>
        <w:rPr>
          <w:sz w:val="22"/>
        </w:rPr>
        <w:t xml:space="preserve">  </w:t>
      </w:r>
      <w:r>
        <w:rPr>
          <w:b/>
          <w:color w:val="FFFFFF"/>
          <w:sz w:val="22"/>
        </w:rPr>
        <w:t>4.  5-Year Base Case</w:t>
      </w:r>
    </w:p>
    <w:p w14:paraId="00F4934D" w14:textId="77777777" w:rsidR="00393A2E" w:rsidRDefault="00000000">
      <w:pPr>
        <w:spacing w:after="120"/>
      </w:pPr>
      <w:r>
        <w:rPr>
          <w:i/>
          <w:color w:val="666666"/>
          <w:sz w:val="17"/>
        </w:rPr>
        <w:t>Both centres combined   |   ₹100 Cr equipment investment   |   indicative, to be revised on final project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1050"/>
        <w:gridCol w:w="1050"/>
        <w:gridCol w:w="1050"/>
        <w:gridCol w:w="1050"/>
        <w:gridCol w:w="1050"/>
      </w:tblGrid>
      <w:tr w:rsidR="00393A2E" w14:paraId="521FB108" w14:textId="77777777">
        <w:tc>
          <w:tcPr>
            <w:tcW w:w="2700" w:type="dxa"/>
            <w:shd w:val="clear" w:color="auto" w:fill="2B7CBE"/>
          </w:tcPr>
          <w:p w14:paraId="41C39DB4" w14:textId="77777777" w:rsidR="00393A2E" w:rsidRDefault="00393A2E">
            <w:pPr>
              <w:spacing w:before="20" w:after="20"/>
            </w:pPr>
          </w:p>
        </w:tc>
        <w:tc>
          <w:tcPr>
            <w:tcW w:w="1050" w:type="dxa"/>
            <w:shd w:val="clear" w:color="auto" w:fill="2B7CBE"/>
          </w:tcPr>
          <w:p w14:paraId="0885ED18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Year 1</w:t>
            </w:r>
          </w:p>
        </w:tc>
        <w:tc>
          <w:tcPr>
            <w:tcW w:w="1050" w:type="dxa"/>
            <w:shd w:val="clear" w:color="auto" w:fill="2B7CBE"/>
          </w:tcPr>
          <w:p w14:paraId="14E56379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Year 2</w:t>
            </w:r>
          </w:p>
        </w:tc>
        <w:tc>
          <w:tcPr>
            <w:tcW w:w="1050" w:type="dxa"/>
            <w:shd w:val="clear" w:color="auto" w:fill="2B7CBE"/>
          </w:tcPr>
          <w:p w14:paraId="3F25E3D0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Year 3</w:t>
            </w:r>
          </w:p>
        </w:tc>
        <w:tc>
          <w:tcPr>
            <w:tcW w:w="1050" w:type="dxa"/>
            <w:shd w:val="clear" w:color="auto" w:fill="2B7CBE"/>
          </w:tcPr>
          <w:p w14:paraId="2BA167A6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Year 4</w:t>
            </w:r>
          </w:p>
        </w:tc>
        <w:tc>
          <w:tcPr>
            <w:tcW w:w="1050" w:type="dxa"/>
            <w:shd w:val="clear" w:color="auto" w:fill="2B7CBE"/>
          </w:tcPr>
          <w:p w14:paraId="6A1210E9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Year 5</w:t>
            </w:r>
          </w:p>
        </w:tc>
      </w:tr>
      <w:tr w:rsidR="00393A2E" w14:paraId="28FA4B7C" w14:textId="77777777">
        <w:tc>
          <w:tcPr>
            <w:tcW w:w="2700" w:type="dxa"/>
            <w:shd w:val="clear" w:color="auto" w:fill="FFFFFF"/>
          </w:tcPr>
          <w:p w14:paraId="24D75973" w14:textId="77777777" w:rsidR="00393A2E" w:rsidRDefault="00000000">
            <w:pPr>
              <w:spacing w:before="20" w:after="20"/>
            </w:pPr>
            <w:r>
              <w:rPr>
                <w:sz w:val="17"/>
              </w:rPr>
              <w:t>Avg. occupancy (combined)</w:t>
            </w:r>
          </w:p>
        </w:tc>
        <w:tc>
          <w:tcPr>
            <w:tcW w:w="1050" w:type="dxa"/>
            <w:shd w:val="clear" w:color="auto" w:fill="FFFFFF"/>
          </w:tcPr>
          <w:p w14:paraId="748F4693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~37%</w:t>
            </w:r>
          </w:p>
        </w:tc>
        <w:tc>
          <w:tcPr>
            <w:tcW w:w="1050" w:type="dxa"/>
            <w:shd w:val="clear" w:color="auto" w:fill="FFFFFF"/>
          </w:tcPr>
          <w:p w14:paraId="37935F47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~52%</w:t>
            </w:r>
          </w:p>
        </w:tc>
        <w:tc>
          <w:tcPr>
            <w:tcW w:w="1050" w:type="dxa"/>
            <w:shd w:val="clear" w:color="auto" w:fill="FFFFFF"/>
          </w:tcPr>
          <w:p w14:paraId="2BBAF399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~63%</w:t>
            </w:r>
          </w:p>
        </w:tc>
        <w:tc>
          <w:tcPr>
            <w:tcW w:w="1050" w:type="dxa"/>
            <w:shd w:val="clear" w:color="auto" w:fill="FFFFFF"/>
          </w:tcPr>
          <w:p w14:paraId="3E1FEF07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~70%</w:t>
            </w:r>
          </w:p>
        </w:tc>
        <w:tc>
          <w:tcPr>
            <w:tcW w:w="1050" w:type="dxa"/>
            <w:shd w:val="clear" w:color="auto" w:fill="FFFFFF"/>
          </w:tcPr>
          <w:p w14:paraId="6A21AD17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~75%</w:t>
            </w:r>
          </w:p>
        </w:tc>
      </w:tr>
      <w:tr w:rsidR="00393A2E" w14:paraId="5739D436" w14:textId="77777777">
        <w:tc>
          <w:tcPr>
            <w:tcW w:w="2700" w:type="dxa"/>
            <w:shd w:val="clear" w:color="auto" w:fill="F4F6F8"/>
          </w:tcPr>
          <w:p w14:paraId="252E9EC1" w14:textId="77777777" w:rsidR="00393A2E" w:rsidRDefault="00000000">
            <w:pPr>
              <w:spacing w:before="20" w:after="20"/>
            </w:pPr>
            <w:r>
              <w:rPr>
                <w:sz w:val="17"/>
              </w:rPr>
              <w:t>Combined net revenue</w:t>
            </w:r>
          </w:p>
        </w:tc>
        <w:tc>
          <w:tcPr>
            <w:tcW w:w="1050" w:type="dxa"/>
            <w:shd w:val="clear" w:color="auto" w:fill="F4F6F8"/>
          </w:tcPr>
          <w:p w14:paraId="088D0944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₹43 Cr</w:t>
            </w:r>
          </w:p>
        </w:tc>
        <w:tc>
          <w:tcPr>
            <w:tcW w:w="1050" w:type="dxa"/>
            <w:shd w:val="clear" w:color="auto" w:fill="F4F6F8"/>
          </w:tcPr>
          <w:p w14:paraId="25A91D31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₹77 Cr</w:t>
            </w:r>
          </w:p>
        </w:tc>
        <w:tc>
          <w:tcPr>
            <w:tcW w:w="1050" w:type="dxa"/>
            <w:shd w:val="clear" w:color="auto" w:fill="F4F6F8"/>
          </w:tcPr>
          <w:p w14:paraId="63D1B013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₹121 Cr</w:t>
            </w:r>
          </w:p>
        </w:tc>
        <w:tc>
          <w:tcPr>
            <w:tcW w:w="1050" w:type="dxa"/>
            <w:shd w:val="clear" w:color="auto" w:fill="F4F6F8"/>
          </w:tcPr>
          <w:p w14:paraId="7E5CA97B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₹142 Cr</w:t>
            </w:r>
          </w:p>
        </w:tc>
        <w:tc>
          <w:tcPr>
            <w:tcW w:w="1050" w:type="dxa"/>
            <w:shd w:val="clear" w:color="auto" w:fill="F4F6F8"/>
          </w:tcPr>
          <w:p w14:paraId="43DED90E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₹160 Cr</w:t>
            </w:r>
          </w:p>
        </w:tc>
      </w:tr>
      <w:tr w:rsidR="00393A2E" w14:paraId="57EA89B3" w14:textId="77777777">
        <w:tc>
          <w:tcPr>
            <w:tcW w:w="2700" w:type="dxa"/>
            <w:shd w:val="clear" w:color="auto" w:fill="FFFFFF"/>
          </w:tcPr>
          <w:p w14:paraId="608F0B8F" w14:textId="77777777" w:rsidR="00393A2E" w:rsidRDefault="00000000">
            <w:pPr>
              <w:spacing w:before="20" w:after="20"/>
            </w:pPr>
            <w:r>
              <w:rPr>
                <w:sz w:val="17"/>
              </w:rPr>
              <w:t>EBITDA margin (pre-O&amp;M)</w:t>
            </w:r>
          </w:p>
        </w:tc>
        <w:tc>
          <w:tcPr>
            <w:tcW w:w="1050" w:type="dxa"/>
            <w:shd w:val="clear" w:color="auto" w:fill="FFFFFF"/>
          </w:tcPr>
          <w:p w14:paraId="6ABB5506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-5%</w:t>
            </w:r>
          </w:p>
        </w:tc>
        <w:tc>
          <w:tcPr>
            <w:tcW w:w="1050" w:type="dxa"/>
            <w:shd w:val="clear" w:color="auto" w:fill="FFFFFF"/>
          </w:tcPr>
          <w:p w14:paraId="2FB9AC7C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w="1050" w:type="dxa"/>
            <w:shd w:val="clear" w:color="auto" w:fill="FFFFFF"/>
          </w:tcPr>
          <w:p w14:paraId="011ADAB5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21%</w:t>
            </w:r>
          </w:p>
        </w:tc>
        <w:tc>
          <w:tcPr>
            <w:tcW w:w="1050" w:type="dxa"/>
            <w:shd w:val="clear" w:color="auto" w:fill="FFFFFF"/>
          </w:tcPr>
          <w:p w14:paraId="7E44F411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23%</w:t>
            </w:r>
          </w:p>
        </w:tc>
        <w:tc>
          <w:tcPr>
            <w:tcW w:w="1050" w:type="dxa"/>
            <w:shd w:val="clear" w:color="auto" w:fill="FFFFFF"/>
          </w:tcPr>
          <w:p w14:paraId="365437B9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25%</w:t>
            </w:r>
          </w:p>
        </w:tc>
      </w:tr>
      <w:tr w:rsidR="00393A2E" w14:paraId="62765AD9" w14:textId="77777777">
        <w:tc>
          <w:tcPr>
            <w:tcW w:w="2700" w:type="dxa"/>
            <w:shd w:val="clear" w:color="auto" w:fill="F4F6F8"/>
          </w:tcPr>
          <w:p w14:paraId="5BB17B88" w14:textId="77777777" w:rsidR="00393A2E" w:rsidRDefault="00000000">
            <w:pPr>
              <w:spacing w:before="20" w:after="20"/>
            </w:pPr>
            <w:r>
              <w:rPr>
                <w:sz w:val="17"/>
              </w:rPr>
              <w:t>Post-O&amp;M EBITDA</w:t>
            </w:r>
          </w:p>
        </w:tc>
        <w:tc>
          <w:tcPr>
            <w:tcW w:w="1050" w:type="dxa"/>
            <w:shd w:val="clear" w:color="auto" w:fill="F4F6F8"/>
          </w:tcPr>
          <w:p w14:paraId="42DCF2A3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-₹4.3 Cr</w:t>
            </w:r>
          </w:p>
        </w:tc>
        <w:tc>
          <w:tcPr>
            <w:tcW w:w="1050" w:type="dxa"/>
            <w:shd w:val="clear" w:color="auto" w:fill="F4F6F8"/>
          </w:tcPr>
          <w:p w14:paraId="31553613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₹3.9 Cr</w:t>
            </w:r>
          </w:p>
        </w:tc>
        <w:tc>
          <w:tcPr>
            <w:tcW w:w="1050" w:type="dxa"/>
            <w:shd w:val="clear" w:color="auto" w:fill="F4F6F8"/>
          </w:tcPr>
          <w:p w14:paraId="2D084F18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₹19.4 Cr</w:t>
            </w:r>
          </w:p>
        </w:tc>
        <w:tc>
          <w:tcPr>
            <w:tcW w:w="1050" w:type="dxa"/>
            <w:shd w:val="clear" w:color="auto" w:fill="F4F6F8"/>
          </w:tcPr>
          <w:p w14:paraId="32CF1D8B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₹25.6 Cr</w:t>
            </w:r>
          </w:p>
        </w:tc>
        <w:tc>
          <w:tcPr>
            <w:tcW w:w="1050" w:type="dxa"/>
            <w:shd w:val="clear" w:color="auto" w:fill="F4F6F8"/>
          </w:tcPr>
          <w:p w14:paraId="4EAD1E75" w14:textId="77777777" w:rsidR="00393A2E" w:rsidRDefault="00000000">
            <w:pPr>
              <w:spacing w:before="20" w:after="20"/>
              <w:jc w:val="center"/>
            </w:pPr>
            <w:r>
              <w:rPr>
                <w:sz w:val="17"/>
              </w:rPr>
              <w:t>₹32.0 Cr</w:t>
            </w:r>
          </w:p>
        </w:tc>
      </w:tr>
      <w:tr w:rsidR="00393A2E" w14:paraId="1E19FC81" w14:textId="77777777">
        <w:tc>
          <w:tcPr>
            <w:tcW w:w="2700" w:type="dxa"/>
            <w:shd w:val="clear" w:color="auto" w:fill="FFFFFF"/>
          </w:tcPr>
          <w:p w14:paraId="718829B2" w14:textId="77777777" w:rsidR="00393A2E" w:rsidRDefault="00000000">
            <w:pPr>
              <w:spacing w:before="20" w:after="20"/>
            </w:pPr>
            <w:r>
              <w:rPr>
                <w:color w:val="111111"/>
                <w:sz w:val="17"/>
              </w:rPr>
              <w:t>O&amp;M fee (5% of net revenue)</w:t>
            </w:r>
          </w:p>
        </w:tc>
        <w:tc>
          <w:tcPr>
            <w:tcW w:w="1050" w:type="dxa"/>
            <w:shd w:val="clear" w:color="auto" w:fill="FFFFFF"/>
          </w:tcPr>
          <w:p w14:paraId="0FB47CF7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₹2.15 Cr</w:t>
            </w:r>
          </w:p>
        </w:tc>
        <w:tc>
          <w:tcPr>
            <w:tcW w:w="1050" w:type="dxa"/>
            <w:shd w:val="clear" w:color="auto" w:fill="FFFFFF"/>
          </w:tcPr>
          <w:p w14:paraId="1A2AC768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₹3.85 Cr</w:t>
            </w:r>
          </w:p>
        </w:tc>
        <w:tc>
          <w:tcPr>
            <w:tcW w:w="1050" w:type="dxa"/>
            <w:shd w:val="clear" w:color="auto" w:fill="FFFFFF"/>
          </w:tcPr>
          <w:p w14:paraId="763092AE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₹6.05 Cr</w:t>
            </w:r>
          </w:p>
        </w:tc>
        <w:tc>
          <w:tcPr>
            <w:tcW w:w="1050" w:type="dxa"/>
            <w:shd w:val="clear" w:color="auto" w:fill="FFFFFF"/>
          </w:tcPr>
          <w:p w14:paraId="40781C5D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₹7.1 Cr</w:t>
            </w:r>
          </w:p>
        </w:tc>
        <w:tc>
          <w:tcPr>
            <w:tcW w:w="1050" w:type="dxa"/>
            <w:shd w:val="clear" w:color="auto" w:fill="FFFFFF"/>
          </w:tcPr>
          <w:p w14:paraId="5AE4FF10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₹8.0 Cr</w:t>
            </w:r>
          </w:p>
        </w:tc>
      </w:tr>
      <w:tr w:rsidR="00393A2E" w14:paraId="09A15894" w14:textId="77777777">
        <w:tc>
          <w:tcPr>
            <w:tcW w:w="2700" w:type="dxa"/>
            <w:shd w:val="clear" w:color="auto" w:fill="FFFFFF"/>
          </w:tcPr>
          <w:p w14:paraId="65F8A5B8" w14:textId="77777777" w:rsidR="00393A2E" w:rsidRDefault="00000000">
            <w:pPr>
              <w:spacing w:before="20" w:after="20"/>
            </w:pPr>
            <w:r>
              <w:rPr>
                <w:color w:val="111111"/>
                <w:sz w:val="17"/>
              </w:rPr>
              <w:t>12.5% EBITDA share (when profitable)</w:t>
            </w:r>
          </w:p>
        </w:tc>
        <w:tc>
          <w:tcPr>
            <w:tcW w:w="1050" w:type="dxa"/>
            <w:shd w:val="clear" w:color="auto" w:fill="FFFFFF"/>
          </w:tcPr>
          <w:p w14:paraId="0EFA8147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—</w:t>
            </w:r>
          </w:p>
        </w:tc>
        <w:tc>
          <w:tcPr>
            <w:tcW w:w="1050" w:type="dxa"/>
            <w:shd w:val="clear" w:color="auto" w:fill="FFFFFF"/>
          </w:tcPr>
          <w:p w14:paraId="3B3E36D1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₹0.48 Cr</w:t>
            </w:r>
          </w:p>
        </w:tc>
        <w:tc>
          <w:tcPr>
            <w:tcW w:w="1050" w:type="dxa"/>
            <w:shd w:val="clear" w:color="auto" w:fill="FFFFFF"/>
          </w:tcPr>
          <w:p w14:paraId="5CC9C857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₹2.42 Cr</w:t>
            </w:r>
          </w:p>
        </w:tc>
        <w:tc>
          <w:tcPr>
            <w:tcW w:w="1050" w:type="dxa"/>
            <w:shd w:val="clear" w:color="auto" w:fill="FFFFFF"/>
          </w:tcPr>
          <w:p w14:paraId="44179855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₹3.20 Cr</w:t>
            </w:r>
          </w:p>
        </w:tc>
        <w:tc>
          <w:tcPr>
            <w:tcW w:w="1050" w:type="dxa"/>
            <w:shd w:val="clear" w:color="auto" w:fill="FFFFFF"/>
          </w:tcPr>
          <w:p w14:paraId="583BCFD7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₹4.0 Cr</w:t>
            </w:r>
          </w:p>
        </w:tc>
      </w:tr>
      <w:tr w:rsidR="00393A2E" w14:paraId="757C7D1C" w14:textId="77777777">
        <w:tc>
          <w:tcPr>
            <w:tcW w:w="2700" w:type="dxa"/>
            <w:shd w:val="clear" w:color="auto" w:fill="FFFFFF"/>
          </w:tcPr>
          <w:p w14:paraId="0DCFE7B5" w14:textId="77777777" w:rsidR="00393A2E" w:rsidRDefault="00000000">
            <w:pPr>
              <w:spacing w:before="20" w:after="20"/>
            </w:pPr>
            <w:r>
              <w:rPr>
                <w:color w:val="111111"/>
                <w:sz w:val="17"/>
              </w:rPr>
              <w:t>25% equity dividend (Yr 3+)</w:t>
            </w:r>
          </w:p>
        </w:tc>
        <w:tc>
          <w:tcPr>
            <w:tcW w:w="1050" w:type="dxa"/>
            <w:shd w:val="clear" w:color="auto" w:fill="FFFFFF"/>
          </w:tcPr>
          <w:p w14:paraId="7BF8B83B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—</w:t>
            </w:r>
          </w:p>
        </w:tc>
        <w:tc>
          <w:tcPr>
            <w:tcW w:w="1050" w:type="dxa"/>
            <w:shd w:val="clear" w:color="auto" w:fill="FFFFFF"/>
          </w:tcPr>
          <w:p w14:paraId="0FC0B974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—</w:t>
            </w:r>
          </w:p>
        </w:tc>
        <w:tc>
          <w:tcPr>
            <w:tcW w:w="1050" w:type="dxa"/>
            <w:shd w:val="clear" w:color="auto" w:fill="FFFFFF"/>
          </w:tcPr>
          <w:p w14:paraId="6F9760F1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₹1.45 Cr</w:t>
            </w:r>
          </w:p>
        </w:tc>
        <w:tc>
          <w:tcPr>
            <w:tcW w:w="1050" w:type="dxa"/>
            <w:shd w:val="clear" w:color="auto" w:fill="FFFFFF"/>
          </w:tcPr>
          <w:p w14:paraId="1D6EFA89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₹1.92 Cr</w:t>
            </w:r>
          </w:p>
        </w:tc>
        <w:tc>
          <w:tcPr>
            <w:tcW w:w="1050" w:type="dxa"/>
            <w:shd w:val="clear" w:color="auto" w:fill="FFFFFF"/>
          </w:tcPr>
          <w:p w14:paraId="458E0C59" w14:textId="77777777" w:rsidR="00393A2E" w:rsidRDefault="00000000">
            <w:pPr>
              <w:spacing w:before="20" w:after="20"/>
              <w:jc w:val="center"/>
            </w:pPr>
            <w:r>
              <w:rPr>
                <w:color w:val="111111"/>
                <w:sz w:val="17"/>
              </w:rPr>
              <w:t>₹2.40 Cr</w:t>
            </w:r>
          </w:p>
        </w:tc>
      </w:tr>
      <w:tr w:rsidR="00393A2E" w14:paraId="55C72844" w14:textId="77777777">
        <w:tc>
          <w:tcPr>
            <w:tcW w:w="2700" w:type="dxa"/>
            <w:shd w:val="clear" w:color="auto" w:fill="E8F0FA"/>
          </w:tcPr>
          <w:p w14:paraId="43D87FA7" w14:textId="77777777" w:rsidR="00393A2E" w:rsidRDefault="00000000">
            <w:pPr>
              <w:spacing w:before="20" w:after="20"/>
            </w:pPr>
            <w:r>
              <w:rPr>
                <w:b/>
                <w:color w:val="111111"/>
                <w:sz w:val="17"/>
              </w:rPr>
              <w:t>Total VPS cash / year</w:t>
            </w:r>
          </w:p>
        </w:tc>
        <w:tc>
          <w:tcPr>
            <w:tcW w:w="1050" w:type="dxa"/>
            <w:shd w:val="clear" w:color="auto" w:fill="E8F0FA"/>
          </w:tcPr>
          <w:p w14:paraId="63A5F378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2B7CBE"/>
                <w:sz w:val="17"/>
              </w:rPr>
              <w:t>₹2.15 Cr</w:t>
            </w:r>
          </w:p>
        </w:tc>
        <w:tc>
          <w:tcPr>
            <w:tcW w:w="1050" w:type="dxa"/>
            <w:shd w:val="clear" w:color="auto" w:fill="E8F0FA"/>
          </w:tcPr>
          <w:p w14:paraId="707A3F92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2B7CBE"/>
                <w:sz w:val="17"/>
              </w:rPr>
              <w:t>₹4.33 Cr</w:t>
            </w:r>
          </w:p>
        </w:tc>
        <w:tc>
          <w:tcPr>
            <w:tcW w:w="1050" w:type="dxa"/>
            <w:shd w:val="clear" w:color="auto" w:fill="E8F0FA"/>
          </w:tcPr>
          <w:p w14:paraId="1CE5C358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2B7CBE"/>
                <w:sz w:val="17"/>
              </w:rPr>
              <w:t>₹9.92 Cr</w:t>
            </w:r>
          </w:p>
        </w:tc>
        <w:tc>
          <w:tcPr>
            <w:tcW w:w="1050" w:type="dxa"/>
            <w:shd w:val="clear" w:color="auto" w:fill="E8F0FA"/>
          </w:tcPr>
          <w:p w14:paraId="3583D1D3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2B7CBE"/>
                <w:sz w:val="17"/>
              </w:rPr>
              <w:t>₹12.22 Cr</w:t>
            </w:r>
          </w:p>
        </w:tc>
        <w:tc>
          <w:tcPr>
            <w:tcW w:w="1050" w:type="dxa"/>
            <w:shd w:val="clear" w:color="auto" w:fill="E8F0FA"/>
          </w:tcPr>
          <w:p w14:paraId="1D1550BD" w14:textId="77777777" w:rsidR="00393A2E" w:rsidRDefault="00000000">
            <w:pPr>
              <w:spacing w:before="20" w:after="20"/>
              <w:jc w:val="center"/>
            </w:pPr>
            <w:r>
              <w:rPr>
                <w:b/>
                <w:color w:val="2B7CBE"/>
                <w:sz w:val="17"/>
              </w:rPr>
              <w:t>₹14.4 Cr</w:t>
            </w:r>
          </w:p>
        </w:tc>
      </w:tr>
      <w:tr w:rsidR="00393A2E" w14:paraId="746B42AA" w14:textId="77777777">
        <w:tc>
          <w:tcPr>
            <w:tcW w:w="2700" w:type="dxa"/>
            <w:shd w:val="clear" w:color="auto" w:fill="F4F6F8"/>
          </w:tcPr>
          <w:p w14:paraId="5460AF17" w14:textId="77777777" w:rsidR="00393A2E" w:rsidRDefault="00000000">
            <w:pPr>
              <w:spacing w:before="20" w:after="20"/>
            </w:pPr>
            <w:r>
              <w:rPr>
                <w:color w:val="444444"/>
                <w:sz w:val="17"/>
              </w:rPr>
              <w:lastRenderedPageBreak/>
              <w:t>Cumulative VPS cash</w:t>
            </w:r>
          </w:p>
        </w:tc>
        <w:tc>
          <w:tcPr>
            <w:tcW w:w="1050" w:type="dxa"/>
            <w:shd w:val="clear" w:color="auto" w:fill="F4F6F8"/>
          </w:tcPr>
          <w:p w14:paraId="1C29DEE6" w14:textId="77777777" w:rsidR="00393A2E" w:rsidRDefault="00000000">
            <w:pPr>
              <w:spacing w:before="20" w:after="20"/>
              <w:jc w:val="center"/>
            </w:pPr>
            <w:r>
              <w:rPr>
                <w:color w:val="444444"/>
                <w:sz w:val="17"/>
              </w:rPr>
              <w:t>₹2.15 Cr</w:t>
            </w:r>
          </w:p>
        </w:tc>
        <w:tc>
          <w:tcPr>
            <w:tcW w:w="1050" w:type="dxa"/>
            <w:shd w:val="clear" w:color="auto" w:fill="F4F6F8"/>
          </w:tcPr>
          <w:p w14:paraId="0D58D35B" w14:textId="77777777" w:rsidR="00393A2E" w:rsidRDefault="00000000">
            <w:pPr>
              <w:spacing w:before="20" w:after="20"/>
              <w:jc w:val="center"/>
            </w:pPr>
            <w:r>
              <w:rPr>
                <w:color w:val="444444"/>
                <w:sz w:val="17"/>
              </w:rPr>
              <w:t>₹6.5 Cr</w:t>
            </w:r>
          </w:p>
        </w:tc>
        <w:tc>
          <w:tcPr>
            <w:tcW w:w="1050" w:type="dxa"/>
            <w:shd w:val="clear" w:color="auto" w:fill="F4F6F8"/>
          </w:tcPr>
          <w:p w14:paraId="23B10D92" w14:textId="77777777" w:rsidR="00393A2E" w:rsidRDefault="00000000">
            <w:pPr>
              <w:spacing w:before="20" w:after="20"/>
              <w:jc w:val="center"/>
            </w:pPr>
            <w:r>
              <w:rPr>
                <w:color w:val="444444"/>
                <w:sz w:val="17"/>
              </w:rPr>
              <w:t>₹16.4 Cr</w:t>
            </w:r>
          </w:p>
        </w:tc>
        <w:tc>
          <w:tcPr>
            <w:tcW w:w="1050" w:type="dxa"/>
            <w:shd w:val="clear" w:color="auto" w:fill="F4F6F8"/>
          </w:tcPr>
          <w:p w14:paraId="5A6266C4" w14:textId="77777777" w:rsidR="00393A2E" w:rsidRDefault="00000000">
            <w:pPr>
              <w:spacing w:before="20" w:after="20"/>
              <w:jc w:val="center"/>
            </w:pPr>
            <w:r>
              <w:rPr>
                <w:color w:val="444444"/>
                <w:sz w:val="17"/>
              </w:rPr>
              <w:t>₹28.6 Cr</w:t>
            </w:r>
          </w:p>
        </w:tc>
        <w:tc>
          <w:tcPr>
            <w:tcW w:w="1050" w:type="dxa"/>
            <w:shd w:val="clear" w:color="auto" w:fill="F4F6F8"/>
          </w:tcPr>
          <w:p w14:paraId="0C0D470C" w14:textId="77777777" w:rsidR="00393A2E" w:rsidRDefault="00000000">
            <w:pPr>
              <w:spacing w:before="20" w:after="20"/>
              <w:jc w:val="center"/>
            </w:pPr>
            <w:r>
              <w:rPr>
                <w:color w:val="444444"/>
                <w:sz w:val="17"/>
              </w:rPr>
              <w:t>₹43.0 Cr</w:t>
            </w:r>
          </w:p>
        </w:tc>
      </w:tr>
    </w:tbl>
    <w:p w14:paraId="36964D34" w14:textId="77777777" w:rsidR="00393A2E" w:rsidRDefault="00000000">
      <w:pPr>
        <w:spacing w:before="160" w:after="40"/>
      </w:pPr>
      <w:r>
        <w:t>Recurring cash (O&amp;M fee plus dividends) cumulates to about ₹43 Cr by Year 5; together with the value of the 25% equity stake, VPS recovers its ₹100 Cr well within the hold.</w:t>
      </w:r>
    </w:p>
    <w:p w14:paraId="3F1C8C46" w14:textId="7DF79444" w:rsidR="00393A2E" w:rsidRDefault="00000000">
      <w:pPr>
        <w:spacing w:after="40"/>
      </w:pPr>
      <w:r>
        <w:t xml:space="preserve">Including equity value realised on exit (Year 5 put at 8× trailing post-O&amp;M EBITDA), the blended 5-year IRR is </w:t>
      </w:r>
      <w:r w:rsidR="0053240F">
        <w:t>~15%</w:t>
      </w:r>
      <w:r>
        <w:t>.</w:t>
      </w:r>
    </w:p>
    <w:p w14:paraId="453E1EBD" w14:textId="77777777" w:rsidR="00393A2E" w:rsidRDefault="00000000">
      <w:pPr>
        <w:pBdr>
          <w:left w:val="thick" w:sz="14" w:space="0" w:color="8B1A4A"/>
        </w:pBdr>
        <w:shd w:val="clear" w:color="auto" w:fill="2B7CBE"/>
        <w:spacing w:before="280" w:after="120"/>
      </w:pPr>
      <w:r>
        <w:rPr>
          <w:sz w:val="22"/>
        </w:rPr>
        <w:t xml:space="preserve">  </w:t>
      </w:r>
      <w:r>
        <w:rPr>
          <w:b/>
          <w:color w:val="FFFFFF"/>
          <w:sz w:val="22"/>
        </w:rPr>
        <w:t>5.  Responsibilities</w:t>
      </w:r>
    </w:p>
    <w:p w14:paraId="7B2E132C" w14:textId="77777777" w:rsidR="00393A2E" w:rsidRDefault="00000000">
      <w:pPr>
        <w:spacing w:before="120" w:after="40"/>
      </w:pPr>
      <w:r>
        <w:rPr>
          <w:b/>
          <w:color w:val="2B7CBE"/>
          <w:sz w:val="19"/>
        </w:rPr>
        <w:t>VPS Healthcare</w:t>
      </w:r>
    </w:p>
    <w:p w14:paraId="31A26902" w14:textId="77777777" w:rsidR="00393A2E" w:rsidRDefault="00000000">
      <w:pPr>
        <w:pStyle w:val="ListBullet"/>
        <w:spacing w:after="40"/>
      </w:pPr>
      <w:r>
        <w:t>Equity contribution in the form of medical equipment</w:t>
      </w:r>
    </w:p>
    <w:p w14:paraId="3EA34C77" w14:textId="77777777" w:rsidR="00393A2E" w:rsidRDefault="00000000">
      <w:pPr>
        <w:pStyle w:val="ListBullet"/>
        <w:spacing w:after="40"/>
      </w:pPr>
      <w:r>
        <w:t>Turnkey project management (PMC) — delivering both units from design to commissioning</w:t>
      </w:r>
    </w:p>
    <w:p w14:paraId="19B949CC" w14:textId="77777777" w:rsidR="00393A2E" w:rsidRDefault="00000000">
      <w:pPr>
        <w:pStyle w:val="ListBullet"/>
        <w:spacing w:after="40"/>
      </w:pPr>
      <w:r>
        <w:t>Clinical governance, quality standards, and accreditation</w:t>
      </w:r>
    </w:p>
    <w:p w14:paraId="7450E568" w14:textId="77777777" w:rsidR="00393A2E" w:rsidRDefault="00000000">
      <w:pPr>
        <w:pStyle w:val="ListBullet"/>
        <w:spacing w:after="40"/>
      </w:pPr>
      <w:r>
        <w:t>Management bandwidth and operational leadership</w:t>
      </w:r>
    </w:p>
    <w:p w14:paraId="5E7DBFDD" w14:textId="77777777" w:rsidR="00393A2E" w:rsidRDefault="00000000">
      <w:pPr>
        <w:pStyle w:val="ListBullet"/>
        <w:spacing w:after="40"/>
      </w:pPr>
      <w:r>
        <w:t>Procurement and supply-chain synergies</w:t>
      </w:r>
    </w:p>
    <w:p w14:paraId="19366F82" w14:textId="77777777" w:rsidR="00393A2E" w:rsidRDefault="00000000">
      <w:pPr>
        <w:pStyle w:val="ListBullet"/>
        <w:spacing w:after="40"/>
      </w:pPr>
      <w:r>
        <w:t>Brand and referral network</w:t>
      </w:r>
    </w:p>
    <w:p w14:paraId="5860891E" w14:textId="77777777" w:rsidR="00393A2E" w:rsidRDefault="00000000">
      <w:pPr>
        <w:pStyle w:val="ListBullet"/>
        <w:spacing w:after="40"/>
      </w:pPr>
      <w:r>
        <w:t>Digital and technology integration</w:t>
      </w:r>
    </w:p>
    <w:p w14:paraId="0565E01D" w14:textId="77777777" w:rsidR="0053240F" w:rsidRDefault="0053240F" w:rsidP="0053240F">
      <w:pPr>
        <w:pStyle w:val="ListBullet"/>
        <w:spacing w:after="40"/>
      </w:pPr>
      <w:r>
        <w:t>Clinical and paramedical staffing</w:t>
      </w:r>
    </w:p>
    <w:p w14:paraId="161A2E10" w14:textId="77777777" w:rsidR="0053240F" w:rsidRDefault="0053240F" w:rsidP="0053240F">
      <w:pPr>
        <w:pStyle w:val="ListBullet"/>
        <w:numPr>
          <w:ilvl w:val="0"/>
          <w:numId w:val="0"/>
        </w:numPr>
        <w:spacing w:after="40"/>
      </w:pPr>
    </w:p>
    <w:p w14:paraId="0A793B43" w14:textId="77777777" w:rsidR="00393A2E" w:rsidRDefault="00000000">
      <w:pPr>
        <w:spacing w:before="120" w:after="40"/>
      </w:pPr>
      <w:r>
        <w:rPr>
          <w:b/>
          <w:color w:val="2B7CBE"/>
          <w:sz w:val="19"/>
        </w:rPr>
        <w:t>Indorama</w:t>
      </w:r>
    </w:p>
    <w:p w14:paraId="67E33A60" w14:textId="77777777" w:rsidR="00393A2E" w:rsidRDefault="00000000">
      <w:pPr>
        <w:pStyle w:val="ListBullet"/>
        <w:spacing w:after="40"/>
      </w:pPr>
      <w:r>
        <w:t>Land, project funding for civil and fitout works, and hospital licensing</w:t>
      </w:r>
    </w:p>
    <w:p w14:paraId="1C00E82F" w14:textId="77777777" w:rsidR="00393A2E" w:rsidRDefault="00000000">
      <w:pPr>
        <w:pStyle w:val="ListBullet"/>
        <w:spacing w:after="40"/>
      </w:pPr>
      <w:r>
        <w:t>Statutory and regulatory compliance</w:t>
      </w:r>
    </w:p>
    <w:p w14:paraId="16F13C90" w14:textId="77777777" w:rsidR="00393A2E" w:rsidRDefault="00000000">
      <w:pPr>
        <w:pStyle w:val="ListBullet"/>
        <w:spacing w:after="40"/>
      </w:pPr>
      <w:r>
        <w:t>Commitment to jointly agreed quality and governance standards</w:t>
      </w:r>
    </w:p>
    <w:p w14:paraId="3FAD149D" w14:textId="77777777" w:rsidR="00393A2E" w:rsidRDefault="00000000">
      <w:pPr>
        <w:pBdr>
          <w:left w:val="thick" w:sz="14" w:space="0" w:color="8B1A4A"/>
        </w:pBdr>
        <w:shd w:val="clear" w:color="auto" w:fill="2B7CBE"/>
        <w:spacing w:before="280" w:after="120"/>
      </w:pPr>
      <w:r>
        <w:rPr>
          <w:sz w:val="22"/>
        </w:rPr>
        <w:t xml:space="preserve">  </w:t>
      </w:r>
      <w:r>
        <w:rPr>
          <w:b/>
          <w:color w:val="FFFFFF"/>
          <w:sz w:val="22"/>
        </w:rPr>
        <w:t>6.  Governance</w:t>
      </w:r>
    </w:p>
    <w:p w14:paraId="6DFC9CA1" w14:textId="77777777" w:rsidR="00393A2E" w:rsidRDefault="00000000">
      <w:pPr>
        <w:pStyle w:val="ListBullet"/>
        <w:spacing w:after="40"/>
      </w:pPr>
      <w:r>
        <w:t>VPS nominates a director to the board of each centre.</w:t>
      </w:r>
    </w:p>
    <w:p w14:paraId="37C9E0C7" w14:textId="3A6B0CF3" w:rsidR="00393A2E" w:rsidRDefault="00000000" w:rsidP="0053240F">
      <w:pPr>
        <w:pStyle w:val="ListBullet"/>
        <w:spacing w:after="40"/>
      </w:pPr>
      <w:r>
        <w:rPr>
          <w:b/>
          <w:color w:val="111111"/>
        </w:rPr>
        <w:t xml:space="preserve">Affirmative-vote items: </w:t>
      </w:r>
      <w:r>
        <w:t>significant capex, new borrowings, change of business scope, and related-party transactions require VPS's consent.</w:t>
      </w:r>
    </w:p>
    <w:p w14:paraId="0DA458AD" w14:textId="77777777" w:rsidR="00393A2E" w:rsidRDefault="00000000">
      <w:pPr>
        <w:pBdr>
          <w:left w:val="thick" w:sz="14" w:space="0" w:color="8B1A4A"/>
        </w:pBdr>
        <w:shd w:val="clear" w:color="auto" w:fill="2B7CBE"/>
        <w:spacing w:before="280" w:after="120"/>
      </w:pPr>
      <w:r>
        <w:rPr>
          <w:sz w:val="22"/>
        </w:rPr>
        <w:t xml:space="preserve">  </w:t>
      </w:r>
      <w:r>
        <w:rPr>
          <w:b/>
          <w:color w:val="FFFFFF"/>
          <w:sz w:val="22"/>
        </w:rPr>
        <w:t>7.  Exit</w:t>
      </w:r>
    </w:p>
    <w:p w14:paraId="74EA9121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Tag-along: </w:t>
      </w:r>
      <w:r>
        <w:t>if Indorama sells any part of its stake, VPS may exit its 25% on identical terms.</w:t>
      </w:r>
    </w:p>
    <w:p w14:paraId="65CE863D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Right of first offer: </w:t>
      </w:r>
      <w:r>
        <w:t>VPS has first right to acquire any stake Indorama wishes to sell before a third party is approached.</w:t>
      </w:r>
    </w:p>
    <w:p w14:paraId="3F00B78A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Put option: </w:t>
      </w:r>
      <w:r>
        <w:t>VPS may sell its 25% back to Indorama at Year 5 at 8× trailing 12-month post-O&amp;M EBITDA.</w:t>
      </w:r>
    </w:p>
    <w:p w14:paraId="198DF9C2" w14:textId="77777777" w:rsidR="00393A2E" w:rsidRDefault="00000000">
      <w:pPr>
        <w:pStyle w:val="ListBullet"/>
        <w:spacing w:after="40"/>
      </w:pPr>
      <w:r>
        <w:rPr>
          <w:b/>
          <w:color w:val="111111"/>
        </w:rPr>
        <w:t xml:space="preserve">Lock-in: </w:t>
      </w:r>
      <w:r>
        <w:t>neither party transfers equity in the first 3 years without the other's written consent.</w:t>
      </w:r>
    </w:p>
    <w:sectPr w:rsidR="00393A2E" w:rsidSect="00034616">
      <w:footerReference w:type="default" r:id="rId8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6CB78" w14:textId="77777777" w:rsidR="001A220E" w:rsidRDefault="001A220E">
      <w:pPr>
        <w:spacing w:after="0" w:line="240" w:lineRule="auto"/>
      </w:pPr>
      <w:r>
        <w:separator/>
      </w:r>
    </w:p>
  </w:endnote>
  <w:endnote w:type="continuationSeparator" w:id="0">
    <w:p w14:paraId="504CF5B9" w14:textId="77777777" w:rsidR="001A220E" w:rsidRDefault="001A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11A37" w14:textId="77777777" w:rsidR="00393A2E" w:rsidRDefault="00000000">
    <w:pPr>
      <w:pStyle w:val="Footer"/>
      <w:jc w:val="center"/>
    </w:pPr>
    <w:r>
      <w:rPr>
        <w:color w:val="888888"/>
        <w:sz w:val="16"/>
      </w:rPr>
      <w:t>VPS Healthcare   |   Confidential   |  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72111" w14:textId="77777777" w:rsidR="001A220E" w:rsidRDefault="001A220E">
      <w:pPr>
        <w:spacing w:after="0" w:line="240" w:lineRule="auto"/>
      </w:pPr>
      <w:r>
        <w:separator/>
      </w:r>
    </w:p>
  </w:footnote>
  <w:footnote w:type="continuationSeparator" w:id="0">
    <w:p w14:paraId="6967CBD2" w14:textId="77777777" w:rsidR="001A220E" w:rsidRDefault="001A2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81824">
    <w:abstractNumId w:val="8"/>
  </w:num>
  <w:num w:numId="2" w16cid:durableId="776220356">
    <w:abstractNumId w:val="6"/>
  </w:num>
  <w:num w:numId="3" w16cid:durableId="700790639">
    <w:abstractNumId w:val="5"/>
  </w:num>
  <w:num w:numId="4" w16cid:durableId="1249920206">
    <w:abstractNumId w:val="4"/>
  </w:num>
  <w:num w:numId="5" w16cid:durableId="73479113">
    <w:abstractNumId w:val="7"/>
  </w:num>
  <w:num w:numId="6" w16cid:durableId="2052411192">
    <w:abstractNumId w:val="3"/>
  </w:num>
  <w:num w:numId="7" w16cid:durableId="882406271">
    <w:abstractNumId w:val="2"/>
  </w:num>
  <w:num w:numId="8" w16cid:durableId="1452164129">
    <w:abstractNumId w:val="1"/>
  </w:num>
  <w:num w:numId="9" w16cid:durableId="150354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20E"/>
    <w:rsid w:val="0029639D"/>
    <w:rsid w:val="00326F90"/>
    <w:rsid w:val="00330A24"/>
    <w:rsid w:val="00393A2E"/>
    <w:rsid w:val="004E28A3"/>
    <w:rsid w:val="005324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65C27"/>
  <w14:defaultImageDpi w14:val="300"/>
  <w15:docId w15:val="{DAC28EA7-9D9A-BC42-B8C2-77642B33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828</Words>
  <Characters>4522</Characters>
  <Application>Microsoft Office Word</Application>
  <DocSecurity>0</DocSecurity>
  <Lines>122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Sameeraj Rao</cp:lastModifiedBy>
  <cp:revision>2</cp:revision>
  <dcterms:created xsi:type="dcterms:W3CDTF">2013-12-23T23:15:00Z</dcterms:created>
  <dcterms:modified xsi:type="dcterms:W3CDTF">2026-06-17T16:46:00Z</dcterms:modified>
  <cp:category/>
</cp:coreProperties>
</file>