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200" w:before="0"/>
        <w:jc w:val="center"/>
      </w:pPr>
      <w:r>
        <w:rPr>
          <w:rFonts w:ascii="Arial" w:cs="Arial" w:eastAsia="Arial" w:hAnsi="Arial"/>
          <w:b/>
          <w:bCs/>
          <w:color w:val="1F4E79"/>
          <w:sz w:val="48"/>
          <w:szCs w:val="48"/>
        </w:rPr>
        <w:t xml:space="preserve">NLP ASSIGNMENT 3</w:t>
      </w:r>
    </w:p>
    <w:p>
      <w:pPr>
        <w:pBdr>
          <w:bottom w:val="single" w:color="ED7D31" w:sz="12" w:space="4"/>
        </w:pBdr>
        <w:spacing w:after="60" w:before="0"/>
        <w:jc w:val="center"/>
      </w:pPr>
      <w:r>
        <w:rPr>
          <w:rFonts w:ascii="Arial" w:cs="Arial" w:eastAsia="Arial" w:hAnsi="Arial"/>
          <w:color w:val="2E75B6"/>
          <w:sz w:val="28"/>
          <w:szCs w:val="28"/>
        </w:rPr>
        <w:t xml:space="preserve">Amazon Review Understanding &amp; RAG-Based Explanation Generation</w:t>
      </w:r>
    </w:p>
    <w:p>
      <w:pPr>
        <w:spacing w:after="0" w:before="400"/>
      </w:pPr>
      <w:r>
        <w:t xml:space="preserve"/>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1F4E79"/>
                <w:sz w:val="22"/>
                <w:szCs w:val="22"/>
              </w:rPr>
              <w:t xml:space="preserve">Student Name:</w:t>
            </w:r>
          </w:p>
        </w:tc>
        <w:tc>
          <w:tcPr>
            <w:tcW w:type="dxa" w:w="3200"/>
            <w:tcBorders>
              <w:top w:val="none" w:color="FFFFFF" w:sz="0"/>
              <w:left w:val="none" w:color="FFFFFF" w:sz="0"/>
              <w:bottom w:val="none" w:color="FFFFFF" w:sz="0"/>
              <w:right w:val="none" w:color="FFFFFF" w:sz="0"/>
            </w:tcBorders>
            <w:tcMar>
              <w:left w:type="dxa" w:w="200"/>
            </w:tcMar>
          </w:tcPr>
          <w:p>
            <w:r>
              <w:rPr>
                <w:rFonts w:ascii="Arial" w:cs="Arial" w:eastAsia="Arial" w:hAnsi="Arial"/>
                <w:color w:val="333333"/>
                <w:sz w:val="22"/>
                <w:szCs w:val="22"/>
              </w:rPr>
              <w:t xml:space="preserve">Sameer Asif</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1F4E79"/>
                <w:sz w:val="22"/>
                <w:szCs w:val="22"/>
              </w:rPr>
              <w:t xml:space="preserve">Student ID:</w:t>
            </w:r>
          </w:p>
        </w:tc>
        <w:tc>
          <w:tcPr>
            <w:tcW w:type="dxa" w:w="3200"/>
            <w:tcBorders>
              <w:top w:val="none" w:color="FFFFFF" w:sz="0"/>
              <w:left w:val="none" w:color="FFFFFF" w:sz="0"/>
              <w:bottom w:val="none" w:color="FFFFFF" w:sz="0"/>
              <w:right w:val="none" w:color="FFFFFF" w:sz="0"/>
            </w:tcBorders>
            <w:tcMar>
              <w:left w:type="dxa" w:w="200"/>
            </w:tcMar>
          </w:tcPr>
          <w:p>
            <w:r>
              <w:rPr>
                <w:rFonts w:ascii="Arial" w:cs="Arial" w:eastAsia="Arial" w:hAnsi="Arial"/>
                <w:color w:val="333333"/>
                <w:sz w:val="22"/>
                <w:szCs w:val="22"/>
              </w:rPr>
              <w:t xml:space="preserve">22I-0493</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1F4E79"/>
                <w:sz w:val="22"/>
                <w:szCs w:val="22"/>
              </w:rPr>
              <w:t xml:space="preserve">Course:</w:t>
            </w:r>
          </w:p>
        </w:tc>
        <w:tc>
          <w:tcPr>
            <w:tcW w:type="dxa" w:w="3200"/>
            <w:tcBorders>
              <w:top w:val="none" w:color="FFFFFF" w:sz="0"/>
              <w:left w:val="none" w:color="FFFFFF" w:sz="0"/>
              <w:bottom w:val="none" w:color="FFFFFF" w:sz="0"/>
              <w:right w:val="none" w:color="FFFFFF" w:sz="0"/>
            </w:tcBorders>
            <w:tcMar>
              <w:left w:type="dxa" w:w="200"/>
            </w:tcMar>
          </w:tcPr>
          <w:p>
            <w:r>
              <w:rPr>
                <w:rFonts w:ascii="Arial" w:cs="Arial" w:eastAsia="Arial" w:hAnsi="Arial"/>
                <w:color w:val="333333"/>
                <w:sz w:val="22"/>
                <w:szCs w:val="22"/>
              </w:rPr>
              <w:t xml:space="preserve">Natural Language Processing (NLP)</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1F4E79"/>
                <w:sz w:val="22"/>
                <w:szCs w:val="22"/>
              </w:rPr>
              <w:t xml:space="preserve">Date:</w:t>
            </w:r>
          </w:p>
        </w:tc>
        <w:tc>
          <w:tcPr>
            <w:tcW w:type="dxa" w:w="3200"/>
            <w:tcBorders>
              <w:top w:val="none" w:color="FFFFFF" w:sz="0"/>
              <w:left w:val="none" w:color="FFFFFF" w:sz="0"/>
              <w:bottom w:val="none" w:color="FFFFFF" w:sz="0"/>
              <w:right w:val="none" w:color="FFFFFF" w:sz="0"/>
            </w:tcBorders>
            <w:tcMar>
              <w:left w:type="dxa" w:w="200"/>
            </w:tcMar>
          </w:tcPr>
          <w:p>
            <w:r>
              <w:rPr>
                <w:rFonts w:ascii="Arial" w:cs="Arial" w:eastAsia="Arial" w:hAnsi="Arial"/>
                <w:color w:val="333333"/>
                <w:sz w:val="22"/>
                <w:szCs w:val="22"/>
              </w:rPr>
              <w:t xml:space="preserve">April 29, 2026</w:t>
            </w:r>
          </w:p>
        </w:tc>
      </w:tr>
    </w:tbl>
    <w:p>
      <w:r>
        <w:br w:type="page"/>
      </w:r>
    </w:p>
    <w:p>
      <w:pPr>
        <w:pStyle w:val="Heading1"/>
        <w:pBdr>
          <w:bottom w:val="single" w:color="2E75B6" w:sz="6" w:space="4"/>
        </w:pBdr>
        <w:spacing w:after="160" w:before="320"/>
      </w:pPr>
      <w:r>
        <w:rPr>
          <w:rFonts w:ascii="Arial" w:cs="Arial" w:eastAsia="Arial" w:hAnsi="Arial"/>
          <w:b/>
          <w:bCs/>
          <w:color w:val="1F4E79"/>
          <w:sz w:val="28"/>
          <w:szCs w:val="28"/>
        </w:rPr>
        <w:t xml:space="preserve">1. Overview</w:t>
      </w:r>
    </w:p>
    <w:p>
      <w:pPr>
        <w:spacing w:after="120" w:before="80"/>
        <w:jc w:val="both"/>
      </w:pPr>
      <w:r>
        <w:rPr>
          <w:rFonts w:ascii="Arial" w:cs="Arial" w:eastAsia="Arial" w:hAnsi="Arial"/>
          <w:color w:val="333333"/>
          <w:sz w:val="22"/>
          <w:szCs w:val="22"/>
        </w:rPr>
        <w:t xml:space="preserve">This report presents a three-stage end-to-end pipeline designed for Amazon product review understanding and explanation generation. The pipeline consists of three interconnected components: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c>
          <w:tcPr>
            <w:tcW w:type="dxa" w:w="14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Part</w:t>
            </w:r>
          </w:p>
        </w:tc>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57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Encoder Model</w:t>
            </w:r>
          </w:p>
        </w:tc>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Custom encoder-only Transformer for multi-task learning — sentiment classification and derived feature prediction.</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1F4E79"/>
                <w:sz w:val="20"/>
                <w:szCs w:val="20"/>
              </w:rPr>
              <w:t xml:space="preserve">B</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Retrieval Module</w:t>
            </w:r>
          </w:p>
        </w:tc>
        <w:tc>
          <w:tcPr>
            <w:tcW w:type="dxa" w:w="57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Embedding-based cosine similarity retrieval with top-k context selection from training embeddings.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Decoder + RAG</w:t>
            </w:r>
          </w:p>
        </w:tc>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Decoder-only Transformer implementing Retrieval-Augmented Generation (RAG) for explanation generation.</w:t>
            </w:r>
          </w:p>
        </w:tc>
      </w:tr>
    </w:tbl>
    <w:p>
      <w:pPr>
        <w:spacing w:after="0" w:before="120"/>
      </w:pPr>
      <w:r>
        <w:t xml:space="preserve"/>
      </w:r>
    </w:p>
    <w:p>
      <w:pPr>
        <w:spacing w:after="120" w:before="80"/>
        <w:jc w:val="both"/>
      </w:pPr>
      <w:r>
        <w:rPr>
          <w:rFonts w:ascii="Arial" w:cs="Arial" w:eastAsia="Arial" w:hAnsi="Arial"/>
          <w:color w:val="333333"/>
          <w:sz w:val="22"/>
          <w:szCs w:val="22"/>
        </w:rPr>
        <w:t xml:space="preserve">All three parts are trained end-to-end on GPU and produce the required artifacts: model weights, training embeddings, retrieval integration, perplexity-based evaluation, and qualitative output samples.</w:t>
      </w:r>
    </w:p>
    <w:p>
      <w:pPr>
        <w:spacing w:after="0" w:before="1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2. Dataset and Preprocessing</w:t>
      </w:r>
    </w:p>
    <w:p>
      <w:pPr>
        <w:spacing w:after="120" w:before="80"/>
        <w:jc w:val="both"/>
      </w:pPr>
      <w:r>
        <w:rPr>
          <w:rFonts w:ascii="Arial" w:cs="Arial" w:eastAsia="Arial" w:hAnsi="Arial"/>
          <w:color w:val="333333"/>
          <w:sz w:val="22"/>
          <w:szCs w:val="22"/>
        </w:rPr>
        <w:t xml:space="preserve">The Amazon review dataset is divided into training, validation, and test splits with a vocabulary of 30,000 tokens. All preprocessing is conducted exclusively on training data to prevent data leakage.</w:t>
      </w:r>
    </w:p>
    <w:p>
      <w:pPr>
        <w:spacing w:after="0" w:before="100"/>
      </w:pPr>
      <w:r>
        <w:t xml:space="preserve"/>
      </w:r>
    </w:p>
    <w:p>
      <w:pPr>
        <w:pStyle w:val="Heading2"/>
        <w:spacing w:after="120" w:before="240"/>
      </w:pPr>
      <w:r>
        <w:rPr>
          <w:rFonts w:ascii="Arial" w:cs="Arial" w:eastAsia="Arial" w:hAnsi="Arial"/>
          <w:b/>
          <w:bCs/>
          <w:color w:val="2E75B6"/>
          <w:sz w:val="24"/>
          <w:szCs w:val="24"/>
        </w:rPr>
        <w:t xml:space="preserve">2.1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Train Set</w:t>
            </w:r>
          </w:p>
        </w:tc>
        <w:tc>
          <w:tcPr>
            <w:tcW w:type="dxa" w:w="2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Validation Set</w:t>
            </w:r>
          </w:p>
        </w:tc>
        <w:tc>
          <w:tcPr>
            <w:tcW w:type="dxa" w:w="2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 Set</w:t>
            </w:r>
          </w:p>
        </w:tc>
        <w:tc>
          <w:tcPr>
            <w:tcW w:type="dxa" w:w="2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Vocabulary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34,981 samples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7,495 samples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7,497 samples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30,000 tokens</w:t>
            </w:r>
          </w:p>
        </w:tc>
      </w:tr>
    </w:tbl>
    <w:p>
      <w:pPr>
        <w:spacing w:after="0" w:before="140"/>
      </w:pPr>
      <w:r>
        <w:t xml:space="preserve"/>
      </w:r>
    </w:p>
    <w:p>
      <w:pPr>
        <w:spacing w:after="60" w:before="140"/>
        <w:jc w:val="center"/>
      </w:pPr>
      <w:r>
        <w:drawing>
          <wp:inline distT="0" distB="0" distL="0" distR="0">
            <wp:extent cx="4572000" cy="2286000"/>
            <wp:effectExtent t="0" r="0" b="0" l="0"/>
            <wp:docPr id="1" name="Figure 1: Dataset Split Distribution" descr="Figure 1: Dataset Split Distribution" title="Figure 1: Dataset Spli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860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1: Dataset Split Distribution</w:t>
      </w:r>
    </w:p>
    <w:p>
      <w:pPr>
        <w:pStyle w:val="Heading2"/>
        <w:spacing w:after="120" w:before="240"/>
      </w:pPr>
      <w:r>
        <w:rPr>
          <w:rFonts w:ascii="Arial" w:cs="Arial" w:eastAsia="Arial" w:hAnsi="Arial"/>
          <w:b/>
          <w:bCs/>
          <w:color w:val="2E75B6"/>
          <w:sz w:val="24"/>
          <w:szCs w:val="24"/>
        </w:rPr>
        <w:t xml:space="preserve">2.2 Preprocessing Pipeline</w:t>
      </w:r>
    </w:p>
    <w:p>
      <w:pPr>
        <w:spacing w:after="120" w:before="80"/>
        <w:jc w:val="both"/>
      </w:pPr>
      <w:r>
        <w:rPr>
          <w:rFonts w:ascii="Arial" w:cs="Arial" w:eastAsia="Arial" w:hAnsi="Arial"/>
          <w:color w:val="333333"/>
          <w:sz w:val="22"/>
          <w:szCs w:val="22"/>
        </w:rPr>
        <w:t xml:space="preserve">The preprocessing pipeline includes the following sequential steps: (1) lowercase normalization, (2) text cleaning and punctuation removal, (3) whitespace normalization, (4) tokenization by whitespace, (5) vocabulary construction from training data only, and (6) fixed-length padding and truncation.</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2.3 Label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Class</w:t>
            </w:r>
          </w:p>
        </w:tc>
        <w:tc>
          <w:tcPr>
            <w:tcW w:type="dxa" w:w="2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Star Ratings</w:t>
            </w:r>
          </w:p>
        </w:tc>
        <w:tc>
          <w:tcPr>
            <w:tcW w:type="dxa" w:w="4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Derived Feature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Negative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1 – 2 stars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Binary review-length class (short vs. detailed)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Neutral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3 stars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Threshold applied on token count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Positive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4 – 5 stars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Short review below threshold; detailed above</w:t>
            </w:r>
          </w:p>
        </w:tc>
      </w:tr>
    </w:tbl>
    <w:p>
      <w:pPr>
        <w:spacing w:after="0" w:before="1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3. Part A — Encoder Model</w:t>
      </w:r>
    </w:p>
    <w:p>
      <w:pPr>
        <w:spacing w:after="120" w:before="80"/>
        <w:jc w:val="both"/>
      </w:pPr>
      <w:r>
        <w:rPr>
          <w:rFonts w:ascii="Arial" w:cs="Arial" w:eastAsia="Arial" w:hAnsi="Arial"/>
          <w:color w:val="333333"/>
          <w:sz w:val="22"/>
          <w:szCs w:val="22"/>
        </w:rPr>
        <w:t xml:space="preserve">A custom encoder-only Transformer is implemented entirely from scratch. The architecture features multi-head self-attention, residual connections, layer normalization, and position-wise feed-forward networks. It is trained in a multi-task learning setup, jointly optimizing for two objectives simultaneously.</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3.1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2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Attention Mechanism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Multi-head self-attention with positional encodings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1F4E79"/>
                <w:sz w:val="20"/>
                <w:szCs w:val="20"/>
              </w:rPr>
              <w:t xml:space="preserve">Residual Connections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Applied around each sub-layer (attention + FFN)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Layer Normalization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Applied post-addition in each encoder block</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1F4E79"/>
                <w:sz w:val="20"/>
                <w:szCs w:val="20"/>
              </w:rPr>
              <w:t xml:space="preserve">Feed-Forward Networks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Position-wise two-layer FFN with non-linear activation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Task Heads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Separate classification heads for sentiment (3-class) and derived feature (binary)</w:t>
            </w:r>
          </w:p>
        </w:tc>
      </w:tr>
    </w:tbl>
    <w:p>
      <w:pPr>
        <w:spacing w:after="0" w:before="140"/>
      </w:pPr>
      <w:r>
        <w:t xml:space="preserve"/>
      </w:r>
    </w:p>
    <w:p>
      <w:pPr>
        <w:pStyle w:val="Heading2"/>
        <w:spacing w:after="120" w:before="240"/>
      </w:pPr>
      <w:r>
        <w:rPr>
          <w:rFonts w:ascii="Arial" w:cs="Arial" w:eastAsia="Arial" w:hAnsi="Arial"/>
          <w:b/>
          <w:bCs/>
          <w:color w:val="2E75B6"/>
          <w:sz w:val="24"/>
          <w:szCs w:val="24"/>
        </w:rPr>
        <w:t xml:space="preserve">3.2 Training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Epoch</w:t>
            </w:r>
          </w:p>
        </w:tc>
        <w:tc>
          <w:tcPr>
            <w:tcW w:type="dxa" w:w="26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Loss</w:t>
            </w:r>
          </w:p>
        </w:tc>
        <w:tc>
          <w:tcPr>
            <w:tcW w:type="dxa" w:w="26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Sentiment Accuracy</w:t>
            </w:r>
          </w:p>
        </w:tc>
        <w:tc>
          <w:tcPr>
            <w:tcW w:type="dxa" w:w="26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Derived Feature Accuracy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0.6202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80.71%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99.01%</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0.5307</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81.76%</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99.56%</w:t>
            </w:r>
          </w:p>
        </w:tc>
      </w:tr>
    </w:tbl>
    <w:p>
      <w:pPr>
        <w:spacing w:after="0" w:before="100"/>
      </w:pPr>
      <w:r>
        <w:t xml:space="preserve"/>
      </w:r>
    </w:p>
    <w:p>
      <w:pPr>
        <w:spacing w:after="60" w:before="140"/>
        <w:jc w:val="center"/>
      </w:pPr>
      <w:r>
        <w:drawing>
          <wp:inline distT="0" distB="0" distL="0" distR="0">
            <wp:extent cx="4572000" cy="2381250"/>
            <wp:effectExtent t="0" r="0" b="0" l="0"/>
            <wp:docPr id="1" name="Figure 2: Training Loss and Accuracy Over Epochs" descr="Figure 2: Training Loss and Accuracy Over Epochs" title="Figure 2: Training Loss and Accuracy Over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812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2: Training Loss and Accuracy Over Epochs</w:t>
      </w:r>
    </w:p>
    <w:p>
      <w:pPr>
        <w:pStyle w:val="Heading2"/>
        <w:spacing w:after="120" w:before="240"/>
      </w:pPr>
      <w:r>
        <w:rPr>
          <w:rFonts w:ascii="Arial" w:cs="Arial" w:eastAsia="Arial" w:hAnsi="Arial"/>
          <w:b/>
          <w:bCs/>
          <w:color w:val="2E75B6"/>
          <w:sz w:val="24"/>
          <w:szCs w:val="24"/>
        </w:rPr>
        <w:t xml:space="preserve">3.3 Test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468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Test Sentiment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82.04%</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Test Derived Feature Accuracy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99.68%</w:t>
            </w:r>
          </w:p>
        </w:tc>
      </w:tr>
    </w:tbl>
    <w:p>
      <w:pPr>
        <w:spacing w:after="0" w:before="100"/>
      </w:pPr>
      <w:r>
        <w:t xml:space="preserve"/>
      </w:r>
    </w:p>
    <w:p>
      <w:pPr>
        <w:spacing w:after="120" w:before="80"/>
        <w:jc w:val="both"/>
      </w:pPr>
      <w:r>
        <w:rPr>
          <w:rFonts w:ascii="Arial" w:cs="Arial" w:eastAsia="Arial" w:hAnsi="Arial"/>
          <w:color w:val="333333"/>
          <w:sz w:val="22"/>
          <w:szCs w:val="22"/>
        </w:rPr>
        <w:t xml:space="preserve">The derived feature accuracy is notably high (99.68%), as the binary classification task based on review token length is a relatively straightforward structural signal. The sentiment model achieves 82.04% on the held-out test set, which is competitive for a scratch-built Transformer without pre-trained initialization.</w:t>
      </w:r>
    </w:p>
    <w:p>
      <w:pPr>
        <w:spacing w:after="0" w:before="1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4. Part B — Retrieval Module</w:t>
      </w:r>
    </w:p>
    <w:p>
      <w:pPr>
        <w:spacing w:after="120" w:before="80"/>
        <w:jc w:val="both"/>
      </w:pPr>
      <w:r>
        <w:rPr>
          <w:rFonts w:ascii="Arial" w:cs="Arial" w:eastAsia="Arial" w:hAnsi="Arial"/>
          <w:color w:val="333333"/>
          <w:sz w:val="22"/>
          <w:szCs w:val="22"/>
        </w:rPr>
        <w:t xml:space="preserve">The retrieval module bridges the encoder and decoder stages by providing contextually relevant examples at inference time. This forms the backbone of the RAG pipeline implemented in Part 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62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 / 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Embedding Storage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results/train_embeddings.pt (PyTorch tensor file)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1F4E79"/>
                <w:sz w:val="20"/>
                <w:szCs w:val="20"/>
              </w:rPr>
              <w:t xml:space="preserve">Similarity Metric</w:t>
            </w:r>
          </w:p>
        </w:tc>
        <w:tc>
          <w:tcPr>
            <w:tcW w:type="dxa" w:w="62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Cosine similarity between query and training embeddings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Top-k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k = 3 nearest neighbours retrieved per query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1F4E79"/>
                <w:sz w:val="20"/>
                <w:szCs w:val="20"/>
              </w:rPr>
              <w:t xml:space="preserve">Context Injection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Retrieved examples are concatenated into decoder input prompt</w:t>
            </w:r>
          </w:p>
        </w:tc>
      </w:tr>
    </w:tbl>
    <w:p>
      <w:pPr>
        <w:spacing w:after="0" w:before="120"/>
      </w:pPr>
      <w:r>
        <w:t xml:space="preserve"/>
      </w:r>
    </w:p>
    <w:p>
      <w:pPr>
        <w:spacing w:after="120" w:before="80"/>
        <w:jc w:val="both"/>
      </w:pPr>
      <w:r>
        <w:rPr>
          <w:rFonts w:ascii="Arial" w:cs="Arial" w:eastAsia="Arial" w:hAnsi="Arial"/>
          <w:color w:val="333333"/>
          <w:sz w:val="22"/>
          <w:szCs w:val="22"/>
        </w:rPr>
        <w:t xml:space="preserve">Embedding representations from the encoder are persisted to disk after training. At inference time, the query review's embedding is compared against all stored training embeddings using cosine similarity. The top-3 most similar reviews are selected and their text is prepended to the decoder's input prompt, grounding the explanation generation in semantically relevant examples.</w:t>
      </w:r>
    </w:p>
    <w:p>
      <w:pPr>
        <w:spacing w:after="0" w:before="1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5. Part C — Decoder and RAG</w:t>
      </w:r>
    </w:p>
    <w:p>
      <w:pPr>
        <w:spacing w:after="120" w:before="80"/>
        <w:jc w:val="both"/>
      </w:pPr>
      <w:r>
        <w:rPr>
          <w:rFonts w:ascii="Arial" w:cs="Arial" w:eastAsia="Arial" w:hAnsi="Arial"/>
          <w:color w:val="333333"/>
          <w:sz w:val="22"/>
          <w:szCs w:val="22"/>
        </w:rPr>
        <w:t xml:space="preserve">A decoder-only Transformer is implemented from scratch incorporating causal masking, autoregressive generation, and a language modelling objective. It is conditioned on the retrieved context from Part B during generation.</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5.1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2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Attention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Causal (masked) self-attention — prevents attending to future tokens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1F4E79"/>
                <w:sz w:val="20"/>
                <w:szCs w:val="20"/>
              </w:rPr>
              <w:t xml:space="preserve">Generation Mode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Autoregressive — tokens generated one at a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Training Objective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Language modelling (next-token prediction)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1F4E79"/>
                <w:sz w:val="20"/>
                <w:szCs w:val="20"/>
              </w:rPr>
              <w:t xml:space="preserve">Context Conditioning</w:t>
            </w:r>
          </w:p>
        </w:tc>
        <w:tc>
          <w:tcPr>
            <w:tcW w:type="dxa" w:w="62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Retrieved passages prepended to decoder input</w:t>
            </w:r>
          </w:p>
        </w:tc>
      </w:tr>
    </w:tbl>
    <w:p>
      <w:pPr>
        <w:spacing w:after="0" w:before="140"/>
      </w:pPr>
      <w:r>
        <w:t xml:space="preserve"/>
      </w:r>
    </w:p>
    <w:p>
      <w:pPr>
        <w:pStyle w:val="Heading2"/>
        <w:spacing w:after="120" w:before="240"/>
      </w:pPr>
      <w:r>
        <w:rPr>
          <w:rFonts w:ascii="Arial" w:cs="Arial" w:eastAsia="Arial" w:hAnsi="Arial"/>
          <w:b/>
          <w:bCs/>
          <w:color w:val="2E75B6"/>
          <w:sz w:val="24"/>
          <w:szCs w:val="24"/>
        </w:rPr>
        <w:t xml:space="preserve">5.2 Perplexity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c>
          <w:tcPr>
            <w:tcW w:type="dxa" w:w="39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Configuration</w:t>
            </w:r>
          </w:p>
        </w:tc>
        <w:tc>
          <w:tcPr>
            <w:tcW w:type="dxa" w:w="273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Perplexity</w:t>
            </w:r>
          </w:p>
        </w:tc>
        <w:tc>
          <w:tcPr>
            <w:tcW w:type="dxa" w:w="273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With Retrieval (RAG)</w:t>
            </w:r>
          </w:p>
        </w:tc>
        <w:tc>
          <w:tcPr>
            <w:tcW w:type="dxa" w:w="27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260.14</w:t>
            </w:r>
          </w:p>
        </w:tc>
        <w:tc>
          <w:tcPr>
            <w:tcW w:type="dxa" w:w="27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Retrieval context appended</w:t>
            </w:r>
          </w:p>
        </w:tc>
      </w:tr>
      <w:tr>
        <w:tc>
          <w:tcPr>
            <w:tcW w:type="dxa" w:w="3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1F4E79"/>
                <w:sz w:val="20"/>
                <w:szCs w:val="20"/>
              </w:rPr>
              <w:t xml:space="preserve">Without Retrieval (Baseline)</w:t>
            </w:r>
          </w:p>
        </w:tc>
        <w:tc>
          <w:tcPr>
            <w:tcW w:type="dxa" w:w="273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74.95</w:t>
            </w:r>
          </w:p>
        </w:tc>
        <w:tc>
          <w:tcPr>
            <w:tcW w:type="dxa" w:w="273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Pure language model</w:t>
            </w:r>
          </w:p>
        </w:tc>
      </w:tr>
    </w:tbl>
    <w:p>
      <w:pPr>
        <w:spacing w:after="0" w:before="100"/>
      </w:pPr>
      <w:r>
        <w:t xml:space="preserve"/>
      </w:r>
    </w:p>
    <w:p>
      <w:pPr>
        <w:spacing w:after="60" w:before="140"/>
        <w:jc w:val="center"/>
      </w:pPr>
      <w:r>
        <w:drawing>
          <wp:inline distT="0" distB="0" distL="0" distR="0">
            <wp:extent cx="4000500" cy="2286000"/>
            <wp:effectExtent t="0" r="0" b="0" l="0"/>
            <wp:docPr id="1" name="Figure 3: Decoder Perplexity — RAG vs. Baseline" descr="Figure 3: Decoder Perplexity — RAG vs. Baseline" title="Figure 3: Decoder Perplexity — RAG vs.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2860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3: Decoder Perplexity — RAG vs. Baseline</w:t>
      </w:r>
    </w:p>
    <w:p>
      <w:pPr>
        <w:spacing w:after="120" w:before="80"/>
        <w:jc w:val="both"/>
      </w:pPr>
      <w:r>
        <w:rPr>
          <w:rFonts w:ascii="Arial" w:cs="Arial" w:eastAsia="Arial" w:hAnsi="Arial"/>
          <w:color w:val="333333"/>
          <w:sz w:val="22"/>
          <w:szCs w:val="22"/>
        </w:rPr>
        <w:t xml:space="preserve">In this experimental run, retrieval did not reduce perplexity. The baseline without retrieval achieved a lower perplexity of 74.95 compared to 260.14 with retrieval. This counter-intuitive result is likely attributable to context length mismatch (concatenated passages exceed the model's effective window), insufficient decoder training epochs, and the retrieval prefix disrupting the learned token distribution. Further tuning — including truncating retrieved context, increasing decoder epochs, and jointly fine-tuning on retrieval-augmented inputs — is recommended.</w:t>
      </w:r>
    </w:p>
    <w:p>
      <w:pPr>
        <w:spacing w:after="0" w:before="1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6. Generated Examples</w:t>
      </w:r>
    </w:p>
    <w:p>
      <w:pPr>
        <w:spacing w:after="120" w:before="80"/>
        <w:jc w:val="both"/>
      </w:pPr>
      <w:r>
        <w:rPr>
          <w:rFonts w:ascii="Arial" w:cs="Arial" w:eastAsia="Arial" w:hAnsi="Arial"/>
          <w:color w:val="333333"/>
          <w:sz w:val="22"/>
          <w:szCs w:val="22"/>
        </w:rPr>
        <w:t xml:space="preserve">Five qualitative examples are presented below, showing the review excerpt, predicted sentiment, predicted derived feature, and whether the generated explanation matches the reference explanation.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100"/>
        <w:gridCol w:w="1160"/>
        <w:gridCol w:w="1300"/>
      </w:tblGrid>
      <w:tr>
        <w:tc>
          <w:tcPr>
            <w:tcW w:type="dxa" w:w="6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Review Excerpt</w:t>
            </w:r>
          </w:p>
        </w:tc>
        <w:tc>
          <w:tcPr>
            <w:tcW w:type="dxa" w:w="11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Sentiment</w:t>
            </w:r>
          </w:p>
        </w:tc>
        <w:tc>
          <w:tcPr>
            <w:tcW w:type="dxa" w:w="11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Derived</w:t>
            </w:r>
          </w:p>
        </w:tc>
        <w:tc>
          <w:tcPr>
            <w:tcW w:type="dxa" w:w="13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Match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the linksys befsr41 etherfast 4 port cable dsl router is one of the best broadba...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F6B2B"/>
                <w:sz w:val="20"/>
                <w:szCs w:val="20"/>
              </w:rPr>
              <w:t xml:space="preserve">Positive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Detailed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Yes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i'm a long running virgin customer, but additionally i work as a developer in th...</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color w:val="1F6B2B"/>
                <w:sz w:val="20"/>
                <w:szCs w:val="20"/>
              </w:rPr>
              <w:t xml:space="preserve">Positive</w:t>
            </w:r>
          </w:p>
        </w:tc>
        <w:tc>
          <w:tcPr>
            <w:tcW w:type="dxa" w:w="1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Detailed</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nice device. fits in my pocket. charges my smartphones, powers my usb lights and...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B37400"/>
                <w:sz w:val="20"/>
                <w:szCs w:val="20"/>
              </w:rPr>
              <w:t xml:space="preserve">Neutral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Detailed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E65100"/>
                <w:sz w:val="20"/>
                <w:szCs w:val="20"/>
              </w:rPr>
              <w:t xml:space="preserve">Partial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i love this raidio, it worked so good, i had to come back to buy a second......</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color w:val="1F6B2B"/>
                <w:sz w:val="20"/>
                <w:szCs w:val="20"/>
              </w:rPr>
              <w:t xml:space="preserve">Positive</w:t>
            </w:r>
          </w:p>
        </w:tc>
        <w:tc>
          <w:tcPr>
            <w:tcW w:type="dxa" w:w="1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Detailed</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2E7D32"/>
                <w:sz w:val="20"/>
                <w:szCs w:val="20"/>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a nice camera. since the other reviews list all positives, let me list the downs...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B37400"/>
                <w:sz w:val="20"/>
                <w:szCs w:val="20"/>
              </w:rPr>
              <w:t xml:space="preserve">Neutral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Detailed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E65100"/>
                <w:sz w:val="20"/>
                <w:szCs w:val="20"/>
              </w:rPr>
              <w:t xml:space="preserve">Partial</w:t>
            </w:r>
          </w:p>
        </w:tc>
      </w:tr>
    </w:tbl>
    <w:p>
      <w:pPr>
        <w:spacing w:after="0" w:before="100"/>
      </w:pPr>
      <w:r>
        <w:t xml:space="preserve"/>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tblGrid>
      <w:tr>
        <w:tc>
          <w:tcPr>
            <w:tcW w:type="dxa" w:w="10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Legend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62828"/>
                <w:sz w:val="18"/>
                <w:szCs w:val="18"/>
              </w:rPr>
              <w:t xml:space="preserve">No</w:t>
            </w:r>
          </w:p>
        </w:tc>
      </w:tr>
    </w:tbl>
    <w:p>
      <w:pPr>
        <w:spacing w:after="0" w:before="1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7. Hyperparameter Tuning Notes</w:t>
      </w:r>
    </w:p>
    <w:p>
      <w:pPr>
        <w:spacing w:after="120" w:before="80"/>
        <w:jc w:val="both"/>
      </w:pPr>
      <w:r>
        <w:rPr>
          <w:rFonts w:ascii="Arial" w:cs="Arial" w:eastAsia="Arial" w:hAnsi="Arial"/>
          <w:color w:val="333333"/>
          <w:sz w:val="22"/>
          <w:szCs w:val="22"/>
        </w:rPr>
        <w:t xml:space="preserve">The current run used 2 encoder epochs and 2 decoder epochs on GPU. This is a minimal configuration. Proper hyperparameter tuning should explore the following dimensions: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351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w:t>
            </w:r>
          </w:p>
        </w:tc>
        <w:tc>
          <w:tcPr>
            <w:tcW w:type="dxa" w:w="351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Range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Learning Rate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Default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1e-4 to 1e-3 (log scale sweep)</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1F4E79"/>
                <w:sz w:val="20"/>
                <w:szCs w:val="20"/>
              </w:rPr>
              <w:t xml:space="preserve">Encoder Layers</w:t>
            </w:r>
          </w:p>
        </w:tc>
        <w:tc>
          <w:tcPr>
            <w:tcW w:type="dxa" w:w="351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Not specified</w:t>
            </w:r>
          </w:p>
        </w:tc>
        <w:tc>
          <w:tcPr>
            <w:tcW w:type="dxa" w:w="351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2, 4, 6 layers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Model Dimension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Not specified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128, 256, 512</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1F4E79"/>
                <w:sz w:val="20"/>
                <w:szCs w:val="20"/>
              </w:rPr>
              <w:t xml:space="preserve">Batch Size</w:t>
            </w:r>
          </w:p>
        </w:tc>
        <w:tc>
          <w:tcPr>
            <w:tcW w:type="dxa" w:w="351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Not specified</w:t>
            </w:r>
          </w:p>
        </w:tc>
        <w:tc>
          <w:tcPr>
            <w:tcW w:type="dxa" w:w="351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32, 64, 128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Sequence Length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Not specified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64, 128, 256 tokens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Arial" w:cs="Arial" w:eastAsia="Arial" w:hAnsi="Arial"/>
                <w:b/>
                <w:bCs/>
                <w:color w:val="1F4E79"/>
                <w:sz w:val="20"/>
                <w:szCs w:val="20"/>
              </w:rPr>
              <w:t xml:space="preserve">Epochs (Encoder)</w:t>
            </w:r>
          </w:p>
        </w:tc>
        <w:tc>
          <w:tcPr>
            <w:tcW w:type="dxa" w:w="351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2</w:t>
            </w:r>
          </w:p>
        </w:tc>
        <w:tc>
          <w:tcPr>
            <w:tcW w:type="dxa" w:w="351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5–10 with early stopping on val loss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Epochs (Decoder)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5–10 with perplexity tracking</w:t>
            </w:r>
          </w:p>
        </w:tc>
      </w:tr>
    </w:tbl>
    <w:p>
      <w:pPr>
        <w:spacing w:after="0" w:before="100"/>
      </w:pPr>
      <w:r>
        <w:t xml:space="preserve"/>
      </w:r>
    </w:p>
    <w:p>
      <w:pPr>
        <w:spacing w:after="120" w:before="80"/>
        <w:jc w:val="both"/>
      </w:pPr>
      <w:r>
        <w:rPr>
          <w:rFonts w:ascii="Arial" w:cs="Arial" w:eastAsia="Arial" w:hAnsi="Arial"/>
          <w:color w:val="333333"/>
          <w:sz w:val="22"/>
          <w:szCs w:val="22"/>
        </w:rPr>
        <w:t xml:space="preserve">For each configuration, validation loss and perplexity should be recorded at each epoch to produce a learning curve. These curves justify the final hyperparameter choices in the report. Early stopping on validation loss is recommended to prevent overfitting.</w:t>
      </w:r>
    </w:p>
    <w:p>
      <w:pPr>
        <w:spacing w:after="0" w:before="1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8. Conclusion</w:t>
      </w:r>
    </w:p>
    <w:p>
      <w:pPr>
        <w:spacing w:after="120" w:before="80"/>
        <w:jc w:val="both"/>
      </w:pPr>
      <w:r>
        <w:rPr>
          <w:rFonts w:ascii="Arial" w:cs="Arial" w:eastAsia="Arial" w:hAnsi="Arial"/>
          <w:color w:val="333333"/>
          <w:sz w:val="22"/>
          <w:szCs w:val="22"/>
        </w:rPr>
        <w:t xml:space="preserve">The three-stage pipeline — encoder-based multi-task learning, embedding retrieval, and RAG-style decoding — was successfully implemented and trained end-to-end on GPU. Key results are summarized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31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Metric</w:t>
            </w:r>
          </w:p>
        </w:tc>
        <w:tc>
          <w:tcPr>
            <w:tcW w:type="dxa" w:w="312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Part A — Encoder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Test Sentiment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82.04%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Part A — Encoder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Test Derived Accuracy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99.68%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Part B — Retrieval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Top-k Retrieved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k = 3</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Part C — Decoder (RAG)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Perplexity with Retrieval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260.14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Part C — Decoder (Baseline)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333333"/>
                <w:sz w:val="20"/>
                <w:szCs w:val="20"/>
              </w:rPr>
              <w:t xml:space="preserve">Perplexity without Retrieval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333333"/>
                <w:sz w:val="20"/>
                <w:szCs w:val="20"/>
              </w:rPr>
              <w:t xml:space="preserve">74.95</w:t>
            </w:r>
          </w:p>
        </w:tc>
      </w:tr>
    </w:tbl>
    <w:p>
      <w:pPr>
        <w:spacing w:after="0" w:before="100"/>
      </w:pPr>
      <w:r>
        <w:t xml:space="preserve"/>
      </w:r>
    </w:p>
    <w:p>
      <w:pPr>
        <w:spacing w:after="120" w:before="80"/>
        <w:jc w:val="both"/>
      </w:pPr>
      <w:r>
        <w:rPr>
          <w:rFonts w:ascii="Arial" w:cs="Arial" w:eastAsia="Arial" w:hAnsi="Arial"/>
          <w:color w:val="333333"/>
          <w:sz w:val="22"/>
          <w:szCs w:val="22"/>
        </w:rPr>
        <w:t xml:space="preserve">While the retrieval augmentation did not improve perplexity in this run, all pipeline components were validated to function correctly in isolation. The ablation result suggests that further investigation is warranted, particularly around context length management, decoder training duration, and the method of integrating retrieved passages. With appropriate tuning, the RAG pipeline has strong potential to improve both coherence and factual grounding in generated explanations.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spacing w:before="0"/>
      <w:jc w:val="center"/>
    </w:pPr>
    <w:r>
      <w:rPr>
        <w:rFonts w:ascii="Arial" w:cs="Arial" w:eastAsia="Arial" w:hAnsi="Arial"/>
        <w:color w:val="AAAAAA"/>
        <w:sz w:val="16"/>
        <w:szCs w:val="16"/>
      </w:rPr>
      <w:t xml:space="preserve">Natural Language Processing  •  FAST NUCES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0"/>
    </w:pPr>
    <w:r>
      <w:rPr>
        <w:rFonts w:ascii="Arial" w:cs="Arial" w:eastAsia="Arial" w:hAnsi="Arial"/>
        <w:color w:val="1F4E79"/>
        <w:sz w:val="18"/>
        <w:szCs w:val="18"/>
      </w:rPr>
      <w:t xml:space="preserve">NLP Assignment 3  |  Sameer Asif  |  22I-0493</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59e3ab01f3b9042ee7eb44d61c0fd94d73bbe4.png"/><Relationship Id="rId10" Type="http://schemas.openxmlformats.org/officeDocument/2006/relationships/image" Target="media/a184f267c3892571a64920120da4ffa6e0b40f79.png"/><Relationship Id="rId11" Type="http://schemas.openxmlformats.org/officeDocument/2006/relationships/image" Target="media/5ed3b513e98f1fe117911feca3af003ccf5e8cd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2026-04-29T02:22:40.344Z</dcterms:created>
  <dcterms:modified xsi:type="dcterms:W3CDTF">2026-04-29T02:22:40.345Z</dcterms:modified>
</cp:coreProperties>
</file>

<file path=docProps/custom.xml><?xml version="1.0" encoding="utf-8"?>
<Properties xmlns="http://schemas.openxmlformats.org/officeDocument/2006/custom-properties" xmlns:vt="http://schemas.openxmlformats.org/officeDocument/2006/docPropsVTypes"/>
</file>