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E2F8" w14:textId="4606F7A9" w:rsidR="00A6440B" w:rsidRPr="00A6440B" w:rsidRDefault="00A6440B" w:rsidP="00A6440B">
      <w:pPr>
        <w:spacing w:before="240" w:after="2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__________________________________________________________________________________________</w:t>
      </w:r>
    </w:p>
    <w:p w14:paraId="77C71F64" w14:textId="621D67F4" w:rsidR="00FD5B26" w:rsidRPr="00A6440B" w:rsidRDefault="004E3F00" w:rsidP="00564ECE">
      <w:pPr>
        <w:spacing w:before="240" w:after="240" w:line="360" w:lineRule="auto"/>
        <w:jc w:val="center"/>
        <w:rPr>
          <w:rFonts w:ascii="Times New Roman" w:eastAsia="Times New Roman" w:hAnsi="Times New Roman" w:cs="Times New Roman"/>
          <w:b/>
          <w:sz w:val="30"/>
          <w:szCs w:val="30"/>
        </w:rPr>
      </w:pPr>
      <w:r w:rsidRPr="00A6440B">
        <w:rPr>
          <w:rFonts w:ascii="Times New Roman" w:eastAsia="Times New Roman" w:hAnsi="Times New Roman" w:cs="Times New Roman"/>
          <w:b/>
          <w:sz w:val="30"/>
          <w:szCs w:val="30"/>
        </w:rPr>
        <w:t>Analysing the Impact of Online Gambling Platforms on the Socio-Economic and Psychological Well-Being of Young Adults</w:t>
      </w:r>
    </w:p>
    <w:p w14:paraId="07383B90" w14:textId="1DC6C548" w:rsidR="00564ECE" w:rsidRPr="00564ECE" w:rsidRDefault="00564ECE" w:rsidP="00564ECE">
      <w:pPr>
        <w:spacing w:after="0" w:line="360" w:lineRule="auto"/>
        <w:jc w:val="center"/>
        <w:rPr>
          <w:rFonts w:ascii="Times New Roman" w:eastAsia="Times New Roman" w:hAnsi="Times New Roman" w:cs="Times New Roman"/>
          <w:bCs/>
        </w:rPr>
      </w:pPr>
      <w:proofErr w:type="spellStart"/>
      <w:r w:rsidRPr="00564ECE">
        <w:rPr>
          <w:rFonts w:ascii="Times New Roman" w:eastAsia="Times New Roman" w:hAnsi="Times New Roman" w:cs="Times New Roman"/>
          <w:bCs/>
        </w:rPr>
        <w:t>Nilkamal</w:t>
      </w:r>
      <w:proofErr w:type="spellEnd"/>
      <w:r w:rsidRPr="00564ECE">
        <w:rPr>
          <w:rFonts w:ascii="Times New Roman" w:eastAsia="Times New Roman" w:hAnsi="Times New Roman" w:cs="Times New Roman"/>
          <w:bCs/>
        </w:rPr>
        <w:t xml:space="preserve"> School of Mathematics, Applied Statistics &amp; Analytics – NMIMS </w:t>
      </w:r>
      <w:r w:rsidR="005E6BFE">
        <w:rPr>
          <w:rFonts w:ascii="Times New Roman" w:eastAsia="Times New Roman" w:hAnsi="Times New Roman" w:cs="Times New Roman"/>
          <w:bCs/>
        </w:rPr>
        <w:t>(</w:t>
      </w:r>
      <w:r w:rsidRPr="00564ECE">
        <w:rPr>
          <w:rFonts w:ascii="Times New Roman" w:eastAsia="Times New Roman" w:hAnsi="Times New Roman" w:cs="Times New Roman"/>
          <w:bCs/>
        </w:rPr>
        <w:t>Mumbai</w:t>
      </w:r>
      <w:r w:rsidR="005E6BFE">
        <w:rPr>
          <w:rFonts w:ascii="Times New Roman" w:eastAsia="Times New Roman" w:hAnsi="Times New Roman" w:cs="Times New Roman"/>
          <w:bCs/>
        </w:rPr>
        <w:t>)</w:t>
      </w:r>
    </w:p>
    <w:p w14:paraId="06790A0B" w14:textId="000A80BF" w:rsidR="00564ECE" w:rsidRDefault="00564ECE" w:rsidP="00564ECE">
      <w:pPr>
        <w:spacing w:after="0" w:line="360" w:lineRule="auto"/>
        <w:jc w:val="center"/>
        <w:rPr>
          <w:rFonts w:ascii="Times New Roman" w:eastAsia="Times New Roman" w:hAnsi="Times New Roman" w:cs="Times New Roman"/>
          <w:bCs/>
        </w:rPr>
      </w:pPr>
      <w:r w:rsidRPr="00564ECE">
        <w:rPr>
          <w:rFonts w:ascii="Times New Roman" w:eastAsia="Times New Roman" w:hAnsi="Times New Roman" w:cs="Times New Roman"/>
          <w:bCs/>
        </w:rPr>
        <w:t>Sameer Bhavnani</w:t>
      </w:r>
      <w:proofErr w:type="gramStart"/>
      <w:r w:rsidR="005E6BFE" w:rsidRPr="005E6BFE">
        <w:rPr>
          <w:rFonts w:ascii="Times New Roman" w:eastAsia="Times New Roman" w:hAnsi="Times New Roman" w:cs="Times New Roman"/>
          <w:bCs/>
          <w:vertAlign w:val="superscript"/>
        </w:rPr>
        <w:t>1</w:t>
      </w:r>
      <w:r w:rsidR="00EC3D14">
        <w:rPr>
          <w:rFonts w:ascii="Times New Roman" w:eastAsia="Times New Roman" w:hAnsi="Times New Roman" w:cs="Times New Roman"/>
          <w:bCs/>
          <w:vertAlign w:val="superscript"/>
        </w:rPr>
        <w:t xml:space="preserve"> </w:t>
      </w:r>
      <w:r w:rsidRPr="00564ECE">
        <w:rPr>
          <w:rFonts w:ascii="Times New Roman" w:eastAsia="Times New Roman" w:hAnsi="Times New Roman" w:cs="Times New Roman"/>
          <w:bCs/>
        </w:rPr>
        <w:t>,</w:t>
      </w:r>
      <w:proofErr w:type="gramEnd"/>
      <w:r w:rsidRPr="00564ECE">
        <w:rPr>
          <w:rFonts w:ascii="Times New Roman" w:eastAsia="Times New Roman" w:hAnsi="Times New Roman" w:cs="Times New Roman"/>
          <w:bCs/>
        </w:rPr>
        <w:t xml:space="preserve"> Khushi Sahni</w:t>
      </w:r>
      <w:r w:rsidR="005E6BFE" w:rsidRPr="005E6BFE">
        <w:rPr>
          <w:rFonts w:ascii="Times New Roman" w:eastAsia="Times New Roman" w:hAnsi="Times New Roman" w:cs="Times New Roman"/>
          <w:bCs/>
          <w:vertAlign w:val="superscript"/>
        </w:rPr>
        <w:t>1</w:t>
      </w:r>
      <w:r w:rsidR="00EC3D14">
        <w:rPr>
          <w:rFonts w:ascii="Times New Roman" w:eastAsia="Times New Roman" w:hAnsi="Times New Roman" w:cs="Times New Roman"/>
          <w:bCs/>
          <w:vertAlign w:val="superscript"/>
        </w:rPr>
        <w:t xml:space="preserve"> </w:t>
      </w:r>
      <w:r w:rsidRPr="00564ECE">
        <w:rPr>
          <w:rFonts w:ascii="Times New Roman" w:eastAsia="Times New Roman" w:hAnsi="Times New Roman" w:cs="Times New Roman"/>
          <w:bCs/>
        </w:rPr>
        <w:t xml:space="preserve">, Dr. </w:t>
      </w:r>
      <w:proofErr w:type="spellStart"/>
      <w:r w:rsidRPr="00564ECE">
        <w:rPr>
          <w:rFonts w:ascii="Times New Roman" w:eastAsia="Times New Roman" w:hAnsi="Times New Roman" w:cs="Times New Roman"/>
          <w:bCs/>
        </w:rPr>
        <w:t>Rushina</w:t>
      </w:r>
      <w:proofErr w:type="spellEnd"/>
      <w:r w:rsidRPr="00564ECE">
        <w:rPr>
          <w:rFonts w:ascii="Times New Roman" w:eastAsia="Times New Roman" w:hAnsi="Times New Roman" w:cs="Times New Roman"/>
          <w:bCs/>
        </w:rPr>
        <w:t xml:space="preserve"> Singhi</w:t>
      </w:r>
      <w:r w:rsidR="005E6BFE" w:rsidRPr="005E6BFE">
        <w:rPr>
          <w:rFonts w:ascii="Times New Roman" w:eastAsia="Times New Roman" w:hAnsi="Times New Roman" w:cs="Times New Roman"/>
          <w:bCs/>
          <w:vertAlign w:val="superscript"/>
        </w:rPr>
        <w:t>1</w:t>
      </w:r>
    </w:p>
    <w:p w14:paraId="0B3E79EE" w14:textId="6007E73E" w:rsidR="00A6440B" w:rsidRPr="00564ECE" w:rsidRDefault="00A6440B" w:rsidP="00564ECE">
      <w:pPr>
        <w:spacing w:after="0" w:line="360" w:lineRule="auto"/>
        <w:jc w:val="center"/>
        <w:rPr>
          <w:rFonts w:ascii="Times New Roman" w:eastAsia="Times New Roman" w:hAnsi="Times New Roman" w:cs="Times New Roman"/>
          <w:bCs/>
        </w:rPr>
      </w:pPr>
      <w:r>
        <w:rPr>
          <w:rFonts w:ascii="Times New Roman" w:eastAsia="Times New Roman" w:hAnsi="Times New Roman" w:cs="Times New Roman"/>
          <w:bCs/>
        </w:rPr>
        <w:t>___________________________________________________________________________</w:t>
      </w:r>
    </w:p>
    <w:p w14:paraId="0C2BDE41" w14:textId="77777777" w:rsidR="00564ECE" w:rsidRPr="00564ECE" w:rsidRDefault="00564ECE" w:rsidP="00564ECE">
      <w:pPr>
        <w:spacing w:after="0" w:line="360" w:lineRule="auto"/>
        <w:jc w:val="center"/>
        <w:rPr>
          <w:rFonts w:ascii="Times New Roman" w:eastAsia="Times New Roman" w:hAnsi="Times New Roman" w:cs="Times New Roman"/>
          <w:bCs/>
          <w:i/>
          <w:iCs/>
        </w:rPr>
      </w:pPr>
    </w:p>
    <w:p w14:paraId="27583166" w14:textId="77777777" w:rsidR="00A6440B" w:rsidRPr="00536834" w:rsidRDefault="00A6440B" w:rsidP="00536834">
      <w:pPr>
        <w:pStyle w:val="Title"/>
        <w:spacing w:line="360" w:lineRule="auto"/>
        <w:rPr>
          <w:rFonts w:ascii="Times New Roman" w:eastAsia="Times New Roman" w:hAnsi="Times New Roman" w:cs="Times New Roman"/>
          <w:b/>
          <w:bCs/>
          <w:sz w:val="24"/>
          <w:szCs w:val="24"/>
          <w:u w:val="single"/>
        </w:rPr>
      </w:pPr>
      <w:r w:rsidRPr="00536834">
        <w:rPr>
          <w:rFonts w:ascii="Times New Roman" w:eastAsia="Times New Roman" w:hAnsi="Times New Roman" w:cs="Times New Roman"/>
          <w:b/>
          <w:bCs/>
          <w:sz w:val="24"/>
          <w:szCs w:val="24"/>
          <w:u w:val="single"/>
        </w:rPr>
        <w:t>ABSTRACT:</w:t>
      </w:r>
    </w:p>
    <w:p w14:paraId="020F7BB2" w14:textId="3B9E9507" w:rsidR="003A618A" w:rsidRPr="00536834" w:rsidRDefault="003A618A" w:rsidP="00536834">
      <w:pPr>
        <w:spacing w:line="360" w:lineRule="auto"/>
        <w:rPr>
          <w:rFonts w:ascii="Times New Roman" w:hAnsi="Times New Roman" w:cs="Times New Roman"/>
        </w:rPr>
      </w:pPr>
      <w:r w:rsidRPr="00536834">
        <w:rPr>
          <w:rFonts w:ascii="Times New Roman" w:hAnsi="Times New Roman" w:cs="Times New Roman"/>
        </w:rPr>
        <w:t xml:space="preserve">In this study, we </w:t>
      </w:r>
      <w:proofErr w:type="spellStart"/>
      <w:r w:rsidRPr="00536834">
        <w:rPr>
          <w:rFonts w:ascii="Times New Roman" w:hAnsi="Times New Roman" w:cs="Times New Roman"/>
        </w:rPr>
        <w:t>analyze</w:t>
      </w:r>
      <w:proofErr w:type="spellEnd"/>
      <w:r w:rsidRPr="00536834">
        <w:rPr>
          <w:rFonts w:ascii="Times New Roman" w:hAnsi="Times New Roman" w:cs="Times New Roman"/>
        </w:rPr>
        <w:t xml:space="preserve"> the </w:t>
      </w:r>
      <w:proofErr w:type="gramStart"/>
      <w:r w:rsidRPr="00536834">
        <w:rPr>
          <w:rFonts w:ascii="Times New Roman" w:hAnsi="Times New Roman" w:cs="Times New Roman"/>
        </w:rPr>
        <w:t>myriad</w:t>
      </w:r>
      <w:proofErr w:type="gramEnd"/>
      <w:r w:rsidRPr="00536834">
        <w:rPr>
          <w:rFonts w:ascii="Times New Roman" w:hAnsi="Times New Roman" w:cs="Times New Roman"/>
        </w:rPr>
        <w:t xml:space="preserve"> of effects that web based gambling stages have on the socioeconomic and mental prosperity of young grown-ups. Online gambling has become ubiquitous since it is available to everyone, with the rapid digitalization of gambling through Dream11, Bet365 and even Stake, young people are attracted heavily into gambling. We </w:t>
      </w:r>
      <w:proofErr w:type="spellStart"/>
      <w:r w:rsidRPr="00536834">
        <w:rPr>
          <w:rFonts w:ascii="Times New Roman" w:hAnsi="Times New Roman" w:cs="Times New Roman"/>
        </w:rPr>
        <w:t>analyze</w:t>
      </w:r>
      <w:proofErr w:type="spellEnd"/>
      <w:r w:rsidRPr="00536834">
        <w:rPr>
          <w:rFonts w:ascii="Times New Roman" w:hAnsi="Times New Roman" w:cs="Times New Roman"/>
        </w:rPr>
        <w:t xml:space="preserve"> the </w:t>
      </w:r>
      <w:proofErr w:type="spellStart"/>
      <w:r w:rsidRPr="00536834">
        <w:rPr>
          <w:rFonts w:ascii="Times New Roman" w:hAnsi="Times New Roman" w:cs="Times New Roman"/>
        </w:rPr>
        <w:t>behavior</w:t>
      </w:r>
      <w:proofErr w:type="spellEnd"/>
      <w:r w:rsidRPr="00536834">
        <w:rPr>
          <w:rFonts w:ascii="Times New Roman" w:hAnsi="Times New Roman" w:cs="Times New Roman"/>
        </w:rPr>
        <w:t xml:space="preserve"> patterns, financial strain and mental health outcomes resultant of online gambling based on the primary survey data obtained from the 252 respondents between the age of </w:t>
      </w:r>
      <w:proofErr w:type="gramStart"/>
      <w:r w:rsidRPr="00536834">
        <w:rPr>
          <w:rFonts w:ascii="Times New Roman" w:hAnsi="Times New Roman" w:cs="Times New Roman"/>
        </w:rPr>
        <w:t>18 and 26 years</w:t>
      </w:r>
      <w:proofErr w:type="gramEnd"/>
      <w:r w:rsidRPr="00536834">
        <w:rPr>
          <w:rFonts w:ascii="Times New Roman" w:hAnsi="Times New Roman" w:cs="Times New Roman"/>
        </w:rPr>
        <w:t xml:space="preserve"> w.r.t to online gambling. </w:t>
      </w:r>
      <w:proofErr w:type="gramStart"/>
      <w:r w:rsidRPr="00536834">
        <w:rPr>
          <w:rFonts w:ascii="Times New Roman" w:hAnsi="Times New Roman" w:cs="Times New Roman"/>
        </w:rPr>
        <w:t>In order to</w:t>
      </w:r>
      <w:proofErr w:type="gramEnd"/>
      <w:r w:rsidRPr="00536834">
        <w:rPr>
          <w:rFonts w:ascii="Times New Roman" w:hAnsi="Times New Roman" w:cs="Times New Roman"/>
        </w:rPr>
        <w:t xml:space="preserve"> segment respondents into four unique profiles of actors, a cluster analysis was carried out on respondents to identify four distinct profiles: High Risk Gamblers, Occasional Gamblers, Older Controlled Gamblers, Financially Affected Gamblers. These clusters had very different gambling frequency, urge intensity, emotional distress, financial loss, and lifestyle disruption. Specifically, groups within the High Risk and Financially Affected categories experienced socio-economic consequences as marginal loss of savings, selling of belongings, disruptions to work or study, and higher anxiety and guilt. However, Occasional and Controlled Gamblers showed little negative outcomes. What the findings make clear is that online gambling is an issue that requires increasing awareness of, support for, regulation of and investment in mental health. Importantly, this research provides useful insights into </w:t>
      </w:r>
      <w:r w:rsidRPr="00536834">
        <w:rPr>
          <w:rFonts w:ascii="Times New Roman" w:hAnsi="Times New Roman" w:cs="Times New Roman"/>
        </w:rPr>
        <w:t>behavioural</w:t>
      </w:r>
      <w:r w:rsidRPr="00536834">
        <w:rPr>
          <w:rFonts w:ascii="Times New Roman" w:hAnsi="Times New Roman" w:cs="Times New Roman"/>
        </w:rPr>
        <w:t xml:space="preserve"> addiction, youth issue, and digital financial risk convergence in contemporary society.</w:t>
      </w:r>
    </w:p>
    <w:p w14:paraId="2D0C41EE" w14:textId="77777777" w:rsidR="00FD5B26" w:rsidRPr="00536834" w:rsidRDefault="00FD5B26" w:rsidP="00536834">
      <w:pPr>
        <w:spacing w:after="0" w:line="360" w:lineRule="auto"/>
        <w:rPr>
          <w:rFonts w:ascii="Times New Roman" w:eastAsia="Times New Roman" w:hAnsi="Times New Roman" w:cs="Times New Roman"/>
          <w:b/>
          <w:u w:val="single"/>
        </w:rPr>
      </w:pPr>
    </w:p>
    <w:p w14:paraId="5DF529A2" w14:textId="03C9AC39" w:rsidR="00FD5B26" w:rsidRPr="00536834" w:rsidRDefault="00000000" w:rsidP="00536834">
      <w:pPr>
        <w:spacing w:after="0" w:line="360" w:lineRule="auto"/>
        <w:rPr>
          <w:rFonts w:ascii="Times New Roman" w:eastAsia="Times New Roman" w:hAnsi="Times New Roman" w:cs="Times New Roman"/>
          <w:b/>
          <w:u w:val="single"/>
        </w:rPr>
      </w:pPr>
      <w:r w:rsidRPr="00536834">
        <w:rPr>
          <w:rFonts w:ascii="Times New Roman" w:eastAsia="Times New Roman" w:hAnsi="Times New Roman" w:cs="Times New Roman"/>
          <w:b/>
          <w:u w:val="single"/>
        </w:rPr>
        <w:t>KEYWORDS</w:t>
      </w:r>
      <w:r w:rsidR="00A6440B" w:rsidRPr="00536834">
        <w:rPr>
          <w:rFonts w:ascii="Times New Roman" w:eastAsia="Times New Roman" w:hAnsi="Times New Roman" w:cs="Times New Roman"/>
          <w:b/>
          <w:u w:val="single"/>
        </w:rPr>
        <w:t xml:space="preserve">: </w:t>
      </w:r>
      <w:r w:rsidRPr="00536834">
        <w:rPr>
          <w:rFonts w:ascii="Times New Roman" w:eastAsia="Times New Roman" w:hAnsi="Times New Roman" w:cs="Times New Roman"/>
        </w:rPr>
        <w:t xml:space="preserve">Online </w:t>
      </w:r>
      <w:r w:rsidR="00564ECE" w:rsidRPr="00536834">
        <w:rPr>
          <w:rFonts w:ascii="Times New Roman" w:eastAsia="Times New Roman" w:hAnsi="Times New Roman" w:cs="Times New Roman"/>
        </w:rPr>
        <w:t>G</w:t>
      </w:r>
      <w:r w:rsidRPr="00536834">
        <w:rPr>
          <w:rFonts w:ascii="Times New Roman" w:eastAsia="Times New Roman" w:hAnsi="Times New Roman" w:cs="Times New Roman"/>
        </w:rPr>
        <w:t xml:space="preserve">ambling, </w:t>
      </w:r>
      <w:r w:rsidR="00A6440B" w:rsidRPr="00536834">
        <w:rPr>
          <w:rFonts w:ascii="Times New Roman" w:eastAsia="Times New Roman" w:hAnsi="Times New Roman" w:cs="Times New Roman"/>
        </w:rPr>
        <w:t>Impact</w:t>
      </w:r>
      <w:r w:rsidRPr="00536834">
        <w:rPr>
          <w:rFonts w:ascii="Times New Roman" w:eastAsia="Times New Roman" w:hAnsi="Times New Roman" w:cs="Times New Roman"/>
        </w:rPr>
        <w:t xml:space="preserve">, </w:t>
      </w:r>
      <w:r w:rsidR="00564ECE" w:rsidRPr="00536834">
        <w:rPr>
          <w:rFonts w:ascii="Times New Roman" w:eastAsia="Times New Roman" w:hAnsi="Times New Roman" w:cs="Times New Roman"/>
        </w:rPr>
        <w:t>C</w:t>
      </w:r>
      <w:r w:rsidRPr="00536834">
        <w:rPr>
          <w:rFonts w:ascii="Times New Roman" w:eastAsia="Times New Roman" w:hAnsi="Times New Roman" w:cs="Times New Roman"/>
        </w:rPr>
        <w:t>luster</w:t>
      </w:r>
      <w:r w:rsidR="004E3F00" w:rsidRPr="00536834">
        <w:rPr>
          <w:rFonts w:ascii="Times New Roman" w:eastAsia="Times New Roman" w:hAnsi="Times New Roman" w:cs="Times New Roman"/>
        </w:rPr>
        <w:t xml:space="preserve"> </w:t>
      </w:r>
      <w:r w:rsidR="00564ECE" w:rsidRPr="00536834">
        <w:rPr>
          <w:rFonts w:ascii="Times New Roman" w:eastAsia="Times New Roman" w:hAnsi="Times New Roman" w:cs="Times New Roman"/>
        </w:rPr>
        <w:t>S</w:t>
      </w:r>
      <w:r w:rsidR="004E3F00" w:rsidRPr="00536834">
        <w:rPr>
          <w:rFonts w:ascii="Times New Roman" w:eastAsia="Times New Roman" w:hAnsi="Times New Roman" w:cs="Times New Roman"/>
        </w:rPr>
        <w:t>ampling</w:t>
      </w:r>
      <w:r w:rsidRPr="00536834">
        <w:rPr>
          <w:rFonts w:ascii="Times New Roman" w:eastAsia="Times New Roman" w:hAnsi="Times New Roman" w:cs="Times New Roman"/>
        </w:rPr>
        <w:t xml:space="preserve">, </w:t>
      </w:r>
      <w:r w:rsidR="00564ECE" w:rsidRPr="00536834">
        <w:rPr>
          <w:rFonts w:ascii="Times New Roman" w:eastAsia="Times New Roman" w:hAnsi="Times New Roman" w:cs="Times New Roman"/>
        </w:rPr>
        <w:t>Y</w:t>
      </w:r>
      <w:r w:rsidRPr="00536834">
        <w:rPr>
          <w:rFonts w:ascii="Times New Roman" w:eastAsia="Times New Roman" w:hAnsi="Times New Roman" w:cs="Times New Roman"/>
        </w:rPr>
        <w:t xml:space="preserve">oung </w:t>
      </w:r>
      <w:r w:rsidR="00564ECE" w:rsidRPr="00536834">
        <w:rPr>
          <w:rFonts w:ascii="Times New Roman" w:eastAsia="Times New Roman" w:hAnsi="Times New Roman" w:cs="Times New Roman"/>
        </w:rPr>
        <w:t>A</w:t>
      </w:r>
      <w:r w:rsidRPr="00536834">
        <w:rPr>
          <w:rFonts w:ascii="Times New Roman" w:eastAsia="Times New Roman" w:hAnsi="Times New Roman" w:cs="Times New Roman"/>
        </w:rPr>
        <w:t>dults</w:t>
      </w:r>
      <w:r w:rsidR="00A6440B" w:rsidRPr="00536834">
        <w:rPr>
          <w:rFonts w:ascii="Times New Roman" w:eastAsia="Times New Roman" w:hAnsi="Times New Roman" w:cs="Times New Roman"/>
        </w:rPr>
        <w:t>, Chi- Square, ANOVA</w:t>
      </w:r>
    </w:p>
    <w:p w14:paraId="54409C74" w14:textId="77777777" w:rsidR="004E3F00" w:rsidRPr="00536834" w:rsidRDefault="004E3F00" w:rsidP="00536834">
      <w:pPr>
        <w:pStyle w:val="Title"/>
        <w:spacing w:line="360" w:lineRule="auto"/>
        <w:rPr>
          <w:rFonts w:ascii="Times New Roman" w:eastAsia="Times New Roman" w:hAnsi="Times New Roman" w:cs="Times New Roman"/>
          <w:b/>
          <w:bCs/>
          <w:sz w:val="24"/>
          <w:szCs w:val="24"/>
          <w:u w:val="single"/>
        </w:rPr>
      </w:pPr>
    </w:p>
    <w:p w14:paraId="0A3B4154" w14:textId="77777777" w:rsidR="004E3F00" w:rsidRPr="00536834" w:rsidRDefault="004E3F00" w:rsidP="00536834">
      <w:pPr>
        <w:spacing w:line="360" w:lineRule="auto"/>
        <w:rPr>
          <w:rFonts w:ascii="Times New Roman" w:hAnsi="Times New Roman" w:cs="Times New Roman"/>
        </w:rPr>
      </w:pPr>
    </w:p>
    <w:p w14:paraId="6C642D98" w14:textId="55E0278B" w:rsidR="0099222F" w:rsidRPr="00536834" w:rsidRDefault="004E3F00" w:rsidP="00536834">
      <w:pPr>
        <w:pStyle w:val="Title"/>
        <w:spacing w:line="360" w:lineRule="auto"/>
        <w:rPr>
          <w:rFonts w:ascii="Times New Roman" w:eastAsia="Times New Roman" w:hAnsi="Times New Roman" w:cs="Times New Roman"/>
          <w:sz w:val="24"/>
          <w:szCs w:val="24"/>
        </w:rPr>
      </w:pPr>
      <w:r w:rsidRPr="00536834">
        <w:rPr>
          <w:rFonts w:ascii="Times New Roman" w:eastAsia="Times New Roman" w:hAnsi="Times New Roman" w:cs="Times New Roman"/>
          <w:b/>
          <w:sz w:val="24"/>
          <w:szCs w:val="24"/>
          <w:u w:val="single"/>
        </w:rPr>
        <w:lastRenderedPageBreak/>
        <w:t>1. I</w:t>
      </w:r>
      <w:r w:rsidR="005E6BFE" w:rsidRPr="00536834">
        <w:rPr>
          <w:rFonts w:ascii="Times New Roman" w:eastAsia="Times New Roman" w:hAnsi="Times New Roman" w:cs="Times New Roman"/>
          <w:b/>
          <w:sz w:val="24"/>
          <w:szCs w:val="24"/>
          <w:u w:val="single"/>
        </w:rPr>
        <w:t>NTRODUCTION</w:t>
      </w:r>
      <w:r w:rsidRPr="00536834">
        <w:rPr>
          <w:rFonts w:ascii="Times New Roman" w:eastAsia="Times New Roman" w:hAnsi="Times New Roman" w:cs="Times New Roman"/>
          <w:sz w:val="24"/>
          <w:szCs w:val="24"/>
        </w:rPr>
        <w:t xml:space="preserve">: </w:t>
      </w:r>
    </w:p>
    <w:p w14:paraId="27156F6E" w14:textId="77777777" w:rsidR="003A618A" w:rsidRPr="003A618A" w:rsidRDefault="003A618A" w:rsidP="00536834">
      <w:pPr>
        <w:spacing w:line="360" w:lineRule="auto"/>
        <w:jc w:val="both"/>
        <w:rPr>
          <w:rFonts w:ascii="Times New Roman" w:hAnsi="Times New Roman" w:cs="Times New Roman"/>
        </w:rPr>
      </w:pPr>
      <w:r w:rsidRPr="003A618A">
        <w:rPr>
          <w:rFonts w:ascii="Times New Roman" w:hAnsi="Times New Roman" w:cs="Times New Roman"/>
        </w:rPr>
        <w:t xml:space="preserve">An increase of the online gambling industry has created a completely different approach to the gaming and betting feed due to its availability and usefulness.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{"citationID":"nFNEUaVs","properties":{"formattedCitation":"(Antonio et al., 2025)","plainCitation":"(Antonio et al., 2025)","noteIndex":0},"citationItems":[{"id":203,"uris":["http://zotero.org/users/local/OGJIxhLc/items/ZMLNYJLA"],"itemData":{"id":203,"type":"article-journal","abstract":"The rapid ascent of online casino gaming has become a game changer for the gambling industry in the Philippines. This trend poses challenges for traditional casinos in the Philippines, requiring adaptation to attract younger players for business sustainability. Moreover, there is a lack of studies when it comes to diversity in culture, initiation and maintenance, as well as analysis on individual stimulation and triggers for gambling, which this study aimed to fill. This study analyzed key factors influencing online gambling intentions among Generation Z and Millennials using higher-order Structural Equation Modeling with the extended higher-order reflective construct of the Unified Theory of Acceptance and Use of Technology 3 (UTAUT3) framework to effectively explained online gambling behavior. Testing the causal relationship among 408 valid responses using the SMART-PLS v4 software, it was seen that performance and effort expectancy, habit, social influence, hedonic motivation, personal innovativeness, price value, and facilitating conditions showed significant relationships with online gambling behavioral intentions. It has been presented that control have no significant relationship on online gambling behavioral intention of consumers, revealing that respondents may have no self or financial control while using online gambling platforms. Moreover, curiosity alone is not a strong motivator for consumers to participate in online gambling activities. Based on the results, the respondents do not perceive curiosity as a primary driver for their intent to engage in online gambling activities. This study provides valuable theoretical insights into the motivations and perceptions driving online gambling among younger generations, offering a comprehensive understanding of the market dynamics and potential policy implications for regulating online gambling activities. Moreover, practical implications were created for developers to clearly depict and align behavioral intention for online gambling.","container-title":"Entertainment Computing","DOI":"10.1016/j.entcom.2024.100918","ISSN":"18759521","journalAbbreviation":"Entertainment Computing","language":"en","page":"100918","source":"DOI.org (Crossref)","title":"The perceived risk and return, curiosity, and control analysis of online gambling intention among Gen Z and Millennials using extended UTAUT3","volume":"52","author":[{"family":"Antonio","given":"Jerald C."},{"family":"Ong","given":"Ardvin Kester S."},{"family":"Diaz","given":"John Francis T."},{"family":"Cahigas","given":"Maela Madel L."},{"family":"Gumasing","given":"Ma. Janice J."}],"issued":{"date-parts":[["2025",1]]}}}],"schema":"https://github.com/citation-style-language/schema/raw/master/csl-citation.json"}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(Antonio et al., 2025)</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It has attracted tech savvy young men and women, because of the range of options and time saving qualities offered through digital platforms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{"citationID":"akweYgRy","properties":{"formattedCitation":"(Potenza et al., 2025)","plainCitation":"(Potenza et al., 2025)","noteIndex":0},"citationItems":[{"id":160,"uris":["http://zotero.org/users/local/OGJIxhLc/items/U5RF7YBK"],"itemData":{"id":160,"type":"chapter","abstract":"Abstract\n            This chapter summarizes the current literature on gambling and gambling disorders among youth. The emergence of online gambling, together with the legalization, social acceptance, and appearance of new forms of gambling or gambling-related factors, such as internet gambling, daily fantasy sports, and sports betting or loot boxes, may raise particular concerns for vulnerable populations. Adolescents are at a developmental stage characterized by increased autonomy, identity formation, social exploration, and brain development and often have high levels of sensation-seeking and impulsivity. As such, addictive or problematic engagement in gambling may have significant impacts on developmental trajectories in youth. This manuscript summarizes current knowledge, includes considerations for future research to help address current limitations in knowledge, and provides recommendations focused on the prevention of youth gambling behaviors and gambling problems in the current and evolving digital environment.","container-title":"Handbook of Children and Screens","event-place":"Cham","ISBN":"978-3-031-69361-8","language":"en","note":"DOI: 10.1007/978-3-031-69362-5_81","page":"597-603","publisher":"Springer Nature Switzerland","publisher-place":"Cham","source":"DOI.org (Crossref)","title":"Online Gambling in Youth","URL":"https://link.springer.com/10.1007/978-3-031-69362-5_81","editor":[{"family":"Christakis","given":"Dimitri A."},{"family":"Hale","given":"Lauren"}],"author":[{"family":"Potenza","given":"Marc N."},{"family":"Mestre-Bach","given":"Gemma"},{"family":"Demetrovics","given":"Zsolt"},{"family":"Derevensky","given":"Jeffrey"},{"family":"Fernandez-Aranda","given":"Fernando"},{"family":"Gainsbury","given":"Sally M."},{"family":"Jiménez-Murcia","given":"Susana"},{"family":"Kraus","given":"Shane W."}],"accessed":{"date-parts":[["2025",3,10]]},"issued":{"date-parts":[["2025"]]}}}],"schema":"https://github.com/citation-style-language/schema/raw/master/csl-citation.json"}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(Potenza et al., 2025)</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Yet such transformation has also sparked increasingly concerns over its negative socio-economic and psychiatric impact, specifically upon young adults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{"citationID":"nQqlzamC","properties":{"formattedCitation":"(Fahrudin et al., 2024)","plainCitation":"(Fahrudin et al., 2024)","noteIndex":0},"citationItems":[{"id":199,"uris":["http://zotero.org/users/local/OGJIxhLc/items/7DM5NYMG"],"itemData":{"id":199,"type":"article-journal","abstract":"The rise of online gambling in Indonesia has emerged as a significant public health concern, driven by various psychological, social, and regulatory factors. Despite stringent laws prohibiting gambling, the accessibility and appeal of online platforms have led to increased participation, particularly among young adults. This phenomenon is characterized by a paradoxical sense of control that users feel while gambling online, which can lead to compulsive behaviors and addiction. The structural characteristics of online gambling platforms, including fast-paced games and easy accessibility, further exacerbate this issue. Social influences, particularly through social media and peer interactions, normalize gambling behaviors, making them more appealing to adolescents. Mental health issues, such as anxiety and depression, are closely linked to online gambling addiction, as individuals may use gambling as a coping mechanism. The COVID-19 pandemic has intensified these challenges, with many individuals turning to online gambling for entertainment during lockdowns. To address the growing prevalence of online gambling addiction, comprehensive regulatory frameworks are needed, alongside responsible gambling initiatives and public awareness campaigns. Collaboration among stakeholders, including government agencies, healthcare providers, and gambling operators, is crucial for effective intervention. Continuous monitoring and evaluation of online gambling trends will inform future policies and help identify emerging risks. By adopting a multifaceted approach, Indonesian policymakers and stakeholders can work towards minimizing the risks associated with online gambling and fostering a healthier environment for its citizens.","container-title":"Journal of Infrastructure, Policy and Development","DOI":"10.24294/jipd.v8i11.9077","ISSN":"2572-7931, 2572-7923","issue":"11","journalAbbreviation":"J. Infras. Policy. Dev.","language":"en","license":"https://creativecommons.org/licenses/by/4.0/","page":"9077","source":"DOI.org (Crossref)","title":"Online gambling addiction: Problems and solutions for policymakers and stakeholders in Indonesia","title-short":"Online gambling addiction","volume":"8","author":[{"family":"Fahrudin","given":"Adi"},{"family":"Satispi","given":"Evi"},{"family":"Subardhini","given":"Meiti"},{"family":"Rinda Andayani","given":"Rini Hartini"},{"family":"Jayaputra","given":"Achmadi"},{"family":"Yuniarti","given":"Lisa"},{"family":"Wijayanti","given":"Febtri"},{"family":"Suryani","given":"Suryani"}],"issued":{"date-parts":[["2024",10,18]]}}}],"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(Fahrudin et al., 2024)</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However, due to the wide penetration of internet and smartphones in India, the popularity of online gambling has seen an unprecedented surge in the country. </w:t>
      </w:r>
    </w:p>
    <w:p w14:paraId="7C60935E" w14:textId="77777777" w:rsidR="003A618A" w:rsidRPr="003A618A" w:rsidRDefault="003A618A" w:rsidP="00536834">
      <w:pPr>
        <w:spacing w:line="360" w:lineRule="auto"/>
        <w:jc w:val="both"/>
        <w:rPr>
          <w:rFonts w:ascii="Times New Roman" w:hAnsi="Times New Roman" w:cs="Times New Roman"/>
        </w:rPr>
      </w:pPr>
      <w:r w:rsidRPr="003A618A">
        <w:rPr>
          <w:rFonts w:ascii="Times New Roman" w:hAnsi="Times New Roman" w:cs="Times New Roman"/>
        </w:rPr>
        <w:t xml:space="preserve">Large numbers of young Indians have been drawn by the promise of quick money and entertainment value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{"citationID":"4211MIpy","properties":{"formattedCitation":"(Indra et al., n.d.; Kartawinata et al., 2025)","plainCitation":"(Indra et al., n.d.; Kartawinata et al., 2025)","noteIndex":0},"citationItems":[{"id":207,"uris":["http://zotero.org/users/local/OGJIxhLc/items/XSIG5XD6"],"itemData":{"id":207,"type":"article-journal","abstract":"The increasing prevalence of online gambling cases among the young generation in Indonesia has a negative impact in that the younger generation is addicted to online gambling games that are easily accessible anywhere 24 hours a day, which only have a Wi-Fi network, through smartphones, and laptops. This study uses a descriptive method with a quantitative approach; the implementation time of this research starts from September 2024 to December 2024. The population in this study is the entire community attracted to the younger generation, namely those aged 17-29 years who use social media, such as Instagram. The research sample is the younger generation willing to become respondents by promoting a questionnaire on Instagram ads for 1 month. The number of respondents in the study was 90 respondents. The results of the study found that the majority of respondents who were exposed to online games under the guise of gambling were young generations aged 17-20 years. This age group is more vulnerable to social and digital influences due to the level of media literacy and self-control that is not fully mature. Involvement in online gambling is influenced by economic factors, such as low income and the assumption that gambling is an easy way to gain financial benefits. Technology, especially stable internet access, and social media is the main means that facilitate this engagement. Influence from friends, social media promotion, and the presence of influencers are the main drivers of respondents' involvement in gambling activities. Many respondents are exposed to online games through their social environment. Online gambling activities under the guise of gaming have had a negative impact, including difficulty controlling spending, increased addiction, and even a desire to go into debt to continue playing. It shows the addictive and destructive nature of gambling. Some respondents believe their skills or experience can increase their chances of winning. This belief encourages them to continue playing even though losses occur more often.","language":"en","source":"Zotero","title":"THE PHENOMENON OF ONLINE GAMBLING UNDER THE GUISE OF ONLINE GAMES AMONG THE YOUNGER GENERATION","author":[{"family":"Indra","given":"I Made"},{"family":"Japari","given":"Antony"},{"family":"Novika","given":"Fanny"},{"family":"Septivani","given":"C Nike"},{"family":"Rosmayanti","given":"Melinia"},{"family":"Chalista","given":"Bunga"}]}},{"id":205,"uris":["http://zotero.org/users/local/OGJIxhLc/items/BEQRGKCL"],"itemData":{"id":205,"type":"article-journal","abstract":"The community service initiative in Bandung City sought to alleviate the adverse effects of internet gambling on families, specifically targeting stakeholders at Taman Indria Kindergarten, including educators and parents. The program aimed to equip participants with the knowledge and resources to safeguard families against the widespread dangers of online gambling. The program employed workshops and instructional sessions to promote active participation, allowing attendees to recognize indicators of gambling addiction, improve financial literacy, and obtain assistance options. The study indicated a significant enhancement in participants' comprehension of family protection, with 88% exhibiting heightened awareness after the sessions. The report underscores the significant impacts of online gambling, encompassing financial instability, interpersonal disputes, and adverse effects on children. It underscores a comprehensive strategy to address these challenges, including financial literacy, enhanced controls on gambling platforms, and integrated support services for impacted families. The program's success was apparent in cultivating a cooperative atmosphere among schools, parents, and the community, thereby establishing a safer and healthier environment for children. This effort corresponds with Sustainable Development Goals (SDG #3), fostering well-being and resilience in communities. This project emphasizes the significance of collective action in protecting family welfare and future generations by tackling the root causes of online gambling addiction and empowering families via education and community assistance.","container-title":"Journal of Digital Community Services","DOI":"10.69693/dcs.v2i1.23","ISSN":"3046-7527, 3047-0293","issue":"1","journalAbbreviation":"dcs","language":"en","license":"https://creativecommons.org/licenses/by/4.0","page":"16-22","source":"DOI.org (Crossref)","title":"Financial Literacy Series: Protect Your Family from Online Gambling","title-short":"Financial Literacy Series","volume":"2","author":[{"family":"Kartawinata","given":"Budi Rustandi"},{"family":"Syarifuddin","given":"Syarifuddin"},{"family":"Kuswanto","given":"Arif"},{"family":"Wardhana","given":"Aditya"}],"issued":{"date-parts":[["2025",1,15]]}}}],"schema":"https://github.com/citation-style-language/schema/raw/master/csl-citation.json"}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 xml:space="preserve">(Indra et al., n.d.; </w:t>
      </w:r>
      <w:proofErr w:type="spellStart"/>
      <w:r w:rsidRPr="003A618A">
        <w:rPr>
          <w:rFonts w:ascii="Times New Roman" w:hAnsi="Times New Roman" w:cs="Times New Roman"/>
          <w:color w:val="156082" w:themeColor="accent1"/>
        </w:rPr>
        <w:t>Kartawinata</w:t>
      </w:r>
      <w:proofErr w:type="spellEnd"/>
      <w:r w:rsidRPr="003A618A">
        <w:rPr>
          <w:rFonts w:ascii="Times New Roman" w:hAnsi="Times New Roman" w:cs="Times New Roman"/>
          <w:color w:val="156082" w:themeColor="accent1"/>
        </w:rPr>
        <w:t xml:space="preserve"> et al., 2025)</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But of course this trend has followed its appeal a lot with its negative consequences including, financial insecurity, mental health disorders, social challenges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{"citationID":"4dRtLuA1","properties":{"formattedCitation":"(Vijayakumar &amp; Vijayakumar, 2023)","plainCitation":"(Vijayakumar &amp; Vijayakumar, 2023)","noteIndex":0},"citationItems":[{"id":197,"uris":["http://zotero.org/users/local/OGJIxhLc/items/YQV48954"],"itemData":{"id":197,"type":"article-journal","container-title":"Indian Journal of Psychiatry","DOI":"10.4103/indianjpsychiatry.indianjpsychiatry_817_22","ISSN":"0019-5545, 1998-3794","issue":"1","language":"en","page":"3-4","source":"DOI.org (Crossref)","title":"Online gambling and suicide: Gambling with lives","title-short":"Online gambling and suicide","volume":"65","author":[{"family":"Vijayakumar","given":"Lakshmi"},{"family":"Vijayakumar","given":"Vinayak"}],"issued":{"date-parts":[["2023",1]]}}}],"schema":"https://github.com/citation-style-language/schema/raw/master/csl-citation.json"}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(Vijayakumar &amp; Vijayakumar, 2023)</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The thing of immediate concern is addiction potential. Accessibility to online gambling sites can be through easy access through which someone can get hooked on and hence end up losing a lot of money, creating debts and more than bankruptcy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{"citationID":"akweYgRy","properties":{"formattedCitation":"(Potenza et al., 2025)","plainCitation":"(Potenza et al., 2025)","noteIndex":0},"citationItems":[{"id":160,"uris":["http://zotero.org/users/local/OGJIxhLc/items/U5RF7YBK"],"itemData":{"id":160,"type":"chapter","abstract":"Abstract\n            This chapter summarizes the current literature on gambling and gambling disorders among youth. The emergence of online gambling, together with the legalization, social acceptance, and appearance of new forms of gambling or gambling-related factors, such as internet gambling, daily fantasy sports, and sports betting or loot boxes, may raise particular concerns for vulnerable populations. Adolescents are at a developmental stage characterized by increased autonomy, identity formation, social exploration, and brain development and often have high levels of sensation-seeking and impulsivity. As such, addictive or problematic engagement in gambling may have significant impacts on developmental trajectories in youth. This manuscript summarizes current knowledge, includes considerations for future research to help address current limitations in knowledge, and provides recommendations focused on the prevention of youth gambling behaviors and gambling problems in the current and evolving digital environment.","container-title":"Handbook of Children and Screens","event-place":"Cham","ISBN":"978-3-031-69361-8","language":"en","note":"DOI: 10.1007/978-3-031-69362-5_81","page":"597-603","publisher":"Springer Nature Switzerland","publisher-place":"Cham","source":"DOI.org (Crossref)","title":"Online Gambling in Youth","URL":"https://link.springer.com/10.1007/978-3-031-69362-5_81","editor":[{"family":"Christakis","given":"Dimitri A."},{"family":"Hale","given":"Lauren"}],"author":[{"family":"Potenza","given":"Marc N."},{"family":"Mestre-Bach","given":"Gemma"},{"family":"Demetrovics","given":"Zsolt"},{"family":"Derevensky","given":"Jeffrey"},{"family":"Fernandez-Aranda","given":"Fernando"},{"family":"Gainsbury","given":"Sally M."},{"family":"Jiménez-Murcia","given":"Susana"},{"family":"Kraus","given":"Shane W."}],"accessed":{"date-parts":[["2025",3,10]]},"issued":{"date-parts":[["2025"]]}}}],"schema":"https://github.com/citation-style-language/schema/raw/master/csl-citation.json"}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(Potenza et al., 2025)</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Such financial strain is damaging to one’s mind and can lead to development of anxiety, depression and other psychiatric disorders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{"citationID":"nQqlzamC","properties":{"formattedCitation":"(Fahrudin et al., 2024)","plainCitation":"(Fahrudin et al., 2024)","noteIndex":0},"citationItems":[{"id":199,"uris":["http://zotero.org/users/local/OGJIxhLc/items/7DM5NYMG"],"itemData":{"id":199,"type":"article-journal","abstract":"The rise of online gambling in Indonesia has emerged as a significant public health concern, driven by various psychological, social, and regulatory factors. Despite stringent laws prohibiting gambling, the accessibility and appeal of online platforms have led to increased participation, particularly among young adults. This phenomenon is characterized by a paradoxical sense of control that users feel while gambling online, which can lead to compulsive behaviors and addiction. The structural characteristics of online gambling platforms, including fast-paced games and easy accessibility, further exacerbate this issue. Social influences, particularly through social media and peer interactions, normalize gambling behaviors, making them more appealing to adolescents. Mental health issues, such as anxiety and depression, are closely linked to online gambling addiction, as individuals may use gambling as a coping mechanism. The COVID-19 pandemic has intensified these challenges, with many individuals turning to online gambling for entertainment during lockdowns. To address the growing prevalence of online gambling addiction, comprehensive regulatory frameworks are needed, alongside responsible gambling initiatives and public awareness campaigns. Collaboration among stakeholders, including government agencies, healthcare providers, and gambling operators, is crucial for effective intervention. Continuous monitoring and evaluation of online gambling trends will inform future policies and help identify emerging risks. By adopting a multifaceted approach, Indonesian policymakers and stakeholders can work towards minimizing the risks associated with online gambling and fostering a healthier environment for its citizens.","container-title":"Journal of Infrastructure, Policy and Development","DOI":"10.24294/jipd.v8i11.9077","ISSN":"2572-7931, 2572-7923","issue":"11","journalAbbreviation":"J. Infras. Policy. Dev.","language":"en","license":"https://creativecommons.org/licenses/by/4.0/","page":"9077","source":"DOI.org (Crossref)","title":"Online gambling addiction: Problems and solutions for policymakers and stakeholders in Indonesia","title-short":"Online gambling addiction","volume":"8","author":[{"family":"Fahrudin","given":"Adi"},{"family":"Satispi","given":"Evi"},{"family":"Subardhini","given":"Meiti"},{"family":"Rinda Andayani","given":"Rini Hartini"},{"family":"Jayaputra","given":"Achmadi"},{"family":"Yuniarti","given":"Lisa"},{"family":"Wijayanti","given":"Febtri"},{"family":"Suryani","given":"Suryani"}],"issued":{"date-parts":[["2024",10,18]]}}}],"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(Fahrudin et al., 2024)</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w:t>
      </w:r>
    </w:p>
    <w:p w14:paraId="20027722" w14:textId="77777777" w:rsidR="003A618A" w:rsidRPr="003A618A" w:rsidRDefault="003A618A" w:rsidP="00536834">
      <w:pPr>
        <w:spacing w:line="360" w:lineRule="auto"/>
        <w:jc w:val="both"/>
        <w:rPr>
          <w:rFonts w:ascii="Times New Roman" w:hAnsi="Times New Roman" w:cs="Times New Roman"/>
        </w:rPr>
      </w:pPr>
      <w:r w:rsidRPr="003A618A">
        <w:rPr>
          <w:rFonts w:ascii="Times New Roman" w:hAnsi="Times New Roman" w:cs="Times New Roman"/>
        </w:rPr>
        <w:t xml:space="preserve">Furthermore, problems regarding relationships, isolation, and relationship breakdowns often accompany the problem of gambling addiction, intensifying the harm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{"citationID":"akweYgRy","properties":{"formattedCitation":"(Potenza et al., 2025)","plainCitation":"(Potenza et al., 2025)","noteIndex":0},"citationItems":[{"id":160,"uris":["http://zotero.org/users/local/OGJIxhLc/items/U5RF7YBK"],"itemData":{"id":160,"type":"chapter","abstract":"Abstract\n            This chapter summarizes the current literature on gambling and gambling disorders among youth. The emergence of online gambling, together with the legalization, social acceptance, and appearance of new forms of gambling or gambling-related factors, such as internet gambling, daily fantasy sports, and sports betting or loot boxes, may raise particular concerns for vulnerable populations. Adolescents are at a developmental stage characterized by increased autonomy, identity formation, social exploration, and brain development and often have high levels of sensation-seeking and impulsivity. As such, addictive or problematic engagement in gambling may have significant impacts on developmental trajectories in youth. This manuscript summarizes current knowledge, includes considerations for future research to help address current limitations in knowledge, and provides recommendations focused on the prevention of youth gambling behaviors and gambling problems in the current and evolving digital environment.","container-title":"Handbook of Children and Screens","event-place":"Cham","ISBN":"978-3-031-69361-8","language":"en","note":"DOI: 10.1007/978-3-031-69362-5_81","page":"597-603","publisher":"Springer Nature Switzerland","publisher-place":"Cham","source":"DOI.org (Crossref)","title":"Online Gambling in Youth","URL":"https://link.springer.com/10.1007/978-3-031-69362-5_81","editor":[{"family":"Christakis","given":"Dimitri A."},{"family":"Hale","given":"Lauren"}],"author":[{"family":"Potenza","given":"Marc N."},{"family":"Mestre-Bach","given":"Gemma"},{"family":"Demetrovics","given":"Zsolt"},{"family":"Derevensky","given":"Jeffrey"},{"family":"Fernandez-Aranda","given":"Fernando"},{"family":"Gainsbury","given":"Sally M."},{"family":"Jiménez-Murcia","given":"Susana"},{"family":"Kraus","given":"Shane W."}],"accessed":{"date-parts":[["2025",3,10]]},"issued":{"date-parts":[["2025"]]}}}],"schema":"https://github.com/citation-style-language/schema/raw/master/csl-citation.json"}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(Potenza et al., 2025)</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The determinants of gambling behaviour among young Indian adults are many, both socio and economic, and they include peer pressure, social norms and ways of gambling prevalent among the young Indian adults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{"citationID":"w0PPe2Nk","properties":{"formattedCitation":"(Antonio et al., 2025; Indra et al., n.d.)","plainCitation":"(Antonio et al., 2025; Indra et al., n.d.)","noteIndex":0},"citationItems":[{"id":203,"uris":["http://zotero.org/users/local/OGJIxhLc/items/ZMLNYJLA"],"itemData":{"id":203,"type":"article-journal","abstract":"The rapid ascent of online casino gaming has become a game changer for the gambling industry in the Philippines. This trend poses challenges for traditional casinos in the Philippines, requiring adaptation to attract younger players for business sustainability. Moreover, there is a lack of studies when it comes to diversity in culture, initiation and maintenance, as well as analysis on individual stimulation and triggers for gambling, which this study aimed to fill. This study analyzed key factors influencing online gambling intentions among Generation Z and Millennials using higher-order Structural Equation Modeling with the extended higher-order reflective construct of the Unified Theory of Acceptance and Use of Technology 3 (UTAUT3) framework to effectively explained online gambling behavior. Testing the causal relationship among 408 valid responses using the SMART-PLS v4 software, it was seen that performance and effort expectancy, habit, social influence, hedonic motivation, personal innovativeness, price value, and facilitating conditions showed significant relationships with online gambling behavioral intentions. It has been presented that control have no significant relationship on online gambling behavioral intention of consumers, revealing that respondents may have no self or financial control while using online gambling platforms. Moreover, curiosity alone is not a strong motivator for consumers to participate in online gambling activities. Based on the results, the respondents do not perceive curiosity as a primary driver for their intent to engage in online gambling activities. This study provides valuable theoretical insights into the motivations and perceptions driving online gambling among younger generations, offering a comprehensive understanding of the market dynamics and potential policy implications for regulating online gambling activities. Moreover, practical implications were created for developers to clearly depict and align behavioral intention for online gambling.","container-title":"Entertainment Computing","DOI":"10.1016/j.entcom.2024.100918","ISSN":"18759521","journalAbbreviation":"Entertainment Computing","language":"en","page":"100918","source":"DOI.org (Crossref)","title":"The perceived risk and return, curiosity, and control analysis of online gambling intention among Gen Z and Millennials using extended UTAUT3","volume":"52","author":[{"family":"Antonio","given":"Jerald C."},{"family":"Ong","given":"Ardvin Kester S."},{"family":"Diaz","given":"John Francis T."},{"family":"Cahigas","given":"Maela Madel L."},{"family":"Gumasing","given":"Ma. Janice J."}],"issued":{"date-parts":[["2025",1]]}}},{"id":207,"uris":["http://zotero.org/users/local/OGJIxhLc/items/XSIG5XD6"],"itemData":{"id":207,"type":"article-journal","abstract":"The increasing prevalence of online gambling cases among the young generation in Indonesia has a negative impact in that the younger generation is addicted to online gambling games that are easily accessible anywhere 24 hours a day, which only have a Wi-Fi network, through smartphones, and laptops. This study uses a descriptive method with a quantitative approach; the implementation time of this research starts from September 2024 to December 2024. The population in this study is the entire community attracted to the younger generation, namely those aged 17-29 years who use social media, such as Instagram. The research sample is the younger generation willing to become respondents by promoting a questionnaire on Instagram ads for 1 month. The number of respondents in the study was 90 respondents. The results of the study found that the majority of respondents who were exposed to online games under the guise of gambling were young generations aged 17-20 years. This age group is more vulnerable to social and digital influences due to the level of media literacy and self-control that is not fully mature. Involvement in online gambling is influenced by economic factors, such as low income and the assumption that gambling is an easy way to gain financial benefits. Technology, especially stable internet access, and social media is the main means that facilitate this engagement. Influence from friends, social media promotion, and the presence of influencers are the main drivers of respondents' involvement in gambling activities. Many respondents are exposed to online games through their social environment. Online gambling activities under the guise of gaming have had a negative impact, including difficulty controlling spending, increased addiction, and even a desire to go into debt to continue playing. It shows the addictive and destructive nature of gambling. Some respondents believe their skills or experience can increase their chances of winning. This belief encourages them to continue playing even though losses occur more often.","language":"en","source":"Zotero","title":"THE PHENOMENON OF ONLINE GAMBLING UNDER THE GUISE OF ONLINE GAMES AMONG THE YOUNGER GENERATION","author":[{"family":"Indra","given":"I Made"},{"family":"Japari","given":"Antony"},{"family":"Novika","given":"Fanny"},{"family":"Septivani","given":"C Nike"},{"family":"Rosmayanti","given":"Melinia"},{"family":"Chalista","given":"Bunga"}]}}],"schema":"https://github.com/citation-style-language/schema/raw/master/csl-citation.json"}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(Antonio et al., 2025)</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Since gambling is often glamorized on social media and on online forums, such as success stories and promotions, the gambling would be heightened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{"citationID":"OH9mRwed","properties":{"formattedCitation":"(Indra et al., n.d.)","plainCitation":"(Indra et al., n.d.)","noteIndex":0},"citationItems":[{"id":207,"uris":["http://zotero.org/users/local/OGJIxhLc/items/XSIG5XD6"],"itemData":{"id":207,"type":"article-journal","abstract":"The increasing prevalence of online gambling cases among the young generation in Indonesia has a negative impact in that the younger generation is addicted to online gambling games that are easily accessible anywhere 24 hours a day, which only have a Wi-Fi network, through smartphones, and laptops. This study uses a descriptive method with a quantitative approach; the implementation time of this research starts from September 2024 to December 2024. The population in this study is the entire community attracted to the younger generation, namely those aged 17-29 years who use social media, such as Instagram. The research sample is the younger generation willing to become respondents by promoting a questionnaire on Instagram ads for 1 month. The number of respondents in the study was 90 respondents. The results of the study found that the majority of respondents who were exposed to online games under the guise of gambling were young generations aged 17-20 years. This age group is more vulnerable to social and digital influences due to the level of media literacy and self-control that is not fully mature. Involvement in online gambling is influenced by economic factors, such as low income and the assumption that gambling is an easy way to gain financial benefits. Technology, especially stable internet access, and social media is the main means that facilitate this engagement. Influence from friends, social media promotion, and the presence of influencers are the main drivers of respondents' involvement in gambling activities. Many respondents are exposed to online games through their social environment. Online gambling activities under the guise of gaming have had a negative impact, including difficulty controlling spending, increased addiction, and even a desire to go into debt to continue playing. It shows the addictive and destructive nature of gambling. Some respondents believe their skills or experience can increase their chances of winning. This belief encourages them to continue playing even though losses occur more often.","language":"en","source":"Zotero","title":"THE PHENOMENON OF ONLINE GAMBLING UNDER THE GUISE OF ONLINE GAMES AMONG THE YOUNGER GENERATION","author":[{"family":"Indra","given":"I Made"},{"family":"Japari","given":"Antony"},{"family":"Novika","given":"Fanny"},{"family":"Septivani","given":"C Nike"},{"family":"Rosmayanti","given":"Melinia"},{"family":"Chalista","given":"Bunga"}]}}],"schema":"https://github.com/citation-style-language/schema/raw/master/csl-citation.json"}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(Indra et al., n.d.)</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w:t>
      </w:r>
    </w:p>
    <w:p w14:paraId="19A1221B" w14:textId="77777777" w:rsidR="003A618A" w:rsidRPr="003A618A" w:rsidRDefault="003A618A" w:rsidP="00536834">
      <w:pPr>
        <w:spacing w:line="360" w:lineRule="auto"/>
        <w:jc w:val="both"/>
        <w:rPr>
          <w:rFonts w:ascii="Times New Roman" w:hAnsi="Times New Roman" w:cs="Times New Roman"/>
        </w:rPr>
      </w:pPr>
      <w:r w:rsidRPr="003A618A">
        <w:rPr>
          <w:rFonts w:ascii="Times New Roman" w:hAnsi="Times New Roman" w:cs="Times New Roman"/>
        </w:rPr>
        <w:t xml:space="preserve">The main problem is the psychological stress of the online gambling. The addictiveness of these platforms as mentioned earlier embraces instant gratification, which entails the eagerness to find pleasure quickly and also its interactional nature is what leads to mental health issues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{"citationID":"akweYgRy","properties":{"formattedCitation":"(Potenza et al., 2025)","plainCitation":"(Potenza et al., 2025)","noteIndex":0},"citationItems":[{"id":160,"uris":["http://zotero.org/users/local/OGJIxhLc/items/U5RF7YBK"],"itemData":{"id":160,"type":"chapter","abstract":"Abstract\n            This chapter summarizes the current literature on gambling and gambling disorders among youth. The emergence of online gambling, together with the legalization, social acceptance, and appearance of new forms of gambling or gambling-related factors, such as internet gambling, daily fantasy sports, and sports betting or loot boxes, may raise particular concerns for vulnerable populations. Adolescents are at a developmental stage characterized by increased autonomy, identity formation, social exploration, and brain development and often have high levels of sensation-seeking and impulsivity. As such, addictive or problematic engagement in gambling may have significant impacts on developmental trajectories in youth. This manuscript summarizes current knowledge, includes considerations for future research to help address current limitations in knowledge, and provides recommendations focused on the prevention of youth gambling behaviors and gambling problems in the current and evolving digital environment.","container-title":"Handbook of Children and Screens","event-place":"Cham","ISBN":"978-3-031-69361-8","language":"en","note":"DOI: 10.1007/978-3-031-69362-5_81","page":"597-603","publisher":"Springer Nature Switzerland","publisher-place":"Cham","source":"DOI.org (Crossref)","title":"Online Gambling in Youth","URL":"https://link.springer.com/10.1007/978-3-031-69362-5_81","editor":[{"family":"Christakis","given":"Dimitri A."},{"family":"Hale","given":"Lauren"}],"author":[{"family":"Potenza","given":"Marc N."},{"family":"Mestre-Bach","given":"Gemma"},{"family":"Demetrovics","given":"Zsolt"},{"family":"Derevensky","given":"Jeffrey"},{"family":"Fernandez-Aranda","given":"Fernando"},{"family":"Gainsbury","given":"Sally M."},{"family":"Jiménez-Murcia","given":"Susana"},{"family":"Kraus","given":"Shane W."}],"accessed":{"date-parts":[["2025",3,10]]},"issued":{"date-parts":[["2025"]]}}}],"schema":"https://github.com/citation-style-language/schema/raw/master/csl-citation.json"}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(Potenza et al., 2025)</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Therefore, the effectiveness of existing regulations and support systems is crucial for current regulations, and for enforcement specifically, due to the hot pace of technological evolution and owing to the cross-border nature of online gambling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{"citationID":"vPxp25He","properties":{"formattedCitation":"(Nur et al., n.d.)","plainCitation":"(Nur et al., n.d.)","noteIndex":0},"citationItems":[{"id":201,"uris":["http://zotero.org/users/local/OGJIxhLc/items/CA823BY9"],"itemData":{"id":201,"type":"article-journal","language":"en","source":"Zotero","title":"Eradicating Online Gambling in Indonesia: Reinforcing the Role of Digital Sovereignty and Content Moderation in Cyberspace","author":[{"family":"Nur","given":"Asrul Ibrahim"},{"family":"Fatih","given":"Sholahuddin Al"},{"family":"Hermanto","given":"Bagus"}]}}],"schema":"https://github.com/citation-style-language/schema/raw/master/csl-citation.json"}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(Nur et al., n.d.)</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w:t>
      </w:r>
    </w:p>
    <w:p w14:paraId="55A6159D" w14:textId="77777777" w:rsidR="003A618A" w:rsidRPr="003A618A" w:rsidRDefault="003A618A" w:rsidP="00536834">
      <w:pPr>
        <w:spacing w:line="360" w:lineRule="auto"/>
        <w:jc w:val="both"/>
        <w:rPr>
          <w:rFonts w:ascii="Times New Roman" w:hAnsi="Times New Roman" w:cs="Times New Roman"/>
        </w:rPr>
      </w:pPr>
      <w:r w:rsidRPr="003A618A">
        <w:rPr>
          <w:rFonts w:ascii="Times New Roman" w:hAnsi="Times New Roman" w:cs="Times New Roman"/>
        </w:rPr>
        <w:lastRenderedPageBreak/>
        <w:t xml:space="preserve">The psychological consequences associated with gambling in young adults are many, not all of which are psychological. Usually the result of an skewed perception of reward and risk gambling becomes a solvable means of making money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{"citationID":"w0PPe2Nk","properties":{"formattedCitation":"(Antonio et al., 2025; Indra et al., n.d.)","plainCitation":"(Antonio et al., 2025; Indra et al., n.d.)","noteIndex":0},"citationItems":[{"id":203,"uris":["http://zotero.org/users/local/OGJIxhLc/items/ZMLNYJLA"],"itemData":{"id":203,"type":"article-journal","abstract":"The rapid ascent of online casino gaming has become a game changer for the gambling industry in the Philippines. This trend poses challenges for traditional casinos in the Philippines, requiring adaptation to attract younger players for business sustainability. Moreover, there is a lack of studies when it comes to diversity in culture, initiation and maintenance, as well as analysis on individual stimulation and triggers for gambling, which this study aimed to fill. This study analyzed key factors influencing online gambling intentions among Generation Z and Millennials using higher-order Structural Equation Modeling with the extended higher-order reflective construct of the Unified Theory of Acceptance and Use of Technology 3 (UTAUT3) framework to effectively explained online gambling behavior. Testing the causal relationship among 408 valid responses using the SMART-PLS v4 software, it was seen that performance and effort expectancy, habit, social influence, hedonic motivation, personal innovativeness, price value, and facilitating conditions showed significant relationships with online gambling behavioral intentions. It has been presented that control have no significant relationship on online gambling behavioral intention of consumers, revealing that respondents may have no self or financial control while using online gambling platforms. Moreover, curiosity alone is not a strong motivator for consumers to participate in online gambling activities. Based on the results, the respondents do not perceive curiosity as a primary driver for their intent to engage in online gambling activities. This study provides valuable theoretical insights into the motivations and perceptions driving online gambling among younger generations, offering a comprehensive understanding of the market dynamics and potential policy implications for regulating online gambling activities. Moreover, practical implications were created for developers to clearly depict and align behavioral intention for online gambling.","container-title":"Entertainment Computing","DOI":"10.1016/j.entcom.2024.100918","ISSN":"18759521","journalAbbreviation":"Entertainment Computing","language":"en","page":"100918","source":"DOI.org (Crossref)","title":"The perceived risk and return, curiosity, and control analysis of online gambling intention among Gen Z and Millennials using extended UTAUT3","volume":"52","author":[{"family":"Antonio","given":"Jerald C."},{"family":"Ong","given":"Ardvin Kester S."},{"family":"Diaz","given":"John Francis T."},{"family":"Cahigas","given":"Maela Madel L."},{"family":"Gumasing","given":"Ma. Janice J."}],"issued":{"date-parts":[["2025",1]]}}},{"id":207,"uris":["http://zotero.org/users/local/OGJIxhLc/items/XSIG5XD6"],"itemData":{"id":207,"type":"article-journal","abstract":"The increasing prevalence of online gambling cases among the young generation in Indonesia has a negative impact in that the younger generation is addicted to online gambling games that are easily accessible anywhere 24 hours a day, which only have a Wi-Fi network, through smartphones, and laptops. This study uses a descriptive method with a quantitative approach; the implementation time of this research starts from September 2024 to December 2024. The population in this study is the entire community attracted to the younger generation, namely those aged 17-29 years who use social media, such as Instagram. The research sample is the younger generation willing to become respondents by promoting a questionnaire on Instagram ads for 1 month. The number of respondents in the study was 90 respondents. The results of the study found that the majority of respondents who were exposed to online games under the guise of gambling were young generations aged 17-20 years. This age group is more vulnerable to social and digital influences due to the level of media literacy and self-control that is not fully mature. Involvement in online gambling is influenced by economic factors, such as low income and the assumption that gambling is an easy way to gain financial benefits. Technology, especially stable internet access, and social media is the main means that facilitate this engagement. Influence from friends, social media promotion, and the presence of influencers are the main drivers of respondents' involvement in gambling activities. Many respondents are exposed to online games through their social environment. Online gambling activities under the guise of gaming have had a negative impact, including difficulty controlling spending, increased addiction, and even a desire to go into debt to continue playing. It shows the addictive and destructive nature of gambling. Some respondents believe their skills or experience can increase their chances of winning. This belief encourages them to continue playing even though losses occur more often.","language":"en","source":"Zotero","title":"THE PHENOMENON OF ONLINE GAMBLING UNDER THE GUISE OF ONLINE GAMES AMONG THE YOUNGER GENERATION","author":[{"family":"Indra","given":"I Made"},{"family":"Japari","given":"Antony"},{"family":"Novika","given":"Fanny"},{"family":"Septivani","given":"C Nike"},{"family":"Rosmayanti","given":"Melinia"},{"family":"Chalista","given":"Bunga"}]}}],"schema":"https://github.com/citation-style-language/schema/raw/master/csl-citation.json"}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(Antonio et al., 2025)</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It’s a false sense of control that can lead to taking studies, jobs and other responsibilities for granted in the attempt to acquire instant wealth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{"citationID":"knpemkjZ","properties":{"formattedCitation":"(Fahrudin et al., 2024)","plainCitation":"(Fahrudin et al., 2024)","noteIndex":0},"citationItems":[{"id":199,"uris":["http://zotero.org/users/local/OGJIxhLc/items/7DM5NYMG"],"itemData":{"id":199,"type":"article-journal","abstract":"The rise of online gambling in Indonesia has emerged as a significant public health concern, driven by various psychological, social, and regulatory factors. Despite stringent laws prohibiting gambling, the accessibility and appeal of online platforms have led to increased participation, particularly among young adults. This phenomenon is characterized by a paradoxical sense of control that users feel while gambling online, which can lead to compulsive behaviors and addiction. The structural characteristics of online gambling platforms, including fast-paced games and easy accessibility, further exacerbate this issue. Social influences, particularly through social media and peer interactions, normalize gambling behaviors, making them more appealing to adolescents. Mental health issues, such as anxiety and depression, are closely linked to online gambling addiction, as individuals may use gambling as a coping mechanism. The COVID-19 pandemic has intensified these challenges, with many individuals turning to online gambling for entertainment during lockdowns. To address the growing prevalence of online gambling addiction, comprehensive regulatory frameworks are needed, alongside responsible gambling initiatives and public awareness campaigns. Collaboration among stakeholders, including government agencies, healthcare providers, and gambling operators, is crucial for effective intervention. Continuous monitoring and evaluation of online gambling trends will inform future policies and help identify emerging risks. By adopting a multifaceted approach, Indonesian policymakers and stakeholders can work towards minimizing the risks associated with online gambling and fostering a healthier environment for its citizens.","container-title":"Journal of Infrastructure, Policy and Development","DOI":"10.24294/jipd.v8i11.9077","ISSN":"2572-7931, 2572-7923","issue":"11","journalAbbreviation":"J. Infras. Policy. Dev.","language":"en","license":"https://creativecommons.org/licenses/by/4.0/","page":"9077","source":"DOI.org (Crossref)","title":"Online gambling addiction: Problems and solutions for policymakers and stakeholders in Indonesia","title-short":"Online gambling addiction","volume":"8","author":[{"family":"Fahrudin","given":"Adi"},{"family":"Satispi","given":"Evi"},{"family":"Subardhini","given":"Meiti"},{"family":"Rinda Andayani","given":"Rini Hartini"},{"family":"Jayaputra","given":"Achmadi"},{"family":"Yuniarti","given":"Lisa"},{"family":"Wijayanti","given":"Febtri"},{"family":"Suryani","given":"Suryani"}],"issued":{"date-parts":[["2024",10,18]]}}}],"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(Fahrudin et al., 2024)</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w:t>
      </w:r>
    </w:p>
    <w:p w14:paraId="5F97FD87" w14:textId="77777777" w:rsidR="003A618A" w:rsidRPr="003A618A" w:rsidRDefault="003A618A" w:rsidP="00536834">
      <w:pPr>
        <w:spacing w:line="360" w:lineRule="auto"/>
        <w:jc w:val="both"/>
        <w:rPr>
          <w:rFonts w:ascii="Times New Roman" w:hAnsi="Times New Roman" w:cs="Times New Roman"/>
        </w:rPr>
      </w:pPr>
      <w:r w:rsidRPr="003A618A">
        <w:rPr>
          <w:rFonts w:ascii="Times New Roman" w:hAnsi="Times New Roman" w:cs="Times New Roman"/>
        </w:rPr>
        <w:t xml:space="preserve">Also, the broad availability of gambling platforms has made gambling common to all socio economic classes and has worsened disparities and engaged in its exploitation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{"citationID":"7zXvetL9","properties":{"formattedCitation":"(Kartawinata et al., 2025)","plainCitation":"(Kartawinata et al., 2025)","noteIndex":0},"citationItems":[{"id":205,"uris":["http://zotero.org/users/local/OGJIxhLc/items/BEQRGKCL"],"itemData":{"id":205,"type":"article-journal","abstract":"The community service initiative in Bandung City sought to alleviate the adverse effects of internet gambling on families, specifically targeting stakeholders at Taman Indria Kindergarten, including educators and parents. The program aimed to equip participants with the knowledge and resources to safeguard families against the widespread dangers of online gambling. The program employed workshops and instructional sessions to promote active participation, allowing attendees to recognize indicators of gambling addiction, improve financial literacy, and obtain assistance options. The study indicated a significant enhancement in participants' comprehension of family protection, with 88% exhibiting heightened awareness after the sessions. The report underscores the significant impacts of online gambling, encompassing financial instability, interpersonal disputes, and adverse effects on children. It underscores a comprehensive strategy to address these challenges, including financial literacy, enhanced controls on gambling platforms, and integrated support services for impacted families. The program's success was apparent in cultivating a cooperative atmosphere among schools, parents, and the community, thereby establishing a safer and healthier environment for children. This effort corresponds with Sustainable Development Goals (SDG #3), fostering well-being and resilience in communities. This project emphasizes the significance of collective action in protecting family welfare and future generations by tackling the root causes of online gambling addiction and empowering families via education and community assistance.","container-title":"Journal of Digital Community Services","DOI":"10.69693/dcs.v2i1.23","ISSN":"3046-7527, 3047-0293","issue":"1","journalAbbreviation":"dcs","language":"en","license":"https://creativecommons.org/licenses/by/4.0","page":"16-22","source":"DOI.org (Crossref)","title":"Financial Literacy Series: Protect Your Family from Online Gambling","title-short":"Financial Literacy Series","volume":"2","author":[{"family":"Kartawinata","given":"Budi Rustandi"},{"family":"Syarifuddin","given":"Syarifuddin"},{"family":"Kuswanto","given":"Arif"},{"family":"Wardhana","given":"Aditya"}],"issued":{"date-parts":[["2025",1,15]]}}}],"schema":"https://github.com/citation-style-language/schema/raw/master/csl-citation.json"}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w:t>
      </w:r>
      <w:proofErr w:type="spellStart"/>
      <w:r w:rsidRPr="003A618A">
        <w:rPr>
          <w:rFonts w:ascii="Times New Roman" w:hAnsi="Times New Roman" w:cs="Times New Roman"/>
          <w:color w:val="156082" w:themeColor="accent1"/>
        </w:rPr>
        <w:t>Kartawinata</w:t>
      </w:r>
      <w:proofErr w:type="spellEnd"/>
      <w:r w:rsidRPr="003A618A">
        <w:rPr>
          <w:rFonts w:ascii="Times New Roman" w:hAnsi="Times New Roman" w:cs="Times New Roman"/>
          <w:color w:val="156082" w:themeColor="accent1"/>
        </w:rPr>
        <w:t xml:space="preserve"> et al., 2025)</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Because of the difficulty of effective enforcement, the internet gambling regulatory landscape continues to evolve with great volatility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{"citationID":"vPxp25He","properties":{"formattedCitation":"(Nur et al., n.d.)","plainCitation":"(Nur et al., n.d.)","noteIndex":0},"citationItems":[{"id":201,"uris":["http://zotero.org/users/local/OGJIxhLc/items/CA823BY9"],"itemData":{"id":201,"type":"article-journal","language":"en","source":"Zotero","title":"Eradicating Online Gambling in Indonesia: Reinforcing the Role of Digital Sovereignty and Content Moderation in Cyberspace","author":[{"family":"Nur","given":"Asrul Ibrahim"},{"family":"Fatih","given":"Sholahuddin Al"},{"family":"Hermanto","given":"Bagus"}]}}],"schema":"https://github.com/citation-style-language/schema/raw/master/csl-citation.json"}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(Nur et al., n.d.)</w:t>
      </w:r>
      <w:r w:rsidRPr="003A618A">
        <w:rPr>
          <w:rFonts w:ascii="Times New Roman" w:hAnsi="Times New Roman" w:cs="Times New Roman"/>
          <w:color w:val="156082" w:themeColor="accent1"/>
        </w:rPr>
        <w:fldChar w:fldCharType="end"/>
      </w:r>
      <w:r w:rsidRPr="003A618A">
        <w:rPr>
          <w:rFonts w:ascii="Times New Roman" w:hAnsi="Times New Roman" w:cs="Times New Roman"/>
          <w:color w:val="156082" w:themeColor="accent1"/>
        </w:rPr>
        <w:t>.</w:t>
      </w:r>
      <w:r w:rsidRPr="003A618A">
        <w:rPr>
          <w:rFonts w:ascii="Times New Roman" w:hAnsi="Times New Roman" w:cs="Times New Roman"/>
        </w:rPr>
        <w:t xml:space="preserve"> </w:t>
      </w:r>
    </w:p>
    <w:p w14:paraId="64E6078C" w14:textId="77777777" w:rsidR="003A618A" w:rsidRPr="003A618A" w:rsidRDefault="003A618A" w:rsidP="00536834">
      <w:pPr>
        <w:spacing w:line="360" w:lineRule="auto"/>
        <w:jc w:val="both"/>
        <w:rPr>
          <w:rFonts w:ascii="Times New Roman" w:hAnsi="Times New Roman" w:cs="Times New Roman"/>
        </w:rPr>
      </w:pPr>
      <w:r w:rsidRPr="003A618A">
        <w:rPr>
          <w:rFonts w:ascii="Times New Roman" w:hAnsi="Times New Roman" w:cs="Times New Roman"/>
        </w:rPr>
        <w:t xml:space="preserve">Ultimately, the rise of online gambling holds serious implications for the socio-economic and psychological welfare of young adults. This is why it is important to understand these dimensions in order to design effective interventions in order to mitigate the potential harm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{"citationID":"OH9mRwed","properties":{"formattedCitation":"(Indra et al., n.d.)","plainCitation":"(Indra et al., n.d.)","noteIndex":0},"citationItems":[{"id":207,"uris":["http://zotero.org/users/local/OGJIxhLc/items/XSIG5XD6"],"itemData":{"id":207,"type":"article-journal","abstract":"The increasing prevalence of online gambling cases among the young generation in Indonesia has a negative impact in that the younger generation is addicted to online gambling games that are easily accessible anywhere 24 hours a day, which only have a Wi-Fi network, through smartphones, and laptops. This study uses a descriptive method with a quantitative approach; the implementation time of this research starts from September 2024 to December 2024. The population in this study is the entire community attracted to the younger generation, namely those aged 17-29 years who use social media, such as Instagram. The research sample is the younger generation willing to become respondents by promoting a questionnaire on Instagram ads for 1 month. The number of respondents in the study was 90 respondents. The results of the study found that the majority of respondents who were exposed to online games under the guise of gambling were young generations aged 17-20 years. This age group is more vulnerable to social and digital influences due to the level of media literacy and self-control that is not fully mature. Involvement in online gambling is influenced by economic factors, such as low income and the assumption that gambling is an easy way to gain financial benefits. Technology, especially stable internet access, and social media is the main means that facilitate this engagement. Influence from friends, social media promotion, and the presence of influencers are the main drivers of respondents' involvement in gambling activities. Many respondents are exposed to online games through their social environment. Online gambling activities under the guise of gaming have had a negative impact, including difficulty controlling spending, increased addiction, and even a desire to go into debt to continue playing. It shows the addictive and destructive nature of gambling. Some respondents believe their skills or experience can increase their chances of winning. This belief encourages them to continue playing even though losses occur more often.","language":"en","source":"Zotero","title":"THE PHENOMENON OF ONLINE GAMBLING UNDER THE GUISE OF ONLINE GAMES AMONG THE YOUNGER GENERATION","author":[{"family":"Indra","given":"I Made"},{"family":"Japari","given":"Antony"},{"family":"Novika","given":"Fanny"},{"family":"Septivani","given":"C Nike"},{"family":"Rosmayanti","given":"Melinia"},{"family":"Chalista","given":"Bunga"}]}}],"schema":"https://github.com/citation-style-language/schema/raw/master/csl-citation.json"}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(Indra et al., n.d.)</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Popularization of online gambling and the digital revolution have turned young </w:t>
      </w:r>
      <w:proofErr w:type="gramStart"/>
      <w:r w:rsidRPr="003A618A">
        <w:rPr>
          <w:rFonts w:ascii="Times New Roman" w:hAnsi="Times New Roman" w:cs="Times New Roman"/>
        </w:rPr>
        <w:t>adults</w:t>
      </w:r>
      <w:proofErr w:type="gramEnd"/>
      <w:r w:rsidRPr="003A618A">
        <w:rPr>
          <w:rFonts w:ascii="Times New Roman" w:hAnsi="Times New Roman" w:cs="Times New Roman"/>
        </w:rPr>
        <w:t xml:space="preserve"> mainstream. This has resulted due to their openness to one thing, to innovate.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{"citationID":"bSIlSLHz","properties":{"formattedCitation":"(Potenza et al., 2025)","plainCitation":"(Potenza et al., 2025)","noteIndex":0},"citationItems":[{"id":160,"uris":["http://zotero.org/users/local/OGJIxhLc/items/U5RF7YBK"],"itemData":{"id":160,"type":"chapter","abstract":"Abstract\n            This chapter summarizes the current literature on gambling and gambling disorders among youth. The emergence of online gambling, together with the legalization, social acceptance, and appearance of new forms of gambling or gambling-related factors, such as internet gambling, daily fantasy sports, and sports betting or loot boxes, may raise particular concerns for vulnerable populations. Adolescents are at a developmental stage characterized by increased autonomy, identity formation, social exploration, and brain development and often have high levels of sensation-seeking and impulsivity. As such, addictive or problematic engagement in gambling may have significant impacts on developmental trajectories in youth. This manuscript summarizes current knowledge, includes considerations for future research to help address current limitations in knowledge, and provides recommendations focused on the prevention of youth gambling behaviors and gambling problems in the current and evolving digital environment.","container-title":"Handbook of Children and Screens","event-place":"Cham","ISBN":"978-3-031-69361-8","language":"en","note":"DOI: 10.1007/978-3-031-69362-5_81","page":"597-603","publisher":"Springer Nature Switzerland","publisher-place":"Cham","source":"DOI.org (Crossref)","title":"Online Gambling in Youth","URL":"https://link.springer.com/10.1007/978-3-031-69362-5_81","editor":[{"family":"Christakis","given":"Dimitri A."},{"family":"Hale","given":"Lauren"}],"author":[{"family":"Potenza","given":"Marc N."},{"family":"Mestre-Bach","given":"Gemma"},{"family":"Demetrovics","given":"Zsolt"},{"family":"Derevensky","given":"Jeffrey"},{"family":"Fernandez-Aranda","given":"Fernando"},{"family":"Gainsbury","given":"Sally M."},{"family":"Jiménez-Murcia","given":"Susana"},{"family":"Kraus","given":"Shane W."}],"accessed":{"date-parts":[["2025",3,10]]},"issued":{"date-parts":[["2025"]]}}}],"schema":"https://github.com/citation-style-language/schema/raw/master/csl-citation.json"}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(Potenza et al., 2025)</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However, growing popularity of the streamer requires more detailed monitoring of implications for the socio-economic and psychological aspect. Gambling behaviours are highly influenced not only by one’s own personal opinions but also by informal and informal socialization through socialization and trends </w:t>
      </w:r>
      <w:r w:rsidRPr="003A618A">
        <w:rPr>
          <w:rFonts w:ascii="Times New Roman" w:hAnsi="Times New Roman" w:cs="Times New Roman"/>
        </w:rPr>
        <w:fldChar w:fldCharType="begin"/>
      </w:r>
      <w:r w:rsidRPr="003A618A">
        <w:rPr>
          <w:rFonts w:ascii="Times New Roman" w:hAnsi="Times New Roman" w:cs="Times New Roman"/>
        </w:rPr>
        <w:instrText xml:space="preserve"> ADDIN ZOTERO_ITEM CSL_CITATION {"citationID":"MXZ7iNJ8","properties":{"formattedCitation":"(Potenza et al., 2025)","plainCitation":"(Potenza et al., 2025)","noteIndex":0},"citationItems":[{"id":160,"uris":["http://zotero.org/users/local/OGJIxhLc/items/U5RF7YBK"],"itemData":{"id":160,"type":"chapter","abstract":"Abstract\n            This chapter summarizes the current literature on gambling and gambling disorders among youth. The emergence of online gambling, together with the legalization, social acceptance, and appearance of new forms of gambling or gambling-related factors, such as internet gambling, daily fantasy sports, and sports betting or loot boxes, may raise particular concerns for vulnerable populations. Adolescents are at a developmental stage characterized by increased autonomy, identity formation, social exploration, and brain development and often have high levels of sensation-seeking and impulsivity. As such, addictive or problematic engagement in gambling may have significant impacts on developmental trajectories in youth. This manuscript summarizes current knowledge, includes considerations for future research to help address current limitations in knowledge, and provides recommendations focused on the prevention of youth gambling behaviors and gambling problems in the current and evolving digital environment.","container-title":"Handbook of Children and Screens","event-place":"Cham","ISBN":"978-3-031-69361-8","language":"en","note":"DOI: 10.1007/978-3-031-69362-5_81","page":"597-603","publisher":"Springer Nature Switzerland","publisher-place":"Cham","source":"DOI.org (Crossref)","title":"Online Gambling in Youth","URL":"https://link.springer.com/10.1007/978-3-031-69362-5_81","editor":[{"family":"Christakis","given":"Dimitri A."},{"family":"Hale","given":"Lauren"}],"author":[{"family":"Potenza","given":"Marc N."},{"family":"Mestre-Bach","given":"Gemma"},{"family":"Demetrovics","given":"Zsolt"},{"family":"Derevensky","given":"Jeffrey"},{"family":"Fernandez-Aranda","given":"Fernando"},{"family":"Gainsbury","given":"Sally M."},{"family":"Jiménez-Murcia","given":"Susana"},{"family":"Kraus","given":"Shane W."}],"accessed":{"date-parts":[["2025",3,10]]},"issued":{"date-parts":[["2025"]]}}}],"schema":"https://github.com/citation-style-language/schema/raw/master/csl-citation.json"} </w:instrText>
      </w:r>
      <w:r w:rsidRPr="003A618A">
        <w:rPr>
          <w:rFonts w:ascii="Times New Roman" w:hAnsi="Times New Roman" w:cs="Times New Roman"/>
        </w:rPr>
        <w:fldChar w:fldCharType="separate"/>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{"citationID":"4dRtLuA1","properties":{"formattedCitation":"(Vijayakumar &amp; Vijayakumar, 2023)","plainCitation":"(Vijayakumar &amp; Vijayakumar, 2023)","noteIndex":0},"citationItems":[{"id":197,"uris":["http://zotero.org/users/local/OGJIxhLc/items/YQV48954"],"itemData":{"id":197,"type":"article-journal","container-title":"Indian Journal of Psychiatry","DOI":"10.4103/indianjpsychiatry.indianjpsychiatry_817_22","ISSN":"0019-5545, 1998-3794","issue":"1","language":"en","page":"3-4","source":"DOI.org (Crossref)","title":"Online gambling and suicide: Gambling with lives","title-short":"Online gambling and suicide","volume":"65","author":[{"family":"Vijayakumar","given":"Lakshmi"},{"family":"Vijayakumar","given":"Vinayak"}],"issued":{"date-parts":[["2023",1]]}}}],"schema":"https://github.com/citation-style-language/schema/raw/master/csl-citation.json"}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(Vijayakumar &amp; Vijayakumar, 2023)</w:t>
      </w:r>
      <w:r w:rsidRPr="003A618A">
        <w:rPr>
          <w:rFonts w:ascii="Times New Roman" w:hAnsi="Times New Roman" w:cs="Times New Roman"/>
          <w:color w:val="156082" w:themeColor="accent1"/>
        </w:rPr>
        <w:fldChar w:fldCharType="end"/>
      </w:r>
      <w:r w:rsidRPr="003A618A">
        <w:rPr>
          <w:rFonts w:ascii="Times New Roman" w:hAnsi="Times New Roman" w:cs="Times New Roman"/>
        </w:rPr>
        <w:t>.</w:t>
      </w:r>
      <w:r w:rsidRPr="003A618A">
        <w:rPr>
          <w:rFonts w:ascii="Times New Roman" w:hAnsi="Times New Roman" w:cs="Times New Roman"/>
        </w:rPr>
        <w:fldChar w:fldCharType="end"/>
      </w:r>
      <w:r w:rsidRPr="003A618A">
        <w:rPr>
          <w:rFonts w:ascii="Times New Roman" w:hAnsi="Times New Roman" w:cs="Times New Roman"/>
        </w:rPr>
        <w:t xml:space="preserve"> </w:t>
      </w:r>
    </w:p>
    <w:p w14:paraId="17A31F37" w14:textId="70DA3B98" w:rsidR="001B1FE1" w:rsidRDefault="003A618A" w:rsidP="00536834">
      <w:pPr>
        <w:spacing w:line="360" w:lineRule="auto"/>
        <w:jc w:val="both"/>
        <w:rPr>
          <w:rFonts w:ascii="Times New Roman" w:hAnsi="Times New Roman" w:cs="Times New Roman"/>
        </w:rPr>
      </w:pPr>
      <w:r w:rsidRPr="003A618A">
        <w:rPr>
          <w:rFonts w:ascii="Times New Roman" w:hAnsi="Times New Roman" w:cs="Times New Roman"/>
        </w:rPr>
        <w:t xml:space="preserve">It can create FOMO (fear of missing out) which then makes one participate to be socially relevant. Online gambling’s interactive platforms and possibility for instant gratification can psychologically distort one’s perception of reward and risk and lead a person to quit studying, working and other tasks in search of instant wealth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{"citationID":"GeRUPk1g","properties":{"formattedCitation":"(Antonio et al., 2025; Fahrudin et al., 2024)","plainCitation":"(Antonio et al., 2025; Fahrudin et al., 2024)","noteIndex":0},"citationItems":[{"id":203,"uris":["http://zotero.org/users/local/OGJIxhLc/items/ZMLNYJLA"],"itemData":{"id":203,"type":"article-journal","abstract":"The rapid ascent of online casino gaming has become a game changer for the gambling industry in the Philippines. This trend poses challenges for traditional casinos in the Philippines, requiring adaptation to attract younger players for business sustainability. Moreover, there is a lack of studies when it comes to diversity in culture, initiation and maintenance, as well as analysis on individual stimulation and triggers for gambling, which this study aimed to fill. This study analyzed key factors influencing online gambling intentions among Generation Z and Millennials using higher-order Structural Equation Modeling with the extended higher-order reflective construct of the Unified Theory of Acceptance and Use of Technology 3 (UTAUT3) framework to effectively explained online gambling behavior. Testing the causal relationship among 408 valid responses using the SMART-PLS v4 software, it was seen that performance and effort expectancy, habit, social influence, hedonic motivation, personal innovativeness, price value, and facilitating conditions showed significant relationships with online gambling behavioral intentions. It has been presented that control have no significant relationship on online gambling behavioral intention of consumers, revealing that respondents may have no self or financial control while using online gambling platforms. Moreover, curiosity alone is not a strong motivator for consumers to participate in online gambling activities. Based on the results, the respondents do not perceive curiosity as a primary driver for their intent to engage in online gambling activities. This study provides valuable theoretical insights into the motivations and perceptions driving online gambling among younger generations, offering a comprehensive understanding of the market dynamics and potential policy implications for regulating online gambling activities. Moreover, practical implications were created for developers to clearly depict and align behavioral intention for online gambling.","container-title":"Entertainment Computing","DOI":"10.1016/j.entcom.2024.100918","ISSN":"18759521","journalAbbreviation":"Entertainment Computing","language":"en","page":"100918","source":"DOI.org (Crossref)","title":"The perceived risk and return, curiosity, and control analysis of online gambling intention among Gen Z and Millennials using extended UTAUT3","volume":"52","author":[{"family":"Antonio","given":"Jerald C."},{"family":"Ong","given":"Ardvin Kester S."},{"family":"Diaz","given":"John Francis T."},{"family":"Cahigas","given":"Maela Madel L."},{"family":"Gumasing","given":"Ma. Janice J."}],"issued":{"date-parts":[["2025",1]]}}},{"id":199,"uris":["http://zotero.org/users/local/OGJIxhLc/items/7DM5NYMG"],"itemData":{"id":199,"type":"article-journal","abstract":"The rise of online gambling in Indonesia has emerged as a significant public health concern, driven by various psychological, social, and regulatory factors. Despite stringent laws prohibiting gambling, the accessibility and appeal of online platforms have led to increased participation, particularly among young adults. This phenomenon is characterized by a paradoxical sense of control that users feel while gambling online, which can lead to compulsive behaviors and addiction. The structural characteristics of online gambling platforms, including fast-paced games and easy accessibility, further exacerbate this issue. Social influences, particularly through social media and peer interactions, normalize gambling behaviors, making them more appealing to adolescents. Mental health issues, such as anxiety and depression, are closely linked to online gambling addiction, as individuals may use gambling as a coping mechanism. The COVID-19 pandemic has intensified these challenges, with many individuals turning to online gambling for entertainment during lockdowns. To address the growing prevalence of online gambling addiction, comprehensive regulatory frameworks are needed, alongside responsible gambling initiatives and public awareness campaigns. Collaboration among stakeholders, including government agencies, healthcare providers, and gambling operators, is crucial for effective intervention. Continuous monitoring and evaluation of online gambling trends will inform future policies and help identify emerging risks. By adopting a multifaceted approach, Indonesian policymakers and stakeholders can work towards minimizing the risks associated with online gambling and fostering a healthier environment for its citizens.","container-title":"Journal of Infrastructure, Policy and Development","DOI":"10.24294/jipd.v8i11.9077","ISSN":"2572-7931, 2572-7923","issue":"11","journalAbbreviation":"J. Infras. Policy. Dev.","language":"en","license":"https://creativecommons.org/licenses/by/4.0/","page":"9077","source":"DOI.org (Crossref)","title":"Online gambling addiction: Problems and solutions for policymakers and stakeholders in Indonesia","title-short":"Online gambling addiction","volume":"8","author":[{"family":"Fahrudin","given":"Adi"},{"family":"Satispi","given":"Evi"},{"family":"Subardhini","given":"Meiti"},{"family":"Rinda Andayani","given":"Rini Hartini"},{"family":"Jayaputra","given":"Achmadi"},{"family":"Yuniarti","given":"Lisa"},{"family":"Wijayanti","given":"Febtri"},{"family":"Suryani","given":"Suryani"}],"issued":{"date-parts":[["2024",10,18]]}}}],"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(Antonio et al., 2025; Fahrudin et al., 2024)</w:t>
      </w:r>
      <w:r w:rsidRPr="003A618A">
        <w:rPr>
          <w:rFonts w:ascii="Times New Roman" w:hAnsi="Times New Roman" w:cs="Times New Roman"/>
          <w:color w:val="156082" w:themeColor="accent1"/>
        </w:rPr>
        <w:fldChar w:fldCharType="end"/>
      </w:r>
      <w:r w:rsidRPr="003A618A">
        <w:rPr>
          <w:rFonts w:ascii="Times New Roman" w:hAnsi="Times New Roman" w:cs="Times New Roman"/>
        </w:rPr>
        <w:t xml:space="preserve">. The gamification features of virtual rewards and leader boards make it hard to divide the fun and gambling lines, reinforcements of addictive </w:t>
      </w:r>
      <w:proofErr w:type="spellStart"/>
      <w:r w:rsidRPr="003A618A">
        <w:rPr>
          <w:rFonts w:ascii="Times New Roman" w:hAnsi="Times New Roman" w:cs="Times New Roman"/>
        </w:rPr>
        <w:t>behavior</w:t>
      </w:r>
      <w:proofErr w:type="spellEnd"/>
      <w:r w:rsidRPr="003A618A">
        <w:rPr>
          <w:rFonts w:ascii="Times New Roman" w:hAnsi="Times New Roman" w:cs="Times New Roman"/>
        </w:rPr>
        <w:t xml:space="preserve">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{"citationID":"pg0dya9W","properties":{"formattedCitation":"(Potenza et al., 2025)","plainCitation":"(Potenza et al., 2025)","noteIndex":0},"citationItems":[{"id":160,"uris":["http://zotero.org/users/local/OGJIxhLc/items/U5RF7YBK"],"itemData":{"id":160,"type":"chapter","abstract":"Abstract\n            This chapter summarizes the current literature on gambling and gambling disorders among youth. The emergence of online gambling, together with the legalization, social acceptance, and appearance of new forms of gambling or gambling-related factors, such as internet gambling, daily fantasy sports, and sports betting or loot boxes, may raise particular concerns for vulnerable populations. Adolescents are at a developmental stage characterized by increased autonomy, identity formation, social exploration, and brain development and often have high levels of sensation-seeking and impulsivity. As such, addictive or problematic engagement in gambling may have significant impacts on developmental trajectories in youth. This manuscript summarizes current knowledge, includes considerations for future research to help address current limitations in knowledge, and provides recommendations focused on the prevention of youth gambling behaviors and gambling problems in the current and evolving digital environment.","container-title":"Handbook of Children and Screens","event-place":"Cham","ISBN":"978-3-031-69361-8","language":"en","note":"DOI: 10.1007/978-3-031-69362-5_81","page":"597-603","publisher":"Springer Nature Switzerland","publisher-place":"Cham","source":"DOI.org (Crossref)","title":"Online Gambling in Youth","URL":"https://link.springer.com/10.1007/978-3-031-69362-5_81","editor":[{"family":"Christakis","given":"Dimitri A."},{"family":"Hale","given":"Lauren"}],"author":[{"family":"Potenza","given":"Marc N."},{"family":"Mestre-Bach","given":"Gemma"},{"family":"Demetrovics","given":"Zsolt"},{"family":"Derevensky","given":"Jeffrey"},{"family":"Fernandez-Aranda","given":"Fernando"},{"family":"Gainsbury","given":"Sally M."},{"family":"Jiménez-Murcia","given":"Susana"},{"family":"Kraus","given":"Shane W."}],"accessed":{"date-parts":[["2025",3,10]]},"issued":{"date-parts":[["2025"]]}}}],"schema":"https://github.com/citation-style-language/schema/raw/master/csl-citation.json"}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(Potenza et al., 2025)</w:t>
      </w:r>
      <w:r w:rsidRPr="003A618A">
        <w:rPr>
          <w:rFonts w:ascii="Times New Roman" w:hAnsi="Times New Roman" w:cs="Times New Roman"/>
          <w:color w:val="156082" w:themeColor="accent1"/>
        </w:rPr>
        <w:fldChar w:fldCharType="end"/>
      </w:r>
      <w:r w:rsidRPr="003A618A">
        <w:rPr>
          <w:rFonts w:ascii="Times New Roman" w:hAnsi="Times New Roman" w:cs="Times New Roman"/>
        </w:rPr>
        <w:t>. Without such understanding, it is important to create targeted interventions to protect potential harms</w:t>
      </w:r>
      <w:r w:rsidRPr="003A618A">
        <w:rPr>
          <w:rFonts w:ascii="Times New Roman" w:hAnsi="Times New Roman" w:cs="Times New Roman"/>
          <w:color w:val="156082" w:themeColor="accent1"/>
        </w:rPr>
        <w:t xml:space="preserve"> </w:t>
      </w:r>
      <w:r w:rsidRPr="003A618A">
        <w:rPr>
          <w:rFonts w:ascii="Times New Roman" w:hAnsi="Times New Roman" w:cs="Times New Roman"/>
          <w:color w:val="156082" w:themeColor="accent1"/>
        </w:rPr>
        <w:fldChar w:fldCharType="begin"/>
      </w:r>
      <w:r w:rsidRPr="003A618A">
        <w:rPr>
          <w:rFonts w:ascii="Times New Roman" w:hAnsi="Times New Roman" w:cs="Times New Roman"/>
          <w:color w:val="156082" w:themeColor="accent1"/>
        </w:rPr>
        <w:instrText xml:space="preserve"> ADDIN ZOTERO_ITEM CSL_CITATION {"citationID":"OH9mRwed","properties":{"formattedCitation":"(Indra et al., n.d.)","plainCitation":"(Indra et al., n.d.)","noteIndex":0},"citationItems":[{"id":207,"uris":["http://zotero.org/users/local/OGJIxhLc/items/XSIG5XD6"],"itemData":{"id":207,"type":"article-journal","abstract":"The increasing prevalence of online gambling cases among the young generation in Indonesia has a negative impact in that the younger generation is addicted to online gambling games that are easily accessible anywhere 24 hours a day, which only have a Wi-Fi network, through smartphones, and laptops. This study uses a descriptive method with a quantitative approach; the implementation time of this research starts from September 2024 to December 2024. The population in this study is the entire community attracted to the younger generation, namely those aged 17-29 years who use social media, such as Instagram. The research sample is the younger generation willing to become respondents by promoting a questionnaire on Instagram ads for 1 month. The number of respondents in the study was 90 respondents. The results of the study found that the majority of respondents who were exposed to online games under the guise of gambling were young generations aged 17-20 years. This age group is more vulnerable to social and digital influences due to the level of media literacy and self-control that is not fully mature. Involvement in online gambling is influenced by economic factors, such as low income and the assumption that gambling is an easy way to gain financial benefits. Technology, especially stable internet access, and social media is the main means that facilitate this engagement. Influence from friends, social media promotion, and the presence of influencers are the main drivers of respondents' involvement in gambling activities. Many respondents are exposed to online games through their social environment. Online gambling activities under the guise of gaming have had a negative impact, including difficulty controlling spending, increased addiction, and even a desire to go into debt to continue playing. It shows the addictive and destructive nature of gambling. Some respondents believe their skills or experience can increase their chances of winning. This belief encourages them to continue playing even though losses occur more often.","language":"en","source":"Zotero","title":"THE PHENOMENON OF ONLINE GAMBLING UNDER THE GUISE OF ONLINE GAMES AMONG THE YOUNGER GENERATION","author":[{"family":"Indra","given":"I Made"},{"family":"Japari","given":"Antony"},{"family":"Novika","given":"Fanny"},{"family":"Septivani","given":"C Nike"},{"family":"Rosmayanti","given":"Melinia"},{"family":"Chalista","given":"Bunga"}]}}],"schema":"https://github.com/citation-style-language/schema/raw/master/csl-citation.json"} </w:instrText>
      </w:r>
      <w:r w:rsidRPr="003A618A">
        <w:rPr>
          <w:rFonts w:ascii="Times New Roman" w:hAnsi="Times New Roman" w:cs="Times New Roman"/>
          <w:color w:val="156082" w:themeColor="accent1"/>
        </w:rPr>
        <w:fldChar w:fldCharType="separate"/>
      </w:r>
      <w:r w:rsidRPr="003A618A">
        <w:rPr>
          <w:rFonts w:ascii="Times New Roman" w:hAnsi="Times New Roman" w:cs="Times New Roman"/>
          <w:color w:val="156082" w:themeColor="accent1"/>
        </w:rPr>
        <w:t>(Indra et al., n.d.)</w:t>
      </w:r>
      <w:r w:rsidRPr="003A618A">
        <w:rPr>
          <w:rFonts w:ascii="Times New Roman" w:hAnsi="Times New Roman" w:cs="Times New Roman"/>
          <w:color w:val="156082" w:themeColor="accent1"/>
        </w:rPr>
        <w:fldChar w:fldCharType="end"/>
      </w:r>
      <w:r w:rsidRPr="003A618A">
        <w:rPr>
          <w:rFonts w:ascii="Times New Roman" w:hAnsi="Times New Roman" w:cs="Times New Roman"/>
        </w:rPr>
        <w:t>.</w:t>
      </w:r>
    </w:p>
    <w:p w14:paraId="31358613" w14:textId="77777777" w:rsidR="00536834" w:rsidRDefault="00536834" w:rsidP="00536834">
      <w:pPr>
        <w:spacing w:line="360" w:lineRule="auto"/>
        <w:jc w:val="both"/>
        <w:rPr>
          <w:rFonts w:ascii="Times New Roman" w:hAnsi="Times New Roman" w:cs="Times New Roman"/>
        </w:rPr>
      </w:pPr>
    </w:p>
    <w:p w14:paraId="654B8A0C" w14:textId="77777777" w:rsidR="00536834" w:rsidRDefault="00536834" w:rsidP="00536834">
      <w:pPr>
        <w:spacing w:line="360" w:lineRule="auto"/>
        <w:jc w:val="both"/>
        <w:rPr>
          <w:rFonts w:ascii="Times New Roman" w:hAnsi="Times New Roman" w:cs="Times New Roman"/>
        </w:rPr>
      </w:pPr>
    </w:p>
    <w:p w14:paraId="61D70032" w14:textId="77777777" w:rsidR="00536834" w:rsidRDefault="00536834" w:rsidP="00536834">
      <w:pPr>
        <w:spacing w:line="360" w:lineRule="auto"/>
        <w:jc w:val="both"/>
        <w:rPr>
          <w:rFonts w:ascii="Times New Roman" w:hAnsi="Times New Roman" w:cs="Times New Roman"/>
        </w:rPr>
      </w:pPr>
    </w:p>
    <w:p w14:paraId="03B1ABA4" w14:textId="77777777" w:rsidR="00536834" w:rsidRPr="00536834" w:rsidRDefault="00536834" w:rsidP="00536834">
      <w:pPr>
        <w:spacing w:line="360" w:lineRule="auto"/>
        <w:jc w:val="both"/>
        <w:rPr>
          <w:rFonts w:ascii="Times New Roman" w:hAnsi="Times New Roman" w:cs="Times New Roman"/>
        </w:rPr>
      </w:pPr>
    </w:p>
    <w:p w14:paraId="27040767" w14:textId="67698A9A" w:rsidR="003A45EE" w:rsidRPr="00536834" w:rsidRDefault="00000000" w:rsidP="00536834">
      <w:pPr>
        <w:pStyle w:val="Title"/>
        <w:spacing w:line="360" w:lineRule="auto"/>
        <w:jc w:val="both"/>
        <w:rPr>
          <w:rFonts w:ascii="Times New Roman" w:eastAsia="Times New Roman" w:hAnsi="Times New Roman" w:cs="Times New Roman"/>
          <w:b/>
          <w:sz w:val="24"/>
          <w:szCs w:val="24"/>
          <w:u w:val="single"/>
        </w:rPr>
      </w:pPr>
      <w:r w:rsidRPr="00536834">
        <w:rPr>
          <w:rFonts w:ascii="Times New Roman" w:eastAsia="Times New Roman" w:hAnsi="Times New Roman" w:cs="Times New Roman"/>
          <w:b/>
          <w:sz w:val="24"/>
          <w:szCs w:val="24"/>
          <w:u w:val="single"/>
        </w:rPr>
        <w:lastRenderedPageBreak/>
        <w:t>2</w:t>
      </w:r>
      <w:r w:rsidR="004E3F00" w:rsidRPr="00536834">
        <w:rPr>
          <w:rFonts w:ascii="Times New Roman" w:eastAsia="Times New Roman" w:hAnsi="Times New Roman" w:cs="Times New Roman"/>
          <w:b/>
          <w:sz w:val="24"/>
          <w:szCs w:val="24"/>
          <w:u w:val="single"/>
        </w:rPr>
        <w:t>.</w:t>
      </w:r>
      <w:r w:rsidRPr="00536834">
        <w:rPr>
          <w:rFonts w:ascii="Times New Roman" w:eastAsia="Times New Roman" w:hAnsi="Times New Roman" w:cs="Times New Roman"/>
          <w:b/>
          <w:sz w:val="24"/>
          <w:szCs w:val="24"/>
          <w:u w:val="single"/>
        </w:rPr>
        <w:t xml:space="preserve"> </w:t>
      </w:r>
      <w:r w:rsidR="005E6BFE" w:rsidRPr="00536834">
        <w:rPr>
          <w:rFonts w:ascii="Times New Roman" w:eastAsia="Times New Roman" w:hAnsi="Times New Roman" w:cs="Times New Roman"/>
          <w:b/>
          <w:sz w:val="24"/>
          <w:szCs w:val="24"/>
          <w:u w:val="single"/>
        </w:rPr>
        <w:t>LITERATURE REVIEW:</w:t>
      </w:r>
    </w:p>
    <w:p w14:paraId="3CB04B49" w14:textId="77777777" w:rsidR="005B3925" w:rsidRPr="00536834" w:rsidRDefault="003A45EE" w:rsidP="00536834">
      <w:pPr>
        <w:spacing w:line="360" w:lineRule="auto"/>
        <w:jc w:val="both"/>
        <w:rPr>
          <w:rFonts w:ascii="Times New Roman" w:eastAsia="Times New Roman" w:hAnsi="Times New Roman" w:cs="Times New Roman"/>
          <w:color w:val="000000" w:themeColor="text1"/>
        </w:rPr>
      </w:pPr>
      <w:r w:rsidRPr="00536834">
        <w:rPr>
          <w:rFonts w:ascii="Times New Roman" w:eastAsia="Times New Roman" w:hAnsi="Times New Roman" w:cs="Times New Roman"/>
          <w:color w:val="000000" w:themeColor="text1"/>
        </w:rPr>
        <w:t>Online gambling, which includes Stake, has also made a difference in many, specifically young adults-Gen-Z and millennials. Gambling habits are influenced by the social and economic factors such as income levels and accessibility; younger individuals have a higher susceptibility to habitual gambling</w:t>
      </w:r>
      <w:r w:rsidR="005B3925" w:rsidRPr="00536834">
        <w:rPr>
          <w:rFonts w:ascii="Times New Roman" w:eastAsia="Times New Roman" w:hAnsi="Times New Roman" w:cs="Times New Roman"/>
          <w:color w:val="000000" w:themeColor="text1"/>
        </w:rPr>
        <w:t xml:space="preserve"> </w:t>
      </w:r>
      <w:r w:rsidR="005B3925" w:rsidRPr="00536834">
        <w:rPr>
          <w:rFonts w:ascii="Times New Roman" w:eastAsia="Times New Roman" w:hAnsi="Times New Roman" w:cs="Times New Roman"/>
          <w:color w:val="215E99" w:themeColor="text2" w:themeTint="BF"/>
        </w:rPr>
        <w:fldChar w:fldCharType="begin"/>
      </w:r>
      <w:r w:rsidR="005B3925" w:rsidRPr="00536834">
        <w:rPr>
          <w:rFonts w:ascii="Times New Roman" w:eastAsia="Times New Roman" w:hAnsi="Times New Roman" w:cs="Times New Roman"/>
          <w:color w:val="215E99" w:themeColor="text2" w:themeTint="BF"/>
        </w:rPr>
        <w:instrText xml:space="preserve"> ADDIN ZOTERO_ITEM CSL_CITATION {"citationID":"4Wjjeq50","properties":{"formattedCitation":"(Antonio et al., 2025)","plainCitation":"(Antonio et al., 2025)","noteIndex":0},"citationItems":[{"id":203,"uris":["http://zotero.org/users/local/OGJIxhLc/items/ZMLNYJLA"],"itemData":{"id":203,"type":"article-journal","abstract":"The rapid ascent of online casino gaming has become a game changer for the gambling industry in the Philippines. This trend poses challenges for traditional casinos in the Philippines, requiring adaptation to attract younger players for business sustainability. Moreover, there is a lack of studies when it comes to diversity in culture, initiation and maintenance, as well as analysis on individual stimulation and triggers for gambling, which this study aimed to fill. This study analyzed key factors influencing online gambling intentions among Generation Z and Millennials using higher-order Structural Equation Modeling with the extended higher-order reflective construct of the Unified Theory of Acceptance and Use of Technology 3 (UTAUT3) framework to effectively explained online gambling behavior. Testing the causal relationship among 408 valid responses using the SMART-PLS v4 software, it was seen that performance and effort expectancy, habit, social influence, hedonic motivation, personal innovativeness, price value, and facilitating conditions showed significant relationships with online gambling behavioral intentions. It has been presented that control have no significant relationship on online gambling behavioral intention of consumers, revealing that respondents may have no self or financial control while using online gambling platforms. Moreover, curiosity alone is not a strong motivator for consumers to participate in online gambling activities. Based on the results, the respondents do not perceive curiosity as a primary driver for their intent to engage in online gambling activities. This study provides valuable theoretical insights into the motivations and perceptions driving online gambling among younger generations, offering a comprehensive understanding of the market dynamics and potential policy implications for regulating online gambling activities. Moreover, practical implications were created for developers to clearly depict and align behavioral intention for online gambling.","container-title":"Entertainment Computing","DOI":"10.1016/j.entcom.2024.100918","ISSN":"18759521","journalAbbreviation":"Entertainment Computing","language":"en","page":"100918","source":"DOI.org (Crossref)","title":"The perceived risk and return, curiosity, and control analysis of online gambling intention among Gen Z and Millennials using extended UTAUT3","volume":"52","author":[{"family":"Antonio","given":"Jerald C."},{"family":"Ong","given":"Ardvin Kester S."},{"family":"Diaz","given":"John Francis T."},{"family":"Cahigas","given":"Maela Madel L."},{"family":"Gumasing","given":"Ma. Janice J."}],"issued":{"date-parts":[["2025",1]]}}}],"schema":"https://github.com/citation-style-language/schema/raw/master/csl-citation.json"} </w:instrText>
      </w:r>
      <w:r w:rsidR="005B3925" w:rsidRPr="00536834">
        <w:rPr>
          <w:rFonts w:ascii="Times New Roman" w:eastAsia="Times New Roman" w:hAnsi="Times New Roman" w:cs="Times New Roman"/>
          <w:color w:val="215E99" w:themeColor="text2" w:themeTint="BF"/>
        </w:rPr>
        <w:fldChar w:fldCharType="separate"/>
      </w:r>
      <w:r w:rsidR="005B3925" w:rsidRPr="00536834">
        <w:rPr>
          <w:rFonts w:ascii="Times New Roman" w:eastAsia="Times New Roman" w:hAnsi="Times New Roman" w:cs="Times New Roman"/>
          <w:noProof/>
          <w:color w:val="215E99" w:themeColor="text2" w:themeTint="BF"/>
        </w:rPr>
        <w:t>(Antonio et al., 2025)</w:t>
      </w:r>
      <w:r w:rsidR="005B3925" w:rsidRPr="00536834">
        <w:rPr>
          <w:rFonts w:ascii="Times New Roman" w:eastAsia="Times New Roman" w:hAnsi="Times New Roman" w:cs="Times New Roman"/>
          <w:color w:val="215E99" w:themeColor="text2" w:themeTint="BF"/>
        </w:rPr>
        <w:fldChar w:fldCharType="end"/>
      </w:r>
      <w:r w:rsidRPr="00536834">
        <w:rPr>
          <w:rFonts w:ascii="Times New Roman" w:eastAsia="Times New Roman" w:hAnsi="Times New Roman" w:cs="Times New Roman"/>
          <w:color w:val="000000" w:themeColor="text1"/>
        </w:rPr>
        <w:t xml:space="preserve">. For students and </w:t>
      </w:r>
      <w:proofErr w:type="gramStart"/>
      <w:r w:rsidRPr="00536834">
        <w:rPr>
          <w:rFonts w:ascii="Times New Roman" w:eastAsia="Times New Roman" w:hAnsi="Times New Roman" w:cs="Times New Roman"/>
          <w:color w:val="000000" w:themeColor="text1"/>
        </w:rPr>
        <w:t>low income</w:t>
      </w:r>
      <w:proofErr w:type="gramEnd"/>
      <w:r w:rsidRPr="00536834">
        <w:rPr>
          <w:rFonts w:ascii="Times New Roman" w:eastAsia="Times New Roman" w:hAnsi="Times New Roman" w:cs="Times New Roman"/>
          <w:color w:val="000000" w:themeColor="text1"/>
        </w:rPr>
        <w:t xml:space="preserve"> groups, they are especially experienced in terms of psychological effects such as addiction and lowered self-control. The nature of gambling habits is also conditioned by financial availability and lack of parental monitoring, especially with adolescents in the case</w:t>
      </w:r>
      <w:r w:rsidR="005B3925" w:rsidRPr="00536834">
        <w:rPr>
          <w:rFonts w:ascii="Times New Roman" w:eastAsia="Times New Roman" w:hAnsi="Times New Roman" w:cs="Times New Roman"/>
          <w:color w:val="000000" w:themeColor="text1"/>
        </w:rPr>
        <w:t xml:space="preserve"> </w:t>
      </w:r>
      <w:r w:rsidR="005B3925" w:rsidRPr="00536834">
        <w:rPr>
          <w:rFonts w:ascii="Times New Roman" w:eastAsia="Times New Roman" w:hAnsi="Times New Roman" w:cs="Times New Roman"/>
          <w:color w:val="215E99" w:themeColor="text2" w:themeTint="BF"/>
        </w:rPr>
        <w:fldChar w:fldCharType="begin"/>
      </w:r>
      <w:r w:rsidR="005B3925" w:rsidRPr="00536834">
        <w:rPr>
          <w:rFonts w:ascii="Times New Roman" w:eastAsia="Times New Roman" w:hAnsi="Times New Roman" w:cs="Times New Roman"/>
          <w:color w:val="215E99" w:themeColor="text2" w:themeTint="BF"/>
        </w:rPr>
        <w:instrText xml:space="preserve"> ADDIN ZOTERO_ITEM CSL_CITATION {"citationID":"VG7yUpk4","properties":{"formattedCitation":"(Lombardi et al., 2024)","plainCitation":"(Lombardi et al., 2024)","noteIndex":0},"citationItems":[{"id":158,"uris":["http://zotero.org/users/local/OGJIxhLc/items/5PESWT7Y"],"itemData":{"id":158,"type":"article-journal","abstract":"Objective: This study aims to identify risk factors associated with gambling engagement and the likelihood of problem behavior, distinguishing by type of gambling activity and examining the impact of online gambling. Methods: Data about 85,420 students aged 16 from 33 countries participating in the 2019 European School Survey Project on Alcohol and Other Drugs (ESPAD) were analyzed through a three-stage sequential probit model, specifically focusing on four types of activity: lotteries, slot machines, cards, and betting. Furthermore, predicted probabilities were calculated for subsamples of students engaging in different types of gambling activities to explore their influence on the likelihood of problem gambling behavior, conditioned on online gambling involvement.","container-title":"Social Science &amp; Medicine","DOI":"10.1016/j.socscimed.2024.117482","ISSN":"02779536","journalAbbreviation":"Social Science &amp; Medicine","language":"en","page":"117482","source":"DOI.org (Crossref)","title":"The cards they're dealt: types of gambling activity, online gambling, and risk of problem gambling in European adolescents","title-short":"The cards they're dealt","volume":"363","author":[{"family":"Lombardi","given":"Gabriele"},{"family":"Molinaro","given":"Sabrina"},{"family":"Cotichini","given":"Rodolfo"},{"family":"Cerrai","given":"Sonia"},{"family":"Scalese","given":"Marco"},{"family":"Benedetti","given":"Elisa"}],"issued":{"date-parts":[["2024",12]]}}}],"schema":"https://github.com/citation-style-language/schema/raw/master/csl-citation.json"} </w:instrText>
      </w:r>
      <w:r w:rsidR="005B3925" w:rsidRPr="00536834">
        <w:rPr>
          <w:rFonts w:ascii="Times New Roman" w:eastAsia="Times New Roman" w:hAnsi="Times New Roman" w:cs="Times New Roman"/>
          <w:color w:val="215E99" w:themeColor="text2" w:themeTint="BF"/>
        </w:rPr>
        <w:fldChar w:fldCharType="separate"/>
      </w:r>
      <w:r w:rsidR="005B3925" w:rsidRPr="00536834">
        <w:rPr>
          <w:rFonts w:ascii="Times New Roman" w:eastAsia="Times New Roman" w:hAnsi="Times New Roman" w:cs="Times New Roman"/>
          <w:noProof/>
          <w:color w:val="215E99" w:themeColor="text2" w:themeTint="BF"/>
        </w:rPr>
        <w:t>(Lombardi et al., 2024)</w:t>
      </w:r>
      <w:r w:rsidR="005B3925" w:rsidRPr="00536834">
        <w:rPr>
          <w:rFonts w:ascii="Times New Roman" w:eastAsia="Times New Roman" w:hAnsi="Times New Roman" w:cs="Times New Roman"/>
          <w:color w:val="215E99" w:themeColor="text2" w:themeTint="BF"/>
        </w:rPr>
        <w:fldChar w:fldCharType="end"/>
      </w:r>
      <w:r w:rsidRPr="00536834">
        <w:rPr>
          <w:rFonts w:ascii="Times New Roman" w:eastAsia="Times New Roman" w:hAnsi="Times New Roman" w:cs="Times New Roman"/>
          <w:color w:val="000000" w:themeColor="text1"/>
        </w:rPr>
        <w:t>. Online gambling is accessible and addictive and presents psychological risks particularly with slot machines and betting associated with problem behaviour. Because adolescents are particularly autonomous, have formed an identity, and are highly sensation seeking and impulsive, they are especially vulnerable</w:t>
      </w:r>
      <w:r w:rsidR="005B3925" w:rsidRPr="00536834">
        <w:rPr>
          <w:rFonts w:ascii="Times New Roman" w:eastAsia="Times New Roman" w:hAnsi="Times New Roman" w:cs="Times New Roman"/>
          <w:color w:val="000000" w:themeColor="text1"/>
        </w:rPr>
        <w:t xml:space="preserve"> </w:t>
      </w:r>
      <w:r w:rsidR="005B3925" w:rsidRPr="00536834">
        <w:rPr>
          <w:rFonts w:ascii="Times New Roman" w:eastAsia="Times New Roman" w:hAnsi="Times New Roman" w:cs="Times New Roman"/>
          <w:color w:val="215E99" w:themeColor="text2" w:themeTint="BF"/>
        </w:rPr>
        <w:fldChar w:fldCharType="begin"/>
      </w:r>
      <w:r w:rsidR="005B3925" w:rsidRPr="00536834">
        <w:rPr>
          <w:rFonts w:ascii="Times New Roman" w:eastAsia="Times New Roman" w:hAnsi="Times New Roman" w:cs="Times New Roman"/>
          <w:color w:val="215E99" w:themeColor="text2" w:themeTint="BF"/>
        </w:rPr>
        <w:instrText xml:space="preserve"> ADDIN ZOTERO_ITEM CSL_CITATION {"citationID":"mxcqgSyz","properties":{"formattedCitation":"(Potenza et al., 2025)","plainCitation":"(Potenza et al., 2025)","noteIndex":0},"citationItems":[{"id":160,"uris":["http://zotero.org/users/local/OGJIxhLc/items/U5RF7YBK"],"itemData":{"id":160,"type":"chapter","abstract":"Abstract\n            This chapter summarizes the current literature on gambling and gambling disorders among youth. The emergence of online gambling, together with the legalization, social acceptance, and appearance of new forms of gambling or gambling-related factors, such as internet gambling, daily fantasy sports, and sports betting or loot boxes, may raise particular concerns for vulnerable populations. Adolescents are at a developmental stage characterized by increased autonomy, identity formation, social exploration, and brain development and often have high levels of sensation-seeking and impulsivity. As such, addictive or problematic engagement in gambling may have significant impacts on developmental trajectories in youth. This manuscript summarizes current knowledge, includes considerations for future research to help address current limitations in knowledge, and provides recommendations focused on the prevention of youth gambling behaviors and gambling problems in the current and evolving digital environment.","container-title":"Handbook of Children and Screens","event-place":"Cham","ISBN":"978-3-031-69361-8","language":"en","note":"DOI: 10.1007/978-3-031-69362-5_81","page":"597-603","publisher":"Springer Nature Switzerland","publisher-place":"Cham","source":"DOI.org (Crossref)","title":"Online Gambling in Youth","URL":"https://link.springer.com/10.1007/978-3-031-69362-5_81","editor":[{"family":"Christakis","given":"Dimitri A."},{"family":"Hale","given":"Lauren"}],"author":[{"family":"Potenza","given":"Marc N."},{"family":"Mestre-Bach","given":"Gemma"},{"family":"Demetrovics","given":"Zsolt"},{"family":"Derevensky","given":"Jeffrey"},{"family":"Fernandez-Aranda","given":"Fernando"},{"family":"Gainsbury","given":"Sally M."},{"family":"Jiménez-Murcia","given":"Susana"},{"family":"Kraus","given":"Shane W."}],"accessed":{"date-parts":[["2025",3,10]]},"issued":{"date-parts":[["2025"]]}}}],"schema":"https://github.com/citation-style-language/schema/raw/master/csl-citation.json"} </w:instrText>
      </w:r>
      <w:r w:rsidR="005B3925" w:rsidRPr="00536834">
        <w:rPr>
          <w:rFonts w:ascii="Times New Roman" w:eastAsia="Times New Roman" w:hAnsi="Times New Roman" w:cs="Times New Roman"/>
          <w:color w:val="215E99" w:themeColor="text2" w:themeTint="BF"/>
        </w:rPr>
        <w:fldChar w:fldCharType="separate"/>
      </w:r>
      <w:r w:rsidR="005B3925" w:rsidRPr="00536834">
        <w:rPr>
          <w:rFonts w:ascii="Times New Roman" w:eastAsia="Times New Roman" w:hAnsi="Times New Roman" w:cs="Times New Roman"/>
          <w:noProof/>
          <w:color w:val="215E99" w:themeColor="text2" w:themeTint="BF"/>
        </w:rPr>
        <w:t>(Potenza et al., 2025)</w:t>
      </w:r>
      <w:r w:rsidR="005B3925" w:rsidRPr="00536834">
        <w:rPr>
          <w:rFonts w:ascii="Times New Roman" w:eastAsia="Times New Roman" w:hAnsi="Times New Roman" w:cs="Times New Roman"/>
          <w:color w:val="215E99" w:themeColor="text2" w:themeTint="BF"/>
        </w:rPr>
        <w:fldChar w:fldCharType="end"/>
      </w:r>
      <w:r w:rsidRPr="00536834">
        <w:rPr>
          <w:rFonts w:ascii="Times New Roman" w:eastAsia="Times New Roman" w:hAnsi="Times New Roman" w:cs="Times New Roman"/>
          <w:color w:val="000000" w:themeColor="text1"/>
        </w:rPr>
        <w:t>. All are susceptible, and although they wouldn’t necessarily suffer more severe problems than others, anonymity and accessibility make their millionaire gambling online easier than it is for those not at risk, and easier than ever</w:t>
      </w:r>
      <w:r w:rsidR="005B3925" w:rsidRPr="00536834">
        <w:rPr>
          <w:rFonts w:ascii="Times New Roman" w:eastAsia="Times New Roman" w:hAnsi="Times New Roman" w:cs="Times New Roman"/>
          <w:color w:val="000000" w:themeColor="text1"/>
        </w:rPr>
        <w:t xml:space="preserve"> </w:t>
      </w:r>
      <w:r w:rsidR="005B3925" w:rsidRPr="00536834">
        <w:rPr>
          <w:rFonts w:ascii="Times New Roman" w:eastAsia="Times New Roman" w:hAnsi="Times New Roman" w:cs="Times New Roman"/>
          <w:color w:val="215E99" w:themeColor="text2" w:themeTint="BF"/>
        </w:rPr>
        <w:fldChar w:fldCharType="begin"/>
      </w:r>
      <w:r w:rsidR="005B3925" w:rsidRPr="00536834">
        <w:rPr>
          <w:rFonts w:ascii="Times New Roman" w:eastAsia="Times New Roman" w:hAnsi="Times New Roman" w:cs="Times New Roman"/>
          <w:color w:val="215E99" w:themeColor="text2" w:themeTint="BF"/>
        </w:rPr>
        <w:instrText xml:space="preserve"> ADDIN ZOTERO_ITEM CSL_CITATION {"citationID":"hv61l4zR","properties":{"formattedCitation":"(Bush-Evans et al., 2024)","plainCitation":"(Bush-Evans et al., 2024)","noteIndex":0},"citationItems":[{"id":164,"uris":["http://zotero.org/users/local/OGJIxhLc/items/HHXKAV54"],"itemData":{"id":164,"type":"article-journal","abstract":"Gambling, though a popular social activity, can lead to addiction and cause significant harm. This study aimed to explore the experiences of 36 low-to-moderate risk gamblers (PGSI score 0–7; 31 male, 5 female; 10 per each intervention arm, 6 per control group) in the ‘EROGamb 2.0’ feasibility trial (n = 168). The trial used social norm messages and goal setting feedback to promote safer gambling behaviour. Participants took part in semistructured interviews via telephone or audio calls using Zoom or Wire, a secure messaging app. The interviews were analysed using Framework Analysis. Most participants found the interventions interesting and useful, though some reported no change in their gambling behaviour. Motivations for joining the trial included interest in the topic, altruism, and financial incentives. Participants appreciated the study's clear information, efficient processes, and helpful notifications, despite some technical issues. Reactions to social norm messages were mixed, with some expressing scepticism about the statistics. However, the goal setting intervention was well-received, with participants valuing the clarity and usefulness of the information. External factors, such as promotional offers from gambling companies, influenced gambling behaviour. The findings support the feasibility and acceptability of social norm and goal setting interventions to reduce gambling behaviour, highlighting the need for personalised approaches in future research.","container-title":"Internet Interventions","DOI":"10.1016/j.invent.2024.100790","ISSN":"22147829","journalAbbreviation":"Internet Interventions","language":"en","page":"100790","source":"DOI.org (Crossref)","title":"Promoting safer gambling through social norms and goal setting: A qualitative process analysis of participants' experiences in the EROGamb 2.0 feasibility trial","title-short":"Promoting safer gambling through social norms and goal setting","volume":"38","author":[{"family":"Bush-Evans","given":"Reece"},{"family":"Arden-Close","given":"Emily"},{"family":"Thomas","given":"Sarah"},{"family":"McAlaney","given":"John"},{"family":"Wang","given":"Ruijie"},{"family":"Bolat","given":"Elvira"},{"family":"Hodge","given":"Sarah"},{"family":"Hamson-Ford","given":"Abigail"},{"family":"Phalp","given":"Keith"}],"issued":{"date-parts":[["2024",12]]}}}],"schema":"https://github.com/citation-style-language/schema/raw/master/csl-citation.json"} </w:instrText>
      </w:r>
      <w:r w:rsidR="005B3925" w:rsidRPr="00536834">
        <w:rPr>
          <w:rFonts w:ascii="Times New Roman" w:eastAsia="Times New Roman" w:hAnsi="Times New Roman" w:cs="Times New Roman"/>
          <w:color w:val="215E99" w:themeColor="text2" w:themeTint="BF"/>
        </w:rPr>
        <w:fldChar w:fldCharType="separate"/>
      </w:r>
      <w:r w:rsidR="005B3925" w:rsidRPr="00536834">
        <w:rPr>
          <w:rFonts w:ascii="Times New Roman" w:eastAsia="Times New Roman" w:hAnsi="Times New Roman" w:cs="Times New Roman"/>
          <w:noProof/>
          <w:color w:val="215E99" w:themeColor="text2" w:themeTint="BF"/>
        </w:rPr>
        <w:t>(Bush-Evans et al., 2024)</w:t>
      </w:r>
      <w:r w:rsidR="005B3925" w:rsidRPr="00536834">
        <w:rPr>
          <w:rFonts w:ascii="Times New Roman" w:eastAsia="Times New Roman" w:hAnsi="Times New Roman" w:cs="Times New Roman"/>
          <w:color w:val="215E99" w:themeColor="text2" w:themeTint="BF"/>
        </w:rPr>
        <w:fldChar w:fldCharType="end"/>
      </w:r>
      <w:r w:rsidRPr="00536834">
        <w:rPr>
          <w:rFonts w:ascii="Times New Roman" w:eastAsia="Times New Roman" w:hAnsi="Times New Roman" w:cs="Times New Roman"/>
          <w:color w:val="000000" w:themeColor="text1"/>
        </w:rPr>
        <w:t>.</w:t>
      </w:r>
    </w:p>
    <w:p w14:paraId="7709ED60" w14:textId="31D7BE67" w:rsidR="003A45EE" w:rsidRPr="00536834" w:rsidRDefault="003A45EE" w:rsidP="00536834">
      <w:pPr>
        <w:spacing w:line="360" w:lineRule="auto"/>
        <w:jc w:val="both"/>
        <w:rPr>
          <w:rFonts w:ascii="Times New Roman" w:eastAsia="Times New Roman" w:hAnsi="Times New Roman" w:cs="Times New Roman"/>
          <w:color w:val="000000" w:themeColor="text1"/>
        </w:rPr>
      </w:pPr>
      <w:r w:rsidRPr="00536834">
        <w:rPr>
          <w:rFonts w:ascii="Times New Roman" w:eastAsia="Times New Roman" w:hAnsi="Times New Roman" w:cs="Times New Roman"/>
          <w:color w:val="000000" w:themeColor="text1"/>
        </w:rPr>
        <w:t>The findings emphasize the importance of targeted interventions and tighter regulating online gambling in combating dubious socio-economic and psychological side of it</w:t>
      </w:r>
      <w:r w:rsidR="005B3925" w:rsidRPr="00536834">
        <w:rPr>
          <w:rFonts w:ascii="Times New Roman" w:eastAsia="Times New Roman" w:hAnsi="Times New Roman" w:cs="Times New Roman"/>
          <w:color w:val="000000" w:themeColor="text1"/>
        </w:rPr>
        <w:t xml:space="preserve"> </w:t>
      </w:r>
      <w:r w:rsidR="005B3925" w:rsidRPr="00536834">
        <w:rPr>
          <w:rFonts w:ascii="Times New Roman" w:eastAsia="Times New Roman" w:hAnsi="Times New Roman" w:cs="Times New Roman"/>
          <w:color w:val="215E99" w:themeColor="text2" w:themeTint="BF"/>
        </w:rPr>
        <w:fldChar w:fldCharType="begin"/>
      </w:r>
      <w:r w:rsidR="005B3925" w:rsidRPr="00536834">
        <w:rPr>
          <w:rFonts w:ascii="Times New Roman" w:eastAsia="Times New Roman" w:hAnsi="Times New Roman" w:cs="Times New Roman"/>
          <w:color w:val="215E99" w:themeColor="text2" w:themeTint="BF"/>
        </w:rPr>
        <w:instrText xml:space="preserve"> ADDIN ZOTERO_ITEM CSL_CITATION {"citationID":"tm3pGnML","properties":{"formattedCitation":"(Dowling et al., 2025)","plainCitation":"(Dowling et al., 2025)","noteIndex":0},"citationItems":[{"id":166,"uris":["http://zotero.org/users/local/OGJIxhLc/items/SFJFDP63"],"itemData":{"id":166,"type":"article-journal","abstract":"Public health definitions of gambling-related harm include risks to family members and friends. This scoping review broadly aims to identify recent research on addressing gambling harm to adult affected others, focusing on prevalence, socio-demographic profiles, gambling profiles, and harm (Part I); and coping strategies, assessment, and treatment (Part II). A systematic search of electronic databases identified 121 studies published from 2000, with 82 focusing on coping strategies (22.3 %), assessment (21.5 %), and treatment (39.7 %). Findings revealed affected others employ various coping strategies, which can be gambler- or family-focussed, before accessing other forms of support. Common strategies include financial strategies and informal support but few studies have assessed their effectiveness. Few brief fit-for-purpose instruments with adequate psychometric evaluation are available to assess affected other status, harm, coping, social support, and help-seeking. Affected others are under-represented in treatment (8 % in general practices, 15 %–26 % in online gambling services, 30 %–43 % in gambling helplines), largely due to various barriers, including a lack of service awareness and shame. Low-intensity internet-delivered interventions show promise and can reach affected others who would not otherwise receive professional help. Other affected other interventions, which can be gambler- and/or familyfocused, demonstrate good acceptability but somewhat limited efficacy, while couple interventions demonstrate some promising outcomes, although more rigorous evaluations are needed. The diverse treatment needs and preferences of affected others, coupled with the relatively limited efficacy of current treatments, highlight the need for the development of tailored interventions. The findings of this review can be used to inform clinical, research, and policy decision-making.","container-title":"Clinical Psychology Review","DOI":"10.1016/j.cpr.2025.102543","ISSN":"02727358","journalAbbreviation":"Clinical Psychology Review","language":"en","page":"102543","source":"DOI.org (Crossref)","title":"Addressing Gambling Harm to affected others: A scoping review (part II: Coping, assessment and treatment)","title-short":"Addressing Gambling Harm to affected others","volume":"116","author":[{"family":"Dowling","given":"N.A."},{"family":"Hawker","given":"C.O."},{"family":"Merkouris","given":"S.S."},{"family":"Rodda","given":"S.N."},{"family":"Hodgins","given":"D.C."}],"issued":{"date-parts":[["2025",3]]}}}],"schema":"https://github.com/citation-style-language/schema/raw/master/csl-citation.json"} </w:instrText>
      </w:r>
      <w:r w:rsidR="005B3925" w:rsidRPr="00536834">
        <w:rPr>
          <w:rFonts w:ascii="Times New Roman" w:eastAsia="Times New Roman" w:hAnsi="Times New Roman" w:cs="Times New Roman"/>
          <w:color w:val="215E99" w:themeColor="text2" w:themeTint="BF"/>
        </w:rPr>
        <w:fldChar w:fldCharType="separate"/>
      </w:r>
      <w:r w:rsidR="005B3925" w:rsidRPr="00536834">
        <w:rPr>
          <w:rFonts w:ascii="Times New Roman" w:eastAsia="Times New Roman" w:hAnsi="Times New Roman" w:cs="Times New Roman"/>
          <w:noProof/>
          <w:color w:val="215E99" w:themeColor="text2" w:themeTint="BF"/>
        </w:rPr>
        <w:t>(Dowling et al., 2025)</w:t>
      </w:r>
      <w:r w:rsidR="005B3925" w:rsidRPr="00536834">
        <w:rPr>
          <w:rFonts w:ascii="Times New Roman" w:eastAsia="Times New Roman" w:hAnsi="Times New Roman" w:cs="Times New Roman"/>
          <w:color w:val="215E99" w:themeColor="text2" w:themeTint="BF"/>
        </w:rPr>
        <w:fldChar w:fldCharType="end"/>
      </w:r>
      <w:r w:rsidRPr="00536834">
        <w:rPr>
          <w:rFonts w:ascii="Times New Roman" w:eastAsia="Times New Roman" w:hAnsi="Times New Roman" w:cs="Times New Roman"/>
          <w:color w:val="000000" w:themeColor="text1"/>
        </w:rPr>
        <w:t>. The link between risky loot box purchases and problem gambling and increased depression, anxiety and impulsivity in young adults is very strong. Such issues show the necessity of assessing the efficacy of the regulatory measures aimed at limiting harm</w:t>
      </w:r>
      <w:r w:rsidR="005B3925" w:rsidRPr="00536834">
        <w:rPr>
          <w:rFonts w:ascii="Times New Roman" w:eastAsia="Times New Roman" w:hAnsi="Times New Roman" w:cs="Times New Roman"/>
          <w:color w:val="000000" w:themeColor="text1"/>
        </w:rPr>
        <w:t xml:space="preserve"> </w:t>
      </w:r>
      <w:r w:rsidR="005B3925" w:rsidRPr="00536834">
        <w:rPr>
          <w:rFonts w:ascii="Times New Roman" w:eastAsia="Times New Roman" w:hAnsi="Times New Roman" w:cs="Times New Roman"/>
          <w:color w:val="215E99" w:themeColor="text2" w:themeTint="BF"/>
        </w:rPr>
        <w:fldChar w:fldCharType="begin"/>
      </w:r>
      <w:r w:rsidR="005B3925" w:rsidRPr="00536834">
        <w:rPr>
          <w:rFonts w:ascii="Times New Roman" w:eastAsia="Times New Roman" w:hAnsi="Times New Roman" w:cs="Times New Roman"/>
          <w:color w:val="215E99" w:themeColor="text2" w:themeTint="BF"/>
        </w:rPr>
        <w:instrText xml:space="preserve"> ADDIN ZOTERO_ITEM CSL_CITATION {"citationID":"tDbXTvVI","properties":{"formattedCitation":"(Villalba-Garc\\uc0\\u237{}a et al., 2025)","plainCitation":"(Villalba-García et al., 2025)","noteIndex":0},"citationItems":[{"id":168,"uris":["http://zotero.org/users/local/OGJIxhLc/items/Y73TK8EM"],"itemData":{"id":168,"type":"article-journal","abstract":"There has been much debate on whether loot box (LB) buying can be considered gambling. The relationship between LB buying, gambling, and mental health has already been examined, reporting inconclusive results. Therefore, the main aim of the present study was to examine the associations between LB buying, gambling, online gaming, and other relevant constructs of mental health. In addition, moderation analyses were conducted to study the relationship between LB buying and gambling/online gaming. Analysing a relatively large sample of adults (N = 1416), the results showed positive relationship between LB buying, problem gambling, and problematic video game use. A positive relationship was found between risky LB buying and depression, anxiety, stress, and impulsivity. Moderation analyses showed that anxiety and impulsivity were associated with significant strengthening of relationships between risky LB buying and gambling symptoms. Likewise, the relationship between risky LB buying and internet gaming symptoms was also strengthened when participants had higher depression scores. Moreover, this relationship appeared to be (i) reinforced when participants engaged in higher risky LB buying while showing higher levels of impulsivity, and (ii) weakened when participants engaged in higher risky LB buying while showing higher levels of depression. Overall, the results suggest that, at least to some extent, LB buying shares similar mental health risk factors with other behavioural addictions. Furthermore, while stress did not moderate this relationship, impulsivity and anxious and/or depressive symptomatology moderated, and in most cases, strengthened the relationship between risky loot box buying and problem gambling/online gaming.","container-title":"Computers in Human Behavior","DOI":"10.1016/j.chb.2025.108579","ISSN":"07475632","journalAbbreviation":"Computers in Human Behavior","language":"en","page":"108579","source":"DOI.org (Crossref)","title":"The relationship between loot box buying, gambling, internet gaming, and mental health: Investigating the moderating effect of impulsivity, depression, anxiety, and stress","title-short":"The relationship between loot box buying, gambling, internet gaming, and mental health","volume":"166","author":[{"family":"Villalba-García","given":"Cristina"},{"family":"Griffiths","given":"Mark D."},{"family":"Demetrovics","given":"Zsolt"},{"family":"Czakó","given":"Andrea"}],"issued":{"date-parts":[["2025",5]]}}}],"schema":"https://github.com/citation-style-language/schema/raw/master/csl-citation.json"} </w:instrText>
      </w:r>
      <w:r w:rsidR="005B3925" w:rsidRPr="00536834">
        <w:rPr>
          <w:rFonts w:ascii="Times New Roman" w:eastAsia="Times New Roman" w:hAnsi="Times New Roman" w:cs="Times New Roman"/>
          <w:color w:val="215E99" w:themeColor="text2" w:themeTint="BF"/>
        </w:rPr>
        <w:fldChar w:fldCharType="separate"/>
      </w:r>
      <w:r w:rsidR="005B3925" w:rsidRPr="00536834">
        <w:rPr>
          <w:rFonts w:ascii="Times New Roman" w:hAnsi="Times New Roman" w:cs="Times New Roman"/>
          <w:color w:val="215E99" w:themeColor="text2" w:themeTint="BF"/>
          <w:lang w:val="en-GB"/>
        </w:rPr>
        <w:t>(Villalba-García et al., 2025)</w:t>
      </w:r>
      <w:r w:rsidR="005B3925" w:rsidRPr="00536834">
        <w:rPr>
          <w:rFonts w:ascii="Times New Roman" w:eastAsia="Times New Roman" w:hAnsi="Times New Roman" w:cs="Times New Roman"/>
          <w:color w:val="215E99" w:themeColor="text2" w:themeTint="BF"/>
        </w:rPr>
        <w:fldChar w:fldCharType="end"/>
      </w:r>
      <w:r w:rsidRPr="00536834">
        <w:rPr>
          <w:rFonts w:ascii="Times New Roman" w:eastAsia="Times New Roman" w:hAnsi="Times New Roman" w:cs="Times New Roman"/>
          <w:color w:val="000000" w:themeColor="text1"/>
        </w:rPr>
        <w:t>. Thus, financial institutions have a critical role to curb gambling related harms such that impulsive spending and financial distress can be associated to overall socio-economic and psychological well-being. Financial stress associated with problem gambling, especially through scratch cards and poker machines, is significantly greater than expected, and females experience more financial stress despite higher gambling severity on the part of males</w:t>
      </w:r>
      <w:r w:rsidR="005B3925" w:rsidRPr="00536834">
        <w:rPr>
          <w:rFonts w:ascii="Times New Roman" w:eastAsia="Times New Roman" w:hAnsi="Times New Roman" w:cs="Times New Roman"/>
          <w:color w:val="000000" w:themeColor="text1"/>
        </w:rPr>
        <w:t xml:space="preserve"> </w:t>
      </w:r>
      <w:r w:rsidR="005B3925" w:rsidRPr="00536834">
        <w:rPr>
          <w:rFonts w:ascii="Times New Roman" w:eastAsia="Times New Roman" w:hAnsi="Times New Roman" w:cs="Times New Roman"/>
          <w:color w:val="215E99" w:themeColor="text2" w:themeTint="BF"/>
        </w:rPr>
        <w:fldChar w:fldCharType="begin"/>
      </w:r>
      <w:r w:rsidR="005B3925" w:rsidRPr="00536834">
        <w:rPr>
          <w:rFonts w:ascii="Times New Roman" w:eastAsia="Times New Roman" w:hAnsi="Times New Roman" w:cs="Times New Roman"/>
          <w:color w:val="215E99" w:themeColor="text2" w:themeTint="BF"/>
        </w:rPr>
        <w:instrText xml:space="preserve"> ADDIN ZOTERO_ITEM CSL_CITATION {"citationID":"SfMLcqCk","properties":{"formattedCitation":"(Koomson et al., 2022)","plainCitation":"(Koomson et al., 2022)","noteIndex":0},"citationItems":[{"id":172,"uris":["http://zotero.org/users/local/OGJIxhLc/items/XGDL8VYJ"],"itemData":{"id":172,"type":"article-journal","abstract":"In recent years, gambling harm has been considered a significant public health concern due to its increasing socioeconomic costs. Although the adverse effects of gambling have attracted research interest, evidence of its effect on financial stress remains largely anecdotal. This study empirically examines the link between individual problem gambling severity and financial stress using panel data from the household, income and labour dynamics in Australia survey. After addressing endogeneity, we find that problem gambling severity is positively associated with self-reported financial stress. Thus, problem gambling severity tends to increase financial stress. This finding is robust to alternative measures of financial stress and gambling behaviour—whether gambling is measured using the problem gambling severity index, gambling risk statuses, number of gambling activities, or gambling expenditure. The positive effect of gambling on financial stress is largely driven by gambling activities involving scratch cards and poker machines. Although males exhibit higher levels of problem gambling severity, females are more financially stressed than males. Our findings also suggest that gambling widens the gender gap in financial stress. Further analysis reveals that financial resilience mediates the gambling-financial stress relationship. This implies that promoting policies that enhance financial resilience can help to insulate individuals against the effects of gambling on financial stress.","container-title":"Social Indicators Research","DOI":"10.1007/s11205-022-02898-6","ISSN":"0303-8300, 1573-0921","issue":"1","journalAbbreviation":"Soc Indic Res","language":"en","page":"473-503","source":"DOI.org (Crossref)","title":"Gambling and Financial Stress","volume":"163","author":[{"family":"Koomson","given":"Isaac"},{"family":"Churchill","given":"Sefa Awaworyi"},{"family":"Munyanyi","given":"Musharavati Ephraim"}],"issued":{"date-parts":[["2022",8]]}}}],"schema":"https://github.com/citation-style-language/schema/raw/master/csl-citation.json"} </w:instrText>
      </w:r>
      <w:r w:rsidR="005B3925" w:rsidRPr="00536834">
        <w:rPr>
          <w:rFonts w:ascii="Times New Roman" w:eastAsia="Times New Roman" w:hAnsi="Times New Roman" w:cs="Times New Roman"/>
          <w:color w:val="215E99" w:themeColor="text2" w:themeTint="BF"/>
        </w:rPr>
        <w:fldChar w:fldCharType="separate"/>
      </w:r>
      <w:r w:rsidR="005B3925" w:rsidRPr="00536834">
        <w:rPr>
          <w:rFonts w:ascii="Times New Roman" w:eastAsia="Times New Roman" w:hAnsi="Times New Roman" w:cs="Times New Roman"/>
          <w:noProof/>
          <w:color w:val="215E99" w:themeColor="text2" w:themeTint="BF"/>
        </w:rPr>
        <w:t>(Koomson et al., 2022)</w:t>
      </w:r>
      <w:r w:rsidR="005B3925" w:rsidRPr="00536834">
        <w:rPr>
          <w:rFonts w:ascii="Times New Roman" w:eastAsia="Times New Roman" w:hAnsi="Times New Roman" w:cs="Times New Roman"/>
          <w:color w:val="215E99" w:themeColor="text2" w:themeTint="BF"/>
        </w:rPr>
        <w:fldChar w:fldCharType="end"/>
      </w:r>
      <w:r w:rsidRPr="00536834">
        <w:rPr>
          <w:rFonts w:ascii="Times New Roman" w:eastAsia="Times New Roman" w:hAnsi="Times New Roman" w:cs="Times New Roman"/>
          <w:color w:val="000000" w:themeColor="text1"/>
        </w:rPr>
        <w:t>. Improving financial literacy and inclusion may have the potential to contribute to the reduction of the negative effects of gambling on a person’s socio-economic position as a means of improving financial resilience</w:t>
      </w:r>
      <w:r w:rsidR="005B3925" w:rsidRPr="00536834">
        <w:rPr>
          <w:rFonts w:ascii="Times New Roman" w:eastAsia="Times New Roman" w:hAnsi="Times New Roman" w:cs="Times New Roman"/>
          <w:color w:val="000000" w:themeColor="text1"/>
        </w:rPr>
        <w:t xml:space="preserve"> </w:t>
      </w:r>
      <w:r w:rsidR="005B3925" w:rsidRPr="00536834">
        <w:rPr>
          <w:rFonts w:ascii="Times New Roman" w:eastAsia="Times New Roman" w:hAnsi="Times New Roman" w:cs="Times New Roman"/>
          <w:color w:val="215E99" w:themeColor="text2" w:themeTint="BF"/>
        </w:rPr>
        <w:fldChar w:fldCharType="begin"/>
      </w:r>
      <w:r w:rsidR="005B3925" w:rsidRPr="00536834">
        <w:rPr>
          <w:rFonts w:ascii="Times New Roman" w:eastAsia="Times New Roman" w:hAnsi="Times New Roman" w:cs="Times New Roman"/>
          <w:color w:val="215E99" w:themeColor="text2" w:themeTint="BF"/>
        </w:rPr>
        <w:instrText xml:space="preserve"> ADDIN ZOTERO_ITEM CSL_CITATION {"citationID":"IcXza5MR","properties":{"formattedCitation":"(Lakew et al., 2024)","plainCitation":"(Lakew et al., 2024)","noteIndex":0},"citationItems":[{"id":170,"uris":["http://zotero.org/users/local/OGJIxhLc/items/RBB86TA4"],"itemData":{"id":170,"type":"article-journal","abstract":"The transformation of gambling into a largely digital commodity has created a need for online payment technologies to facilitate online gambling, thereby also raising the question of what role these actors can play in the promotion of Responsible Gambling (RG). With the means and access they maintain, financial institutions are in a unique position to alleviate financial pitfalls, yet their role in the gambling context has thus far received little scrutiny. The objective of this study was to conduct an extant literature review to develop an initial set of financial indicators tailored for financial institutions, enabling them to engage in the RG initiatives. We conducted a two-step narrative literature review to identify both general Financial Well-Being (FWB) indicators across financial research disciplines, and one specific to gambling. A literature search over the past 20 years was performed across the following academic databases: Medline (Ovid), Sociological Abstracts (ProQuest), Web of Science (Clarivate), and PsycInfo (EBSCO). Manifest content analysis was used in step one to review general financial well-being, yielding a general FWB conceptual framework. In step two, we applied latent content analysis to the gambling-specific literature, linking essential concepts of gambling-related financial harms to the broader FWB literature. This resulted in a tentative taxonomy of indicators applicable to financial institutions with gambling customers. In tandem with the FWB conceptual framework, the preliminary taxonomy could provide a foundation for financial institutions catering to gambling customers to engage in the duty of care agenda, potentially broadening player protection beyond the current operator-focused RG measures.","container-title":"Journal of Gambling Studies","DOI":"10.1007/s10899-024-10312-8","ISSN":"1573-3602","issue":"4","journalAbbreviation":"J Gambl Stud","language":"en","page":"1857-1886","source":"DOI.org (Crossref)","title":"Towards an Active Role of Financial Institutions in Preventing Problem Gambling: A Proposed Conceptual Framework and Taxonomy of Financial Wellbeing Indicators","title-short":"Towards an Active Role of Financial Institutions in Preventing Problem Gambling","volume":"40","author":[{"family":"Lakew","given":"Nathan"},{"family":"Jonsson","given":"Jakob"},{"family":"Lindner","given":"Philip"}],"issued":{"date-parts":[["2024",5,20]]}}}],"schema":"https://github.com/citation-style-language/schema/raw/master/csl-citation.json"} </w:instrText>
      </w:r>
      <w:r w:rsidR="005B3925" w:rsidRPr="00536834">
        <w:rPr>
          <w:rFonts w:ascii="Times New Roman" w:eastAsia="Times New Roman" w:hAnsi="Times New Roman" w:cs="Times New Roman"/>
          <w:color w:val="215E99" w:themeColor="text2" w:themeTint="BF"/>
        </w:rPr>
        <w:fldChar w:fldCharType="separate"/>
      </w:r>
      <w:r w:rsidR="005B3925" w:rsidRPr="00536834">
        <w:rPr>
          <w:rFonts w:ascii="Times New Roman" w:eastAsia="Times New Roman" w:hAnsi="Times New Roman" w:cs="Times New Roman"/>
          <w:noProof/>
          <w:color w:val="215E99" w:themeColor="text2" w:themeTint="BF"/>
        </w:rPr>
        <w:t>(Lakew et al., 2024)</w:t>
      </w:r>
      <w:r w:rsidR="005B3925" w:rsidRPr="00536834">
        <w:rPr>
          <w:rFonts w:ascii="Times New Roman" w:eastAsia="Times New Roman" w:hAnsi="Times New Roman" w:cs="Times New Roman"/>
          <w:color w:val="215E99" w:themeColor="text2" w:themeTint="BF"/>
        </w:rPr>
        <w:fldChar w:fldCharType="end"/>
      </w:r>
      <w:r w:rsidRPr="00536834">
        <w:rPr>
          <w:rFonts w:ascii="Times New Roman" w:eastAsia="Times New Roman" w:hAnsi="Times New Roman" w:cs="Times New Roman"/>
          <w:color w:val="000000" w:themeColor="text1"/>
        </w:rPr>
        <w:t>.</w:t>
      </w:r>
      <w:r w:rsidR="005B3925" w:rsidRPr="00536834">
        <w:rPr>
          <w:rFonts w:ascii="Times New Roman" w:eastAsia="Times New Roman" w:hAnsi="Times New Roman" w:cs="Times New Roman"/>
          <w:color w:val="000000" w:themeColor="text1"/>
        </w:rPr>
        <w:t xml:space="preserve"> </w:t>
      </w:r>
    </w:p>
    <w:p w14:paraId="2C539438" w14:textId="77777777" w:rsidR="001B1FE1" w:rsidRDefault="001B1FE1" w:rsidP="00536834">
      <w:pPr>
        <w:spacing w:line="360" w:lineRule="auto"/>
        <w:jc w:val="both"/>
        <w:rPr>
          <w:rFonts w:ascii="Times New Roman" w:eastAsia="Times New Roman" w:hAnsi="Times New Roman" w:cs="Times New Roman"/>
          <w:color w:val="000000" w:themeColor="text1"/>
        </w:rPr>
      </w:pPr>
    </w:p>
    <w:p w14:paraId="28D06284" w14:textId="77777777" w:rsidR="00536834" w:rsidRDefault="00536834" w:rsidP="00536834">
      <w:pPr>
        <w:spacing w:line="360" w:lineRule="auto"/>
        <w:jc w:val="both"/>
        <w:rPr>
          <w:rFonts w:ascii="Times New Roman" w:eastAsia="Times New Roman" w:hAnsi="Times New Roman" w:cs="Times New Roman"/>
          <w:color w:val="000000" w:themeColor="text1"/>
        </w:rPr>
      </w:pPr>
    </w:p>
    <w:p w14:paraId="4D140CC0" w14:textId="77777777" w:rsidR="00536834" w:rsidRPr="00536834" w:rsidRDefault="00536834" w:rsidP="00536834">
      <w:pPr>
        <w:spacing w:line="360" w:lineRule="auto"/>
        <w:jc w:val="both"/>
        <w:rPr>
          <w:rFonts w:ascii="Times New Roman" w:eastAsia="Times New Roman" w:hAnsi="Times New Roman" w:cs="Times New Roman"/>
          <w:color w:val="000000" w:themeColor="text1"/>
        </w:rPr>
      </w:pPr>
    </w:p>
    <w:p w14:paraId="3CF3C914" w14:textId="6FB4FD35" w:rsidR="00FD5B26" w:rsidRPr="00536834" w:rsidRDefault="00000000" w:rsidP="00536834">
      <w:pPr>
        <w:spacing w:after="0" w:line="360" w:lineRule="auto"/>
        <w:jc w:val="both"/>
        <w:rPr>
          <w:rFonts w:ascii="Times New Roman" w:eastAsia="Times New Roman" w:hAnsi="Times New Roman" w:cs="Times New Roman"/>
          <w:b/>
          <w:u w:val="single"/>
        </w:rPr>
      </w:pPr>
      <w:r w:rsidRPr="00536834">
        <w:rPr>
          <w:rFonts w:ascii="Times New Roman" w:eastAsia="Times New Roman" w:hAnsi="Times New Roman" w:cs="Times New Roman"/>
          <w:b/>
          <w:u w:val="single"/>
        </w:rPr>
        <w:lastRenderedPageBreak/>
        <w:t>3</w:t>
      </w:r>
      <w:r w:rsidR="004E3F00" w:rsidRPr="00536834">
        <w:rPr>
          <w:rFonts w:ascii="Times New Roman" w:eastAsia="Times New Roman" w:hAnsi="Times New Roman" w:cs="Times New Roman"/>
          <w:b/>
          <w:u w:val="single"/>
        </w:rPr>
        <w:t xml:space="preserve">. </w:t>
      </w:r>
      <w:r w:rsidR="005E6BFE" w:rsidRPr="00536834">
        <w:rPr>
          <w:rFonts w:ascii="Times New Roman" w:eastAsia="Times New Roman" w:hAnsi="Times New Roman" w:cs="Times New Roman"/>
          <w:b/>
          <w:u w:val="single"/>
        </w:rPr>
        <w:t>OBJECTIVES:</w:t>
      </w:r>
    </w:p>
    <w:p w14:paraId="6F75CA52" w14:textId="77777777" w:rsidR="00FD5B26" w:rsidRPr="00536834" w:rsidRDefault="00000000" w:rsidP="00536834">
      <w:pPr>
        <w:pStyle w:val="ListParagraph"/>
        <w:numPr>
          <w:ilvl w:val="0"/>
          <w:numId w:val="2"/>
        </w:numPr>
        <w:spacing w:after="0" w:line="360" w:lineRule="auto"/>
        <w:jc w:val="both"/>
        <w:rPr>
          <w:rFonts w:ascii="Times New Roman" w:eastAsia="Times New Roman" w:hAnsi="Times New Roman" w:cs="Times New Roman"/>
        </w:rPr>
      </w:pPr>
      <w:r w:rsidRPr="00536834">
        <w:rPr>
          <w:rFonts w:ascii="Times New Roman" w:eastAsia="Times New Roman" w:hAnsi="Times New Roman" w:cs="Times New Roman"/>
        </w:rPr>
        <w:t>To investigate the prevalence of online gambling among young adults</w:t>
      </w:r>
    </w:p>
    <w:p w14:paraId="14DFA5A0" w14:textId="77777777" w:rsidR="00FD5B26" w:rsidRPr="00536834" w:rsidRDefault="00000000" w:rsidP="00536834">
      <w:pPr>
        <w:pStyle w:val="ListParagraph"/>
        <w:numPr>
          <w:ilvl w:val="0"/>
          <w:numId w:val="2"/>
        </w:numPr>
        <w:spacing w:after="0" w:line="360" w:lineRule="auto"/>
        <w:jc w:val="both"/>
        <w:rPr>
          <w:rFonts w:ascii="Times New Roman" w:eastAsia="Times New Roman" w:hAnsi="Times New Roman" w:cs="Times New Roman"/>
        </w:rPr>
      </w:pPr>
      <w:r w:rsidRPr="00536834">
        <w:rPr>
          <w:rFonts w:ascii="Times New Roman" w:eastAsia="Times New Roman" w:hAnsi="Times New Roman" w:cs="Times New Roman"/>
        </w:rPr>
        <w:t>To examine the socio-economic factors influencing online gambling behavior.</w:t>
      </w:r>
    </w:p>
    <w:p w14:paraId="62E1AC16" w14:textId="77777777" w:rsidR="00FD5B26" w:rsidRPr="00536834" w:rsidRDefault="00000000" w:rsidP="00536834">
      <w:pPr>
        <w:pStyle w:val="ListParagraph"/>
        <w:numPr>
          <w:ilvl w:val="0"/>
          <w:numId w:val="2"/>
        </w:numPr>
        <w:spacing w:after="0" w:line="360" w:lineRule="auto"/>
        <w:jc w:val="both"/>
        <w:rPr>
          <w:rFonts w:ascii="Times New Roman" w:eastAsia="Times New Roman" w:hAnsi="Times New Roman" w:cs="Times New Roman"/>
        </w:rPr>
      </w:pPr>
      <w:r w:rsidRPr="00536834">
        <w:rPr>
          <w:rFonts w:ascii="Times New Roman" w:eastAsia="Times New Roman" w:hAnsi="Times New Roman" w:cs="Times New Roman"/>
        </w:rPr>
        <w:t>To assess the psychological impact of online gambling on young adults.</w:t>
      </w:r>
    </w:p>
    <w:p w14:paraId="0693B458" w14:textId="77777777" w:rsidR="00FD5B26" w:rsidRPr="00536834" w:rsidRDefault="00000000" w:rsidP="00536834">
      <w:pPr>
        <w:pStyle w:val="ListParagraph"/>
        <w:numPr>
          <w:ilvl w:val="0"/>
          <w:numId w:val="2"/>
        </w:numPr>
        <w:spacing w:after="0" w:line="360" w:lineRule="auto"/>
        <w:jc w:val="both"/>
        <w:rPr>
          <w:rFonts w:ascii="Times New Roman" w:eastAsia="Times New Roman" w:hAnsi="Times New Roman" w:cs="Times New Roman"/>
        </w:rPr>
      </w:pPr>
      <w:r w:rsidRPr="00536834">
        <w:rPr>
          <w:rFonts w:ascii="Times New Roman" w:eastAsia="Times New Roman" w:hAnsi="Times New Roman" w:cs="Times New Roman"/>
        </w:rPr>
        <w:t>To explore the awareness and effectiveness of existing regulations and support services.</w:t>
      </w:r>
    </w:p>
    <w:p w14:paraId="6B7A3A1B" w14:textId="77777777" w:rsidR="00FD5B26" w:rsidRPr="00536834" w:rsidRDefault="00FD5B26" w:rsidP="00536834">
      <w:pPr>
        <w:spacing w:after="0" w:line="360" w:lineRule="auto"/>
        <w:jc w:val="both"/>
        <w:rPr>
          <w:rFonts w:ascii="Times New Roman" w:eastAsia="Times New Roman" w:hAnsi="Times New Roman" w:cs="Times New Roman"/>
        </w:rPr>
      </w:pPr>
    </w:p>
    <w:p w14:paraId="4B14091B" w14:textId="588857D8" w:rsidR="00FD5B26" w:rsidRPr="00536834" w:rsidRDefault="00000000"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b/>
          <w:u w:val="single"/>
        </w:rPr>
        <w:t>4</w:t>
      </w:r>
      <w:r w:rsidR="004E3F00" w:rsidRPr="00536834">
        <w:rPr>
          <w:rFonts w:ascii="Times New Roman" w:eastAsia="Times New Roman" w:hAnsi="Times New Roman" w:cs="Times New Roman"/>
          <w:b/>
          <w:u w:val="single"/>
        </w:rPr>
        <w:t>.</w:t>
      </w:r>
      <w:r w:rsidRPr="00536834">
        <w:rPr>
          <w:rFonts w:ascii="Times New Roman" w:eastAsia="Times New Roman" w:hAnsi="Times New Roman" w:cs="Times New Roman"/>
          <w:b/>
          <w:u w:val="single"/>
        </w:rPr>
        <w:t xml:space="preserve"> METHODOLOGY</w:t>
      </w:r>
      <w:r w:rsidRPr="00536834">
        <w:rPr>
          <w:rFonts w:ascii="Times New Roman" w:eastAsia="Times New Roman" w:hAnsi="Times New Roman" w:cs="Times New Roman"/>
        </w:rPr>
        <w:t>:</w:t>
      </w:r>
    </w:p>
    <w:p w14:paraId="6747ECBB" w14:textId="66893FD3" w:rsidR="00FD5B26" w:rsidRPr="00536834" w:rsidRDefault="004E3F00" w:rsidP="00536834">
      <w:pPr>
        <w:spacing w:after="0" w:line="360" w:lineRule="auto"/>
        <w:jc w:val="both"/>
        <w:rPr>
          <w:rFonts w:ascii="Times New Roman" w:eastAsia="Times New Roman" w:hAnsi="Times New Roman" w:cs="Times New Roman"/>
          <w:u w:val="single"/>
        </w:rPr>
      </w:pPr>
      <w:r w:rsidRPr="00536834">
        <w:rPr>
          <w:rFonts w:ascii="Times New Roman" w:eastAsia="Times New Roman" w:hAnsi="Times New Roman" w:cs="Times New Roman"/>
          <w:b/>
          <w:u w:val="single"/>
        </w:rPr>
        <w:t>4.1. Conceptual Framework and Research Model</w:t>
      </w:r>
    </w:p>
    <w:p w14:paraId="4D51C116" w14:textId="77777777" w:rsidR="00FD5B26" w:rsidRPr="00536834" w:rsidRDefault="00000000" w:rsidP="00536834">
      <w:pPr>
        <w:spacing w:line="360" w:lineRule="auto"/>
        <w:jc w:val="center"/>
        <w:rPr>
          <w:rFonts w:ascii="Times New Roman" w:eastAsia="Times New Roman" w:hAnsi="Times New Roman" w:cs="Times New Roman"/>
        </w:rPr>
      </w:pPr>
      <w:r w:rsidRPr="00536834">
        <w:rPr>
          <w:rFonts w:ascii="Times New Roman" w:eastAsia="Times New Roman" w:hAnsi="Times New Roman" w:cs="Times New Roman"/>
          <w:noProof/>
        </w:rPr>
        <w:drawing>
          <wp:inline distT="114300" distB="114300" distL="114300" distR="114300" wp14:anchorId="413534BA" wp14:editId="15E1696F">
            <wp:extent cx="4864100" cy="3295650"/>
            <wp:effectExtent l="19050" t="19050" r="12700" b="1905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4864100" cy="3295650"/>
                    </a:xfrm>
                    <a:prstGeom prst="rect">
                      <a:avLst/>
                    </a:prstGeom>
                    <a:ln w="12700">
                      <a:solidFill>
                        <a:srgbClr val="000000"/>
                      </a:solidFill>
                      <a:prstDash val="solid"/>
                    </a:ln>
                  </pic:spPr>
                </pic:pic>
              </a:graphicData>
            </a:graphic>
          </wp:inline>
        </w:drawing>
      </w:r>
    </w:p>
    <w:p w14:paraId="54694C32" w14:textId="53C9F725" w:rsidR="00FD5B26" w:rsidRPr="00536834" w:rsidRDefault="00000000" w:rsidP="00536834">
      <w:pPr>
        <w:spacing w:line="360" w:lineRule="auto"/>
        <w:jc w:val="center"/>
        <w:rPr>
          <w:rFonts w:ascii="Times New Roman" w:eastAsia="Times New Roman" w:hAnsi="Times New Roman" w:cs="Times New Roman"/>
          <w:b/>
          <w:bCs/>
        </w:rPr>
      </w:pPr>
      <w:r w:rsidRPr="00536834">
        <w:rPr>
          <w:rFonts w:ascii="Times New Roman" w:eastAsia="Times New Roman" w:hAnsi="Times New Roman" w:cs="Times New Roman"/>
          <w:b/>
          <w:bCs/>
        </w:rPr>
        <w:t xml:space="preserve">Fig </w:t>
      </w:r>
      <w:r w:rsidR="00EC3D14" w:rsidRPr="00536834">
        <w:rPr>
          <w:rFonts w:ascii="Times New Roman" w:eastAsia="Times New Roman" w:hAnsi="Times New Roman" w:cs="Times New Roman"/>
          <w:b/>
          <w:bCs/>
        </w:rPr>
        <w:t>1:</w:t>
      </w:r>
      <w:r w:rsidRPr="00536834">
        <w:rPr>
          <w:rFonts w:ascii="Times New Roman" w:eastAsia="Times New Roman" w:hAnsi="Times New Roman" w:cs="Times New Roman"/>
          <w:b/>
          <w:bCs/>
        </w:rPr>
        <w:t xml:space="preserve"> Conceptual Framework</w:t>
      </w:r>
    </w:p>
    <w:p w14:paraId="669D06E2" w14:textId="77777777" w:rsidR="00FD5B26" w:rsidRPr="00536834" w:rsidRDefault="00FD5B26" w:rsidP="00536834">
      <w:pPr>
        <w:spacing w:line="360" w:lineRule="auto"/>
        <w:jc w:val="both"/>
        <w:rPr>
          <w:rFonts w:ascii="Times New Roman" w:eastAsia="Times New Roman" w:hAnsi="Times New Roman" w:cs="Times New Roman"/>
        </w:rPr>
      </w:pPr>
    </w:p>
    <w:p w14:paraId="311DFB72" w14:textId="3448F781" w:rsidR="00FD5B26" w:rsidRPr="00536834" w:rsidRDefault="004E3F00" w:rsidP="00536834">
      <w:pPr>
        <w:spacing w:line="360" w:lineRule="auto"/>
        <w:jc w:val="both"/>
        <w:rPr>
          <w:rFonts w:ascii="Times New Roman" w:eastAsia="Times New Roman" w:hAnsi="Times New Roman" w:cs="Times New Roman"/>
          <w:b/>
          <w:u w:val="single"/>
        </w:rPr>
      </w:pPr>
      <w:r w:rsidRPr="00536834">
        <w:rPr>
          <w:rFonts w:ascii="Times New Roman" w:eastAsia="Times New Roman" w:hAnsi="Times New Roman" w:cs="Times New Roman"/>
          <w:b/>
          <w:u w:val="single"/>
        </w:rPr>
        <w:t>4.2. Clustering Analysis of Online Gambling Behavior</w:t>
      </w:r>
    </w:p>
    <w:p w14:paraId="10537626" w14:textId="77777777" w:rsidR="0079485D" w:rsidRPr="00536834" w:rsidRDefault="0079485D" w:rsidP="00536834">
      <w:pPr>
        <w:spacing w:after="0" w:line="360" w:lineRule="auto"/>
        <w:rPr>
          <w:rFonts w:ascii="Times New Roman" w:eastAsia="Times New Roman" w:hAnsi="Times New Roman" w:cs="Times New Roman"/>
          <w:bCs/>
        </w:rPr>
      </w:pPr>
      <w:r w:rsidRPr="00536834">
        <w:rPr>
          <w:rFonts w:ascii="Times New Roman" w:eastAsia="Times New Roman" w:hAnsi="Times New Roman" w:cs="Times New Roman"/>
          <w:bCs/>
        </w:rPr>
        <w:t xml:space="preserve">Based on the above objectives we did a clustering analysis to segment people based on the gambling behaviours. This approach helped us in discovering different groups who engage in similar gambling pattern that can be used in developing targeted intervention and policy recommendations. </w:t>
      </w:r>
    </w:p>
    <w:p w14:paraId="444006AF" w14:textId="25EEA5B9" w:rsidR="0079485D" w:rsidRPr="00536834" w:rsidRDefault="00000000"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To understand the socio-economic and psychological impacts of online gambling on young adults, we employed a clustering analysis to segment individuals based on their gambling </w:t>
      </w:r>
      <w:r w:rsidR="00C76E71" w:rsidRPr="00536834">
        <w:rPr>
          <w:rFonts w:ascii="Times New Roman" w:eastAsia="Times New Roman" w:hAnsi="Times New Roman" w:cs="Times New Roman"/>
        </w:rPr>
        <w:lastRenderedPageBreak/>
        <w:t>behaviours</w:t>
      </w:r>
      <w:r w:rsidRPr="00536834">
        <w:rPr>
          <w:rFonts w:ascii="Times New Roman" w:eastAsia="Times New Roman" w:hAnsi="Times New Roman" w:cs="Times New Roman"/>
        </w:rPr>
        <w:t>. This approach allowed us to identify distinct groups with similar gambling patterns, which can inform us about targeted interventions and policy recommendations.</w:t>
      </w:r>
    </w:p>
    <w:p w14:paraId="5DD0BAB7" w14:textId="733384E8" w:rsidR="00FD5B26" w:rsidRPr="00536834" w:rsidRDefault="004E3F00" w:rsidP="00536834">
      <w:pPr>
        <w:spacing w:line="360" w:lineRule="auto"/>
        <w:jc w:val="both"/>
        <w:rPr>
          <w:rFonts w:ascii="Times New Roman" w:eastAsia="Times New Roman" w:hAnsi="Times New Roman" w:cs="Times New Roman"/>
          <w:i/>
          <w:iCs/>
        </w:rPr>
      </w:pPr>
      <w:r w:rsidRPr="00536834">
        <w:rPr>
          <w:rFonts w:ascii="Times New Roman" w:eastAsia="Times New Roman" w:hAnsi="Times New Roman" w:cs="Times New Roman"/>
          <w:i/>
          <w:iCs/>
          <w:u w:val="single"/>
        </w:rPr>
        <w:t>4.2.1 Data Preprocessing</w:t>
      </w:r>
    </w:p>
    <w:p w14:paraId="3CE19852" w14:textId="205CDF49" w:rsidR="0079485D" w:rsidRPr="00536834" w:rsidRDefault="0079485D"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Accurate and reliable clustering was the main key of the data preprocessing phase. The non informative columns e.g. names were removed and aimed to concentrate into variables related to gambling behaviours such as gambling frequency, gambling spending, and gambling’s psychological impact. Finally, categorical variables, in this case gender and occupation, were encoded with the help of Label encoding to convert them to numerical values for the clustering algorithms to understand the data. The data was finally standardized using StandardScaler to standardize the scales of different variables (i.e. money spent vs. gambling frequency), so that each variable have the same influence in the clustering process. </w:t>
      </w:r>
      <w:proofErr w:type="gramStart"/>
      <w:r w:rsidRPr="00536834">
        <w:rPr>
          <w:rFonts w:ascii="Times New Roman" w:eastAsia="Times New Roman" w:hAnsi="Times New Roman" w:cs="Times New Roman"/>
        </w:rPr>
        <w:t>In order to</w:t>
      </w:r>
      <w:proofErr w:type="gramEnd"/>
      <w:r w:rsidRPr="00536834">
        <w:rPr>
          <w:rFonts w:ascii="Times New Roman" w:eastAsia="Times New Roman" w:hAnsi="Times New Roman" w:cs="Times New Roman"/>
        </w:rPr>
        <w:t xml:space="preserve"> prevent variables with larger scales from exerting a disproportionate effect on the results, we standardized this step in order to maintain the integrity of the clustering analysis.</w:t>
      </w:r>
    </w:p>
    <w:p w14:paraId="736F9B8B" w14:textId="77777777" w:rsidR="0079485D" w:rsidRPr="00536834" w:rsidRDefault="004E3F00" w:rsidP="00536834">
      <w:pPr>
        <w:spacing w:line="360" w:lineRule="auto"/>
        <w:jc w:val="both"/>
        <w:rPr>
          <w:rFonts w:ascii="Times New Roman" w:eastAsia="Times New Roman" w:hAnsi="Times New Roman" w:cs="Times New Roman"/>
          <w:i/>
          <w:iCs/>
          <w:u w:val="single"/>
        </w:rPr>
      </w:pPr>
      <w:r w:rsidRPr="00536834">
        <w:rPr>
          <w:rFonts w:ascii="Times New Roman" w:eastAsia="Times New Roman" w:hAnsi="Times New Roman" w:cs="Times New Roman"/>
          <w:i/>
          <w:iCs/>
          <w:u w:val="single"/>
        </w:rPr>
        <w:t>4.2.2 Choosing the Optimal Number of Clusters</w:t>
      </w:r>
    </w:p>
    <w:p w14:paraId="6650AF18" w14:textId="19FBFEED" w:rsidR="0079485D" w:rsidRPr="00536834" w:rsidRDefault="0079485D" w:rsidP="00536834">
      <w:pPr>
        <w:spacing w:line="360" w:lineRule="auto"/>
        <w:jc w:val="both"/>
        <w:rPr>
          <w:rFonts w:ascii="Times New Roman" w:eastAsia="Times New Roman" w:hAnsi="Times New Roman" w:cs="Times New Roman"/>
          <w:u w:val="single"/>
        </w:rPr>
      </w:pPr>
      <w:r w:rsidRPr="00536834">
        <w:rPr>
          <w:rFonts w:ascii="Times New Roman" w:eastAsia="Times New Roman" w:hAnsi="Times New Roman" w:cs="Times New Roman"/>
        </w:rPr>
        <w:t xml:space="preserve">Two methods of choosing the optimal number of clusters (K) were used to find. </w:t>
      </w:r>
    </w:p>
    <w:p w14:paraId="59602770" w14:textId="77777777" w:rsidR="0079485D" w:rsidRPr="00536834" w:rsidRDefault="0079485D"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b/>
          <w:bCs/>
        </w:rPr>
        <w:t>Elbow Method</w:t>
      </w:r>
      <w:r w:rsidRPr="00536834">
        <w:rPr>
          <w:rFonts w:ascii="Times New Roman" w:eastAsia="Times New Roman" w:hAnsi="Times New Roman" w:cs="Times New Roman"/>
        </w:rPr>
        <w:t xml:space="preserve">: This method looks at which sum of squared distance (the inertia) within clusters, when more clusters are added, does not significantly decrease the clustering. The value of the 'elbow' marks the optimum number of clusters. </w:t>
      </w:r>
    </w:p>
    <w:p w14:paraId="536F260D" w14:textId="68E2B8AD" w:rsidR="00FD5B26" w:rsidRPr="00536834" w:rsidRDefault="0079485D"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b/>
          <w:bCs/>
        </w:rPr>
        <w:t>Silhouette Score:</w:t>
      </w:r>
      <w:r w:rsidRPr="00536834">
        <w:rPr>
          <w:rFonts w:ascii="Times New Roman" w:eastAsia="Times New Roman" w:hAnsi="Times New Roman" w:cs="Times New Roman"/>
        </w:rPr>
        <w:t xml:space="preserve"> This metric measures how well separated the clusters are, the higher the score, the better the clusters are defined. With multiple values tested (K=2, 3, 4, 5), we chose K=4 since it divided the data into good segments.</w:t>
      </w:r>
    </w:p>
    <w:p w14:paraId="6A13A2BA" w14:textId="77777777" w:rsidR="00FD5B26" w:rsidRPr="00536834" w:rsidRDefault="00000000" w:rsidP="00536834">
      <w:pPr>
        <w:spacing w:line="360" w:lineRule="auto"/>
        <w:jc w:val="center"/>
        <w:rPr>
          <w:rFonts w:ascii="Times New Roman" w:eastAsia="Times New Roman" w:hAnsi="Times New Roman" w:cs="Times New Roman"/>
        </w:rPr>
      </w:pPr>
      <w:r w:rsidRPr="00536834">
        <w:rPr>
          <w:rFonts w:ascii="Times New Roman" w:eastAsia="Times New Roman" w:hAnsi="Times New Roman" w:cs="Times New Roman"/>
          <w:noProof/>
        </w:rPr>
        <w:drawing>
          <wp:inline distT="114300" distB="114300" distL="114300" distR="114300" wp14:anchorId="4D02DA3C" wp14:editId="0FC5AD27">
            <wp:extent cx="5231130" cy="1751965"/>
            <wp:effectExtent l="12700" t="12700" r="13970" b="1333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247080" cy="1757307"/>
                    </a:xfrm>
                    <a:prstGeom prst="rect">
                      <a:avLst/>
                    </a:prstGeom>
                    <a:ln w="12700">
                      <a:solidFill>
                        <a:srgbClr val="000000"/>
                      </a:solidFill>
                      <a:prstDash val="solid"/>
                    </a:ln>
                  </pic:spPr>
                </pic:pic>
              </a:graphicData>
            </a:graphic>
          </wp:inline>
        </w:drawing>
      </w:r>
    </w:p>
    <w:p w14:paraId="0E56A9E4" w14:textId="59114312" w:rsidR="00FD5B26" w:rsidRDefault="00000000" w:rsidP="00536834">
      <w:pPr>
        <w:spacing w:line="360" w:lineRule="auto"/>
        <w:jc w:val="center"/>
        <w:rPr>
          <w:rFonts w:ascii="Times New Roman" w:eastAsia="Times New Roman" w:hAnsi="Times New Roman" w:cs="Times New Roman"/>
          <w:b/>
          <w:bCs/>
        </w:rPr>
      </w:pPr>
      <w:r w:rsidRPr="00536834">
        <w:rPr>
          <w:rFonts w:ascii="Times New Roman" w:eastAsia="Times New Roman" w:hAnsi="Times New Roman" w:cs="Times New Roman"/>
          <w:b/>
          <w:bCs/>
        </w:rPr>
        <w:t xml:space="preserve">Fig </w:t>
      </w:r>
      <w:r w:rsidR="00EC3D14" w:rsidRPr="00536834">
        <w:rPr>
          <w:rFonts w:ascii="Times New Roman" w:eastAsia="Times New Roman" w:hAnsi="Times New Roman" w:cs="Times New Roman"/>
          <w:b/>
          <w:bCs/>
        </w:rPr>
        <w:t>2:</w:t>
      </w:r>
      <w:r w:rsidRPr="00536834">
        <w:rPr>
          <w:rFonts w:ascii="Times New Roman" w:eastAsia="Times New Roman" w:hAnsi="Times New Roman" w:cs="Times New Roman"/>
          <w:b/>
          <w:bCs/>
        </w:rPr>
        <w:t xml:space="preserve"> Clustering Methods</w:t>
      </w:r>
    </w:p>
    <w:p w14:paraId="6B8FABDF" w14:textId="77777777" w:rsidR="00536834" w:rsidRPr="00536834" w:rsidRDefault="00536834" w:rsidP="00536834">
      <w:pPr>
        <w:spacing w:line="360" w:lineRule="auto"/>
        <w:jc w:val="center"/>
        <w:rPr>
          <w:rFonts w:ascii="Times New Roman" w:eastAsia="Times New Roman" w:hAnsi="Times New Roman" w:cs="Times New Roman"/>
          <w:b/>
          <w:bCs/>
        </w:rPr>
      </w:pPr>
    </w:p>
    <w:p w14:paraId="2DC04E05" w14:textId="13604695" w:rsidR="00FD5B26" w:rsidRPr="00536834" w:rsidRDefault="004E3F00" w:rsidP="00536834">
      <w:pPr>
        <w:spacing w:line="360" w:lineRule="auto"/>
        <w:jc w:val="both"/>
        <w:rPr>
          <w:rFonts w:ascii="Times New Roman" w:eastAsia="Times New Roman" w:hAnsi="Times New Roman" w:cs="Times New Roman"/>
          <w:i/>
          <w:iCs/>
          <w:u w:val="single"/>
        </w:rPr>
      </w:pPr>
      <w:r w:rsidRPr="00536834">
        <w:rPr>
          <w:rFonts w:ascii="Times New Roman" w:eastAsia="Times New Roman" w:hAnsi="Times New Roman" w:cs="Times New Roman"/>
          <w:i/>
          <w:iCs/>
          <w:u w:val="single"/>
        </w:rPr>
        <w:lastRenderedPageBreak/>
        <w:t>4.2.3 Applying K-Means Clustering</w:t>
      </w:r>
    </w:p>
    <w:p w14:paraId="1EC5D979" w14:textId="6AD4A83D" w:rsidR="001B1FE1" w:rsidRPr="00536834" w:rsidRDefault="001302DC" w:rsidP="00536834">
      <w:pPr>
        <w:spacing w:line="360" w:lineRule="auto"/>
        <w:jc w:val="both"/>
        <w:rPr>
          <w:rFonts w:ascii="Times New Roman" w:eastAsia="Times New Roman" w:hAnsi="Times New Roman" w:cs="Times New Roman"/>
        </w:rPr>
      </w:pPr>
      <w:proofErr w:type="gramStart"/>
      <w:r w:rsidRPr="00536834">
        <w:rPr>
          <w:rFonts w:ascii="Times New Roman" w:eastAsia="Times New Roman" w:hAnsi="Times New Roman" w:cs="Times New Roman"/>
        </w:rPr>
        <w:t>For the purpose of</w:t>
      </w:r>
      <w:proofErr w:type="gramEnd"/>
      <w:r w:rsidRPr="00536834">
        <w:rPr>
          <w:rFonts w:ascii="Times New Roman" w:eastAsia="Times New Roman" w:hAnsi="Times New Roman" w:cs="Times New Roman"/>
        </w:rPr>
        <w:t xml:space="preserve"> dividing individuals into four groups, we used K-Means with K = 4. Initialization is K cluster centroids random selected by K-Means algorithm. In the assignment phase, each point is assigned the closest centroid by using the Euclidean distance. After all the points are mapped, the update phase then finds the centroids by finding the mean position of all the points in each group. The assignment and update phases are repeated many times and the stabilize happens when the centroids don’t change much. This makes the later clusters well separated and well defined, which is highly segregated individuals by their attribute.</w:t>
      </w:r>
    </w:p>
    <w:p w14:paraId="691ACFDB" w14:textId="77777777" w:rsidR="001302DC" w:rsidRPr="00536834" w:rsidRDefault="004E3F00" w:rsidP="00536834">
      <w:pPr>
        <w:spacing w:line="360" w:lineRule="auto"/>
        <w:jc w:val="both"/>
        <w:rPr>
          <w:rFonts w:ascii="Times New Roman" w:eastAsia="Times New Roman" w:hAnsi="Times New Roman" w:cs="Times New Roman"/>
          <w:i/>
          <w:iCs/>
          <w:u w:val="single"/>
        </w:rPr>
      </w:pPr>
      <w:r w:rsidRPr="00536834">
        <w:rPr>
          <w:rFonts w:ascii="Times New Roman" w:eastAsia="Times New Roman" w:hAnsi="Times New Roman" w:cs="Times New Roman"/>
          <w:i/>
          <w:iCs/>
          <w:u w:val="single"/>
        </w:rPr>
        <w:t>4.2.4 Justification for Using K-Means</w:t>
      </w:r>
    </w:p>
    <w:p w14:paraId="2F7A5C73" w14:textId="7B471F06" w:rsidR="001B1FE1" w:rsidRPr="00E12AA0" w:rsidRDefault="001302DC"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There were many reasons why we picked K-Means clustering algorithm for this. Since it is computationally efficient, it is suitable for large datasets. It can be used for continuous and ordinal data after preprocessing. Thus, by contributing to scalability of the data. Furthermore, the algorithm uncovers the behavioural segments in a way that is meaningful to understand gambling habits and how they impact individuals.</w:t>
      </w:r>
    </w:p>
    <w:p w14:paraId="69F7F124" w14:textId="40C36B0B" w:rsidR="00FD5B26" w:rsidRPr="00536834" w:rsidRDefault="004E3F00" w:rsidP="00536834">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0" w:name="_heading=h.tb5f60vqvnbh" w:colFirst="0" w:colLast="0"/>
      <w:bookmarkEnd w:id="0"/>
      <w:r w:rsidRPr="00536834">
        <w:rPr>
          <w:rFonts w:ascii="Times New Roman" w:eastAsia="Times New Roman" w:hAnsi="Times New Roman" w:cs="Times New Roman"/>
          <w:b/>
          <w:color w:val="000000"/>
          <w:sz w:val="24"/>
          <w:szCs w:val="24"/>
        </w:rPr>
        <w:t>5. Cluster Validation and Profiling</w:t>
      </w:r>
    </w:p>
    <w:p w14:paraId="05E15C3C" w14:textId="77777777" w:rsidR="0079485D" w:rsidRPr="00536834" w:rsidRDefault="00000000" w:rsidP="00536834">
      <w:pPr>
        <w:spacing w:before="240" w:after="240"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To validate our clusters, we performed a detailed analysis by comparing the mean values of key variables across clusters and conducting statistical tests to confirm significant differences. The profiling of clusters is based on the characteristics of individuals segmented through the K-Means algorithm with K=4. </w:t>
      </w:r>
    </w:p>
    <w:p w14:paraId="287FB200" w14:textId="727E148D" w:rsidR="001B1FE1" w:rsidRPr="00536834" w:rsidRDefault="00000000" w:rsidP="00536834">
      <w:pPr>
        <w:spacing w:before="240" w:after="240" w:line="360" w:lineRule="auto"/>
        <w:jc w:val="both"/>
        <w:rPr>
          <w:rFonts w:ascii="Times New Roman" w:eastAsia="Times New Roman" w:hAnsi="Times New Roman" w:cs="Times New Roman"/>
        </w:rPr>
      </w:pPr>
      <w:r w:rsidRPr="00536834">
        <w:rPr>
          <w:rFonts w:ascii="Times New Roman" w:eastAsia="Times New Roman" w:hAnsi="Times New Roman" w:cs="Times New Roman"/>
        </w:rPr>
        <w:t>The four clusters identified are High-Risk Gamblers (Cluster 1), Occasional Gamblers (Cluster 2), Older Controlled Gamblers (Cluster 3), and Financially Affected Gamblers (Cluster 4).</w:t>
      </w:r>
    </w:p>
    <w:p w14:paraId="3A6650F3" w14:textId="30C772D1" w:rsidR="00FD5B26" w:rsidRPr="00536834" w:rsidRDefault="004E3F00" w:rsidP="00536834">
      <w:pPr>
        <w:pStyle w:val="Heading4"/>
        <w:keepNext w:val="0"/>
        <w:keepLines w:val="0"/>
        <w:spacing w:before="240" w:line="360" w:lineRule="auto"/>
        <w:jc w:val="both"/>
        <w:rPr>
          <w:rFonts w:ascii="Times New Roman" w:eastAsia="Times New Roman" w:hAnsi="Times New Roman" w:cs="Times New Roman"/>
          <w:b/>
          <w:i w:val="0"/>
          <w:color w:val="000000"/>
        </w:rPr>
      </w:pPr>
      <w:bookmarkStart w:id="1" w:name="_heading=h.p13ag2wpmrny" w:colFirst="0" w:colLast="0"/>
      <w:bookmarkEnd w:id="1"/>
      <w:r w:rsidRPr="00536834">
        <w:rPr>
          <w:rFonts w:ascii="Times New Roman" w:eastAsia="Times New Roman" w:hAnsi="Times New Roman" w:cs="Times New Roman"/>
          <w:b/>
          <w:i w:val="0"/>
          <w:color w:val="000000"/>
        </w:rPr>
        <w:t>5.1. ANOVA Test for Numerical Variables</w:t>
      </w:r>
    </w:p>
    <w:p w14:paraId="367B8F22" w14:textId="3028CBE8" w:rsidR="001B1FE1" w:rsidRPr="00536834" w:rsidRDefault="001302DC" w:rsidP="00536834">
      <w:pPr>
        <w:spacing w:before="240" w:after="240"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One way Analysis of Variance (ANOVA) was used to test statistical significance of difference in numerical variables across clusters between age, gambling frequency and gambling session duration. The age group was tested at p &lt; 0.05 using the F-statistic with the critical F value of 2.70 and values greater than this were deemed statistically significant; hence, the value of 69.65 for the F-statistic is significantly greater than the critical value. In the case of gambling frequency and session duration, the F-statistics were found to be greater than the critical value, </w:t>
      </w:r>
      <w:r w:rsidRPr="00536834">
        <w:rPr>
          <w:rFonts w:ascii="Times New Roman" w:eastAsia="Times New Roman" w:hAnsi="Times New Roman" w:cs="Times New Roman"/>
        </w:rPr>
        <w:lastRenderedPageBreak/>
        <w:t xml:space="preserve">hence it is also confirmed that these parameters vary significantly among clusters. The segmentation is thus validated because the groups differ </w:t>
      </w:r>
      <w:proofErr w:type="gramStart"/>
      <w:r w:rsidRPr="00536834">
        <w:rPr>
          <w:rFonts w:ascii="Times New Roman" w:eastAsia="Times New Roman" w:hAnsi="Times New Roman" w:cs="Times New Roman"/>
        </w:rPr>
        <w:t>in regards to</w:t>
      </w:r>
      <w:proofErr w:type="gramEnd"/>
      <w:r w:rsidRPr="00536834">
        <w:rPr>
          <w:rFonts w:ascii="Times New Roman" w:eastAsia="Times New Roman" w:hAnsi="Times New Roman" w:cs="Times New Roman"/>
        </w:rPr>
        <w:t xml:space="preserve"> their gambling behaviour.</w:t>
      </w:r>
    </w:p>
    <w:p w14:paraId="60C14591" w14:textId="31382E86" w:rsidR="00FD5B26" w:rsidRPr="00536834" w:rsidRDefault="004E3F00" w:rsidP="00536834">
      <w:pPr>
        <w:pStyle w:val="Heading4"/>
        <w:keepNext w:val="0"/>
        <w:keepLines w:val="0"/>
        <w:spacing w:before="240" w:line="360" w:lineRule="auto"/>
        <w:jc w:val="both"/>
        <w:rPr>
          <w:rFonts w:ascii="Times New Roman" w:eastAsia="Times New Roman" w:hAnsi="Times New Roman" w:cs="Times New Roman"/>
          <w:b/>
          <w:i w:val="0"/>
          <w:color w:val="000000"/>
        </w:rPr>
      </w:pPr>
      <w:bookmarkStart w:id="2" w:name="_heading=h.25nhtabd1wd8" w:colFirst="0" w:colLast="0"/>
      <w:bookmarkEnd w:id="2"/>
      <w:r w:rsidRPr="00536834">
        <w:rPr>
          <w:rFonts w:ascii="Times New Roman" w:eastAsia="Times New Roman" w:hAnsi="Times New Roman" w:cs="Times New Roman"/>
          <w:b/>
          <w:i w:val="0"/>
          <w:color w:val="000000"/>
        </w:rPr>
        <w:t>5.2. Chi-Square Test for Categorical Variables</w:t>
      </w:r>
    </w:p>
    <w:p w14:paraId="4A9A004B" w14:textId="28235F38" w:rsidR="001B1FE1" w:rsidRPr="00536834" w:rsidRDefault="001302DC" w:rsidP="00536834">
      <w:pPr>
        <w:spacing w:before="240" w:after="240"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A Chi-Square test of differences in negative impacts on work and studies was carried out across clusters. An expected frequencies was calculated for all categories in a contingency table as a result. The computed Chi-square statistic (128.6) is significantly higher than the critical value of 12.59 at df = 6, p &lt; 0.05. This confirms that the negative effect is very heterogeneous to clusters. </w:t>
      </w:r>
      <w:proofErr w:type="gramStart"/>
      <w:r w:rsidRPr="00536834">
        <w:rPr>
          <w:rFonts w:ascii="Times New Roman" w:eastAsia="Times New Roman" w:hAnsi="Times New Roman" w:cs="Times New Roman"/>
        </w:rPr>
        <w:t>In particular, Gamblers</w:t>
      </w:r>
      <w:proofErr w:type="gramEnd"/>
      <w:r w:rsidRPr="00536834">
        <w:rPr>
          <w:rFonts w:ascii="Times New Roman" w:eastAsia="Times New Roman" w:hAnsi="Times New Roman" w:cs="Times New Roman"/>
        </w:rPr>
        <w:t xml:space="preserve"> in Cluster 1 (High Risk Gamblers) have the highest proportion (70%) with severe negative consequences and Gamblers in Cluster 2 (Occasional Gamblers) have had little impact. </w:t>
      </w:r>
      <w:proofErr w:type="gramStart"/>
      <w:r w:rsidRPr="00536834">
        <w:rPr>
          <w:rFonts w:ascii="Times New Roman" w:eastAsia="Times New Roman" w:hAnsi="Times New Roman" w:cs="Times New Roman"/>
        </w:rPr>
        <w:t>Similar to</w:t>
      </w:r>
      <w:proofErr w:type="gramEnd"/>
      <w:r w:rsidRPr="00536834">
        <w:rPr>
          <w:rFonts w:ascii="Times New Roman" w:eastAsia="Times New Roman" w:hAnsi="Times New Roman" w:cs="Times New Roman"/>
        </w:rPr>
        <w:t xml:space="preserve"> Financially Affected Gamblers Club 4, significant work/study disruptions are due to financial distress.</w:t>
      </w:r>
    </w:p>
    <w:p w14:paraId="3E60BEB6" w14:textId="7F4CAA6E" w:rsidR="00FD5B26" w:rsidRPr="00536834" w:rsidRDefault="004E3F00" w:rsidP="00536834">
      <w:pPr>
        <w:pStyle w:val="Heading4"/>
        <w:keepNext w:val="0"/>
        <w:keepLines w:val="0"/>
        <w:spacing w:before="240" w:line="360" w:lineRule="auto"/>
        <w:jc w:val="both"/>
        <w:rPr>
          <w:rFonts w:ascii="Times New Roman" w:eastAsia="Times New Roman" w:hAnsi="Times New Roman" w:cs="Times New Roman"/>
          <w:b/>
          <w:i w:val="0"/>
          <w:color w:val="000000"/>
        </w:rPr>
      </w:pPr>
      <w:bookmarkStart w:id="3" w:name="_heading=h.x32gltr5tljk" w:colFirst="0" w:colLast="0"/>
      <w:bookmarkEnd w:id="3"/>
      <w:r w:rsidRPr="00536834">
        <w:rPr>
          <w:rFonts w:ascii="Times New Roman" w:eastAsia="Times New Roman" w:hAnsi="Times New Roman" w:cs="Times New Roman"/>
          <w:b/>
          <w:i w:val="0"/>
          <w:color w:val="000000"/>
        </w:rPr>
        <w:t>5.3. Interpretation and Conclusion</w:t>
      </w:r>
    </w:p>
    <w:p w14:paraId="20811C5E" w14:textId="77777777" w:rsidR="00FD5B26" w:rsidRPr="00536834" w:rsidRDefault="00000000" w:rsidP="00536834">
      <w:pPr>
        <w:spacing w:before="240" w:after="240"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The statistical analysis confirms that the clusters identified through K-Means clustering are distinct and meaningful. The High-Risk Gamblers (Cluster 1) are characterized by frequent and long gambling sessions, significant financial losses, and severe psychological distress. The Occasional Gamblers (Cluster 2) engage in gambling at a much lower frequency, with minimal negative impact. The Older Controlled Gamblers (Cluster 3) display moderate gambling habits with some financial consequences, but these issues remain manageable. Finally, the Financially Affected Gamblers (Cluster 4), while gambling at a moderate frequency, face severe financial strain and work/study disruptions due to their gambling losses. </w:t>
      </w:r>
    </w:p>
    <w:p w14:paraId="76790D66" w14:textId="7008BC4F" w:rsidR="00536834" w:rsidRPr="00536834" w:rsidRDefault="00000000" w:rsidP="00536834">
      <w:pPr>
        <w:spacing w:before="240" w:after="240" w:line="360" w:lineRule="auto"/>
        <w:jc w:val="both"/>
        <w:rPr>
          <w:rFonts w:ascii="Times New Roman" w:eastAsia="Times New Roman" w:hAnsi="Times New Roman" w:cs="Times New Roman"/>
          <w:b/>
        </w:rPr>
      </w:pPr>
      <w:r w:rsidRPr="00536834">
        <w:rPr>
          <w:rFonts w:ascii="Times New Roman" w:eastAsia="Times New Roman" w:hAnsi="Times New Roman" w:cs="Times New Roman"/>
          <w:b/>
        </w:rPr>
        <w:t xml:space="preserve">The ANOVA and Chi-Square tests provide strong statistical support for the validity of these clusters, demonstrating that the segmentation accurately represents distinct gambling </w:t>
      </w:r>
      <w:r w:rsidR="00C76E71" w:rsidRPr="00536834">
        <w:rPr>
          <w:rFonts w:ascii="Times New Roman" w:eastAsia="Times New Roman" w:hAnsi="Times New Roman" w:cs="Times New Roman"/>
          <w:b/>
        </w:rPr>
        <w:t>behaviours</w:t>
      </w:r>
      <w:r w:rsidRPr="00536834">
        <w:rPr>
          <w:rFonts w:ascii="Times New Roman" w:eastAsia="Times New Roman" w:hAnsi="Times New Roman" w:cs="Times New Roman"/>
          <w:b/>
        </w:rPr>
        <w:t xml:space="preserve"> among young adults.</w:t>
      </w:r>
    </w:p>
    <w:p w14:paraId="2BD7493C" w14:textId="4BA851E6" w:rsidR="00FD5B26" w:rsidRPr="00536834" w:rsidRDefault="004E3F00" w:rsidP="00536834">
      <w:pPr>
        <w:spacing w:line="360" w:lineRule="auto"/>
        <w:jc w:val="both"/>
        <w:rPr>
          <w:rFonts w:ascii="Times New Roman" w:eastAsia="Times New Roman" w:hAnsi="Times New Roman" w:cs="Times New Roman"/>
          <w:i/>
          <w:iCs/>
          <w:u w:val="single"/>
        </w:rPr>
      </w:pPr>
      <w:r w:rsidRPr="00536834">
        <w:rPr>
          <w:rFonts w:ascii="Times New Roman" w:eastAsia="Times New Roman" w:hAnsi="Times New Roman" w:cs="Times New Roman"/>
          <w:i/>
          <w:iCs/>
          <w:u w:val="single"/>
        </w:rPr>
        <w:t>5.4. Interpretation of Clusters</w:t>
      </w:r>
    </w:p>
    <w:p w14:paraId="7D21476E" w14:textId="153CA1EF" w:rsidR="00FD5B26" w:rsidRPr="00536834" w:rsidRDefault="00000000"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After clustering, we </w:t>
      </w:r>
      <w:r w:rsidR="00C76E71" w:rsidRPr="00536834">
        <w:rPr>
          <w:rFonts w:ascii="Times New Roman" w:eastAsia="Times New Roman" w:hAnsi="Times New Roman" w:cs="Times New Roman"/>
        </w:rPr>
        <w:t>analysed</w:t>
      </w:r>
      <w:r w:rsidRPr="00536834">
        <w:rPr>
          <w:rFonts w:ascii="Times New Roman" w:eastAsia="Times New Roman" w:hAnsi="Times New Roman" w:cs="Times New Roman"/>
        </w:rPr>
        <w:t xml:space="preserve"> the mean values of key variables within each group to define the characteristics of each cluster. The four clusters were identified as:</w:t>
      </w:r>
    </w:p>
    <w:p w14:paraId="580DD728" w14:textId="77777777" w:rsidR="007B3934" w:rsidRPr="00536834" w:rsidRDefault="00000000"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b/>
        </w:rPr>
        <w:t>High-Risk Gamblers (Cluster 1)</w:t>
      </w:r>
      <w:r w:rsidRPr="00536834">
        <w:rPr>
          <w:rFonts w:ascii="Times New Roman" w:eastAsia="Times New Roman" w:hAnsi="Times New Roman" w:cs="Times New Roman"/>
        </w:rPr>
        <w:t xml:space="preserve">: </w:t>
      </w:r>
    </w:p>
    <w:p w14:paraId="6589701F" w14:textId="20903A00" w:rsidR="007B3934" w:rsidRPr="00536834" w:rsidRDefault="007B3934"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Younger individuals (mean age ~ 20.6), high frequency of gambling and spend. There is a strong urge to gamble, longer gambling sessions and the individuals have difficulty quitting. </w:t>
      </w:r>
      <w:r w:rsidRPr="00536834">
        <w:rPr>
          <w:rFonts w:ascii="Times New Roman" w:eastAsia="Times New Roman" w:hAnsi="Times New Roman" w:cs="Times New Roman"/>
        </w:rPr>
        <w:lastRenderedPageBreak/>
        <w:t>Also, this group has displeasing negative impacts on their job, relationships and mental health and in less confidence with controlling their gambling behaviour.</w:t>
      </w:r>
    </w:p>
    <w:p w14:paraId="045F49DD" w14:textId="77777777" w:rsidR="007B3934" w:rsidRPr="00536834" w:rsidRDefault="00000000"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b/>
        </w:rPr>
        <w:t>Occasional Gamblers (Cluster 2)</w:t>
      </w:r>
      <w:r w:rsidRPr="00536834">
        <w:rPr>
          <w:rFonts w:ascii="Times New Roman" w:eastAsia="Times New Roman" w:hAnsi="Times New Roman" w:cs="Times New Roman"/>
        </w:rPr>
        <w:t>:</w:t>
      </w:r>
      <w:r w:rsidR="007B3934" w:rsidRPr="00536834">
        <w:rPr>
          <w:rFonts w:ascii="Times New Roman" w:eastAsia="Times New Roman" w:hAnsi="Times New Roman" w:cs="Times New Roman"/>
        </w:rPr>
        <w:t xml:space="preserve"> </w:t>
      </w:r>
    </w:p>
    <w:p w14:paraId="4EC99F2C" w14:textId="26040C79" w:rsidR="007B3934" w:rsidRPr="00536834" w:rsidRDefault="007B3934"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This group includes youthful players (average age ~ 20.5 years) with very low level of gambler activity and expenditure. However, they do not have serious negative effects on their </w:t>
      </w:r>
      <w:proofErr w:type="gramStart"/>
      <w:r w:rsidRPr="00536834">
        <w:rPr>
          <w:rFonts w:ascii="Times New Roman" w:eastAsia="Times New Roman" w:hAnsi="Times New Roman" w:cs="Times New Roman"/>
        </w:rPr>
        <w:t>lives</w:t>
      </w:r>
      <w:proofErr w:type="gramEnd"/>
      <w:r w:rsidRPr="00536834">
        <w:rPr>
          <w:rFonts w:ascii="Times New Roman" w:eastAsia="Times New Roman" w:hAnsi="Times New Roman" w:cs="Times New Roman"/>
        </w:rPr>
        <w:t xml:space="preserve"> and they have more confidence in their gambling behaviour.</w:t>
      </w:r>
    </w:p>
    <w:p w14:paraId="068D2863" w14:textId="77777777" w:rsidR="007B3934" w:rsidRPr="00536834" w:rsidRDefault="00000000"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b/>
        </w:rPr>
        <w:t>Older, Controlled Gamblers (Cluster 3)</w:t>
      </w:r>
      <w:r w:rsidRPr="00536834">
        <w:rPr>
          <w:rFonts w:ascii="Times New Roman" w:eastAsia="Times New Roman" w:hAnsi="Times New Roman" w:cs="Times New Roman"/>
        </w:rPr>
        <w:t xml:space="preserve">: </w:t>
      </w:r>
    </w:p>
    <w:p w14:paraId="19E1AE83" w14:textId="56A156D6" w:rsidR="007B3934" w:rsidRPr="00536834" w:rsidRDefault="007B3934"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This group is old and controlled gamblers, which includes individuals of average age around 25 with moderate gambling habits. Even those who experience some psychological distress and financial consequences are usually able to manage them.</w:t>
      </w:r>
    </w:p>
    <w:p w14:paraId="3D21959D" w14:textId="77777777" w:rsidR="007B3934" w:rsidRPr="00536834" w:rsidRDefault="00000000"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b/>
        </w:rPr>
        <w:t>Financially Affected Gamblers (Cluster 4)</w:t>
      </w:r>
      <w:r w:rsidRPr="00536834">
        <w:rPr>
          <w:rFonts w:ascii="Times New Roman" w:eastAsia="Times New Roman" w:hAnsi="Times New Roman" w:cs="Times New Roman"/>
        </w:rPr>
        <w:t>:</w:t>
      </w:r>
    </w:p>
    <w:p w14:paraId="2977B63F" w14:textId="0203A9FB" w:rsidR="00536834" w:rsidRPr="00536834" w:rsidRDefault="007B3934"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This group consists of mid age (average ~ 22.9) individuals, who, on average, have high financial strain due to moderate frequency of gambling. They suffer more of an impact on their mental health and work and are more likely to have missed school or work or sold personal belongings in relation to gambling losses</w:t>
      </w:r>
      <w:r w:rsidR="00E12AA0">
        <w:rPr>
          <w:rFonts w:ascii="Times New Roman" w:eastAsia="Times New Roman" w:hAnsi="Times New Roman" w:cs="Times New Roman"/>
        </w:rPr>
        <w:t>.</w:t>
      </w:r>
    </w:p>
    <w:p w14:paraId="19F16E14" w14:textId="3E0CF3BC" w:rsidR="00FD5B26" w:rsidRPr="00536834" w:rsidRDefault="00000000" w:rsidP="00536834">
      <w:pPr>
        <w:spacing w:line="360" w:lineRule="auto"/>
        <w:jc w:val="both"/>
        <w:rPr>
          <w:rFonts w:ascii="Times New Roman" w:eastAsia="Times New Roman" w:hAnsi="Times New Roman" w:cs="Times New Roman"/>
          <w:u w:val="single"/>
        </w:rPr>
      </w:pPr>
      <w:r w:rsidRPr="00536834">
        <w:rPr>
          <w:rFonts w:ascii="Times New Roman" w:eastAsia="Times New Roman" w:hAnsi="Times New Roman" w:cs="Times New Roman"/>
          <w:u w:val="single"/>
        </w:rPr>
        <w:t>6</w:t>
      </w:r>
      <w:r w:rsidR="004E3F00" w:rsidRPr="00536834">
        <w:rPr>
          <w:rFonts w:ascii="Times New Roman" w:eastAsia="Times New Roman" w:hAnsi="Times New Roman" w:cs="Times New Roman"/>
          <w:u w:val="single"/>
        </w:rPr>
        <w:t>.</w:t>
      </w:r>
      <w:r w:rsidRPr="00536834">
        <w:rPr>
          <w:rFonts w:ascii="Times New Roman" w:eastAsia="Times New Roman" w:hAnsi="Times New Roman" w:cs="Times New Roman"/>
          <w:u w:val="single"/>
        </w:rPr>
        <w:t xml:space="preserve"> Visualization and Validation</w:t>
      </w:r>
    </w:p>
    <w:p w14:paraId="5E18B481" w14:textId="77777777" w:rsidR="00FD5B26" w:rsidRPr="00536834" w:rsidRDefault="00000000"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To validate and interpret the clusters, we generated several visualizations:</w:t>
      </w:r>
    </w:p>
    <w:p w14:paraId="74D19E63" w14:textId="77777777" w:rsidR="00FD5B26" w:rsidRPr="00536834" w:rsidRDefault="00000000" w:rsidP="00536834">
      <w:pPr>
        <w:spacing w:before="200" w:after="200" w:line="360" w:lineRule="auto"/>
        <w:jc w:val="center"/>
        <w:rPr>
          <w:rFonts w:ascii="Times New Roman" w:eastAsia="Times New Roman" w:hAnsi="Times New Roman" w:cs="Times New Roman"/>
          <w:u w:val="single"/>
        </w:rPr>
      </w:pPr>
      <w:r w:rsidRPr="00536834">
        <w:rPr>
          <w:rFonts w:ascii="Times New Roman" w:eastAsia="Times New Roman" w:hAnsi="Times New Roman" w:cs="Times New Roman"/>
          <w:noProof/>
          <w:u w:val="single"/>
        </w:rPr>
        <w:drawing>
          <wp:inline distT="114300" distB="114300" distL="114300" distR="114300" wp14:anchorId="699A9376" wp14:editId="595FD822">
            <wp:extent cx="3632200" cy="2362200"/>
            <wp:effectExtent l="19050" t="19050" r="25400" b="1905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3632663" cy="2362501"/>
                    </a:xfrm>
                    <a:prstGeom prst="rect">
                      <a:avLst/>
                    </a:prstGeom>
                    <a:ln w="12700">
                      <a:solidFill>
                        <a:srgbClr val="000000"/>
                      </a:solidFill>
                      <a:prstDash val="solid"/>
                    </a:ln>
                  </pic:spPr>
                </pic:pic>
              </a:graphicData>
            </a:graphic>
          </wp:inline>
        </w:drawing>
      </w:r>
    </w:p>
    <w:p w14:paraId="28B640E4" w14:textId="689391A6" w:rsidR="00FD5B26" w:rsidRPr="00536834" w:rsidRDefault="00000000" w:rsidP="00536834">
      <w:pPr>
        <w:spacing w:line="360" w:lineRule="auto"/>
        <w:jc w:val="center"/>
        <w:rPr>
          <w:rFonts w:ascii="Times New Roman" w:eastAsia="Times New Roman" w:hAnsi="Times New Roman" w:cs="Times New Roman"/>
          <w:b/>
        </w:rPr>
      </w:pPr>
      <w:r w:rsidRPr="00536834">
        <w:rPr>
          <w:rFonts w:ascii="Times New Roman" w:eastAsia="Times New Roman" w:hAnsi="Times New Roman" w:cs="Times New Roman"/>
          <w:b/>
        </w:rPr>
        <w:t xml:space="preserve">Fig. </w:t>
      </w:r>
      <w:r w:rsidR="00EC3D14" w:rsidRPr="00536834">
        <w:rPr>
          <w:rFonts w:ascii="Times New Roman" w:eastAsia="Times New Roman" w:hAnsi="Times New Roman" w:cs="Times New Roman"/>
          <w:b/>
        </w:rPr>
        <w:t>3:</w:t>
      </w:r>
      <w:r w:rsidRPr="00536834">
        <w:rPr>
          <w:rFonts w:ascii="Times New Roman" w:eastAsia="Times New Roman" w:hAnsi="Times New Roman" w:cs="Times New Roman"/>
          <w:b/>
        </w:rPr>
        <w:t xml:space="preserve"> Bar Chart</w:t>
      </w:r>
    </w:p>
    <w:p w14:paraId="72E4274B" w14:textId="619630DB" w:rsidR="00FD5B26" w:rsidRPr="00536834" w:rsidRDefault="00000000"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This </w:t>
      </w:r>
      <w:r w:rsidR="007B3934" w:rsidRPr="00536834">
        <w:rPr>
          <w:rFonts w:ascii="Times New Roman" w:eastAsia="Times New Roman" w:hAnsi="Times New Roman" w:cs="Times New Roman"/>
        </w:rPr>
        <w:t xml:space="preserve">chart reflects the profiles of the four clusters in terms of the proportion of the individuals in each profile performing the various gambling behaviour groups. This figure shows the </w:t>
      </w:r>
      <w:r w:rsidR="007B3934" w:rsidRPr="00536834">
        <w:rPr>
          <w:rFonts w:ascii="Times New Roman" w:eastAsia="Times New Roman" w:hAnsi="Times New Roman" w:cs="Times New Roman"/>
        </w:rPr>
        <w:lastRenderedPageBreak/>
        <w:t>proportions of young adults in each category, the highest proportion being in the occasional gambler group (Cluster 2, followed by the group that is financially affected by gambling (Cluster 4) the smallest group.</w:t>
      </w:r>
    </w:p>
    <w:p w14:paraId="35C4587D" w14:textId="77777777" w:rsidR="00FD5B26" w:rsidRPr="00536834" w:rsidRDefault="00000000" w:rsidP="00536834">
      <w:pPr>
        <w:spacing w:line="360" w:lineRule="auto"/>
        <w:jc w:val="center"/>
        <w:rPr>
          <w:rFonts w:ascii="Times New Roman" w:eastAsia="Times New Roman" w:hAnsi="Times New Roman" w:cs="Times New Roman"/>
          <w:u w:val="single"/>
        </w:rPr>
      </w:pPr>
      <w:r w:rsidRPr="00536834">
        <w:rPr>
          <w:rFonts w:ascii="Times New Roman" w:eastAsia="Times New Roman" w:hAnsi="Times New Roman" w:cs="Times New Roman"/>
          <w:noProof/>
          <w:u w:val="single"/>
        </w:rPr>
        <w:drawing>
          <wp:inline distT="114300" distB="114300" distL="114300" distR="114300" wp14:anchorId="35509900" wp14:editId="461D0E9F">
            <wp:extent cx="3416300" cy="2495550"/>
            <wp:effectExtent l="19050" t="19050" r="12700" b="1905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416923" cy="2496005"/>
                    </a:xfrm>
                    <a:prstGeom prst="rect">
                      <a:avLst/>
                    </a:prstGeom>
                    <a:ln w="12700">
                      <a:solidFill>
                        <a:srgbClr val="000000"/>
                      </a:solidFill>
                      <a:prstDash val="solid"/>
                    </a:ln>
                  </pic:spPr>
                </pic:pic>
              </a:graphicData>
            </a:graphic>
          </wp:inline>
        </w:drawing>
      </w:r>
    </w:p>
    <w:p w14:paraId="48839125" w14:textId="77777777" w:rsidR="00FD5B26" w:rsidRPr="00536834" w:rsidRDefault="00000000" w:rsidP="00536834">
      <w:pPr>
        <w:spacing w:line="360" w:lineRule="auto"/>
        <w:jc w:val="center"/>
        <w:rPr>
          <w:rFonts w:ascii="Times New Roman" w:eastAsia="Times New Roman" w:hAnsi="Times New Roman" w:cs="Times New Roman"/>
          <w:b/>
        </w:rPr>
      </w:pPr>
      <w:r w:rsidRPr="00536834">
        <w:rPr>
          <w:rFonts w:ascii="Times New Roman" w:eastAsia="Times New Roman" w:hAnsi="Times New Roman" w:cs="Times New Roman"/>
          <w:b/>
        </w:rPr>
        <w:t>Fig 4: PCA Plot</w:t>
      </w:r>
    </w:p>
    <w:p w14:paraId="6D743670" w14:textId="0541C981" w:rsidR="00FD5B26" w:rsidRPr="00536834" w:rsidRDefault="007B3934" w:rsidP="00536834">
      <w:pPr>
        <w:spacing w:line="360" w:lineRule="auto"/>
        <w:jc w:val="both"/>
        <w:rPr>
          <w:rFonts w:ascii="Times New Roman" w:eastAsia="Times New Roman" w:hAnsi="Times New Roman" w:cs="Times New Roman"/>
          <w:u w:val="single"/>
        </w:rPr>
      </w:pPr>
      <w:r w:rsidRPr="00536834">
        <w:rPr>
          <w:rFonts w:ascii="Times New Roman" w:eastAsia="Times New Roman" w:hAnsi="Times New Roman" w:cs="Times New Roman"/>
        </w:rPr>
        <w:t>The high dimensional data was reduced by Principal Component Analysis (PCA) to two principal components so that the clustering was clearly visualized (two dimensional). The plot shows the clusters, where each point in the plot indicates an individual, and various gamblers are colour coded as high risk, no risk, older time controlled and finically affected. How distinct the groups are in terms of their gambling behaviours is determined by the amount of separation between the clusters in the PCA plot. For instance, high risk gamblers (Cluster 1) are separated from occasional gamblers (Cluster 2) who have clear behavioural differences.</w:t>
      </w:r>
    </w:p>
    <w:p w14:paraId="1E594879" w14:textId="77777777" w:rsidR="00FD5B26" w:rsidRPr="00536834" w:rsidRDefault="00000000" w:rsidP="00536834">
      <w:pPr>
        <w:spacing w:line="360" w:lineRule="auto"/>
        <w:jc w:val="center"/>
        <w:rPr>
          <w:rFonts w:ascii="Times New Roman" w:eastAsia="Times New Roman" w:hAnsi="Times New Roman" w:cs="Times New Roman"/>
          <w:u w:val="single"/>
        </w:rPr>
      </w:pPr>
      <w:r w:rsidRPr="00536834">
        <w:rPr>
          <w:rFonts w:ascii="Times New Roman" w:eastAsia="Times New Roman" w:hAnsi="Times New Roman" w:cs="Times New Roman"/>
          <w:noProof/>
          <w:u w:val="single"/>
        </w:rPr>
        <w:drawing>
          <wp:inline distT="114300" distB="114300" distL="114300" distR="114300" wp14:anchorId="59F20F4C" wp14:editId="3641ABF4">
            <wp:extent cx="4787738" cy="2170317"/>
            <wp:effectExtent l="12700" t="12700" r="12700" b="1270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4787738" cy="2170317"/>
                    </a:xfrm>
                    <a:prstGeom prst="rect">
                      <a:avLst/>
                    </a:prstGeom>
                    <a:ln w="12700">
                      <a:solidFill>
                        <a:srgbClr val="000000"/>
                      </a:solidFill>
                      <a:prstDash val="solid"/>
                    </a:ln>
                  </pic:spPr>
                </pic:pic>
              </a:graphicData>
            </a:graphic>
          </wp:inline>
        </w:drawing>
      </w:r>
    </w:p>
    <w:p w14:paraId="623DFF14" w14:textId="77777777" w:rsidR="00FD5B26" w:rsidRPr="00536834" w:rsidRDefault="00000000" w:rsidP="00536834">
      <w:pPr>
        <w:spacing w:line="360" w:lineRule="auto"/>
        <w:jc w:val="center"/>
        <w:rPr>
          <w:rFonts w:ascii="Times New Roman" w:eastAsia="Times New Roman" w:hAnsi="Times New Roman" w:cs="Times New Roman"/>
          <w:b/>
        </w:rPr>
      </w:pPr>
      <w:r w:rsidRPr="00536834">
        <w:rPr>
          <w:rFonts w:ascii="Times New Roman" w:eastAsia="Times New Roman" w:hAnsi="Times New Roman" w:cs="Times New Roman"/>
          <w:b/>
        </w:rPr>
        <w:t>Fig 5: Box Plots</w:t>
      </w:r>
    </w:p>
    <w:p w14:paraId="7F6F9A26" w14:textId="52BF14E6" w:rsidR="00FD5B26" w:rsidRPr="00536834" w:rsidRDefault="002825E9"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lastRenderedPageBreak/>
        <w:t xml:space="preserve">These plots compare gambling behaviours (e.g. frequency of gambling, amount spent, effects on human emotions) among the clusters to identify what the key differences are between the groups. For instance, the median frequency boxplot on gambling frequency reveals that those classified as </w:t>
      </w:r>
      <w:proofErr w:type="gramStart"/>
      <w:r w:rsidRPr="00536834">
        <w:rPr>
          <w:rFonts w:ascii="Times New Roman" w:eastAsia="Times New Roman" w:hAnsi="Times New Roman" w:cs="Times New Roman"/>
        </w:rPr>
        <w:t>high risk</w:t>
      </w:r>
      <w:proofErr w:type="gramEnd"/>
      <w:r w:rsidRPr="00536834">
        <w:rPr>
          <w:rFonts w:ascii="Times New Roman" w:eastAsia="Times New Roman" w:hAnsi="Times New Roman" w:cs="Times New Roman"/>
        </w:rPr>
        <w:t xml:space="preserve"> gamblers (Cluster 1) have much higher median frequency compared to occasional gamblers (Cluster 2). Like it, the boxplot for </w:t>
      </w:r>
      <w:r w:rsidR="00EC3D14" w:rsidRPr="00536834">
        <w:rPr>
          <w:rFonts w:ascii="Times New Roman" w:eastAsia="Times New Roman" w:hAnsi="Times New Roman" w:cs="Times New Roman"/>
        </w:rPr>
        <w:t>psychological</w:t>
      </w:r>
      <w:r w:rsidRPr="00536834">
        <w:rPr>
          <w:rFonts w:ascii="Times New Roman" w:eastAsia="Times New Roman" w:hAnsi="Times New Roman" w:cs="Times New Roman"/>
        </w:rPr>
        <w:t xml:space="preserve"> impact, also shows that those financially affected gamblers (Cluster 4) are more anxious as well as more depressed than other groups. </w:t>
      </w:r>
    </w:p>
    <w:p w14:paraId="7779959E" w14:textId="77777777" w:rsidR="00FD5B26" w:rsidRPr="00536834" w:rsidRDefault="00FD5B26" w:rsidP="00536834">
      <w:pPr>
        <w:spacing w:line="360" w:lineRule="auto"/>
        <w:jc w:val="both"/>
        <w:rPr>
          <w:rFonts w:ascii="Times New Roman" w:eastAsia="Times New Roman" w:hAnsi="Times New Roman" w:cs="Times New Roman"/>
        </w:rPr>
      </w:pPr>
    </w:p>
    <w:p w14:paraId="0E6DCB4F" w14:textId="77777777" w:rsidR="00FD5B26" w:rsidRPr="00536834" w:rsidRDefault="00000000" w:rsidP="00536834">
      <w:pPr>
        <w:spacing w:line="360" w:lineRule="auto"/>
        <w:jc w:val="center"/>
        <w:rPr>
          <w:rFonts w:ascii="Times New Roman" w:eastAsia="Times New Roman" w:hAnsi="Times New Roman" w:cs="Times New Roman"/>
        </w:rPr>
      </w:pPr>
      <w:r w:rsidRPr="00536834">
        <w:rPr>
          <w:rFonts w:ascii="Times New Roman" w:eastAsia="Times New Roman" w:hAnsi="Times New Roman" w:cs="Times New Roman"/>
          <w:noProof/>
        </w:rPr>
        <w:drawing>
          <wp:inline distT="114300" distB="114300" distL="114300" distR="114300" wp14:anchorId="106E8536" wp14:editId="7AF92CB9">
            <wp:extent cx="3713918" cy="5795963"/>
            <wp:effectExtent l="12700" t="12700" r="12700" b="1270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3713918" cy="5795963"/>
                    </a:xfrm>
                    <a:prstGeom prst="rect">
                      <a:avLst/>
                    </a:prstGeom>
                    <a:ln w="12700">
                      <a:solidFill>
                        <a:srgbClr val="000000"/>
                      </a:solidFill>
                      <a:prstDash val="solid"/>
                    </a:ln>
                  </pic:spPr>
                </pic:pic>
              </a:graphicData>
            </a:graphic>
          </wp:inline>
        </w:drawing>
      </w:r>
    </w:p>
    <w:p w14:paraId="6E622278" w14:textId="68EAF1DF" w:rsidR="00FD5B26" w:rsidRPr="00536834" w:rsidRDefault="00000000" w:rsidP="00536834">
      <w:pPr>
        <w:spacing w:line="360" w:lineRule="auto"/>
        <w:jc w:val="center"/>
        <w:rPr>
          <w:rFonts w:ascii="Times New Roman" w:eastAsia="Times New Roman" w:hAnsi="Times New Roman" w:cs="Times New Roman"/>
          <w:b/>
        </w:rPr>
      </w:pPr>
      <w:r w:rsidRPr="00536834">
        <w:rPr>
          <w:rFonts w:ascii="Times New Roman" w:eastAsia="Times New Roman" w:hAnsi="Times New Roman" w:cs="Times New Roman"/>
          <w:b/>
        </w:rPr>
        <w:t>Fig 6: Heatmap</w:t>
      </w:r>
    </w:p>
    <w:p w14:paraId="76DF4FAF" w14:textId="619CA4E0" w:rsidR="00536834" w:rsidRPr="00536834" w:rsidRDefault="002825E9"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lastRenderedPageBreak/>
        <w:t xml:space="preserve">The clusters outlined revealed their differences in gambling attendance, spending and psychological impact, which are all illustrated in the heatmap. For example, Cluster 1 gamblers who are high risk would show darker shades of behaviours such as gambling frequency, spendings and psychological distress, meaning they are more involved and suffer from the adverse effects in those aspects. On the other hand, the occasional gamblers (Cluster 2) seem to have lighter shades </w:t>
      </w:r>
      <w:r w:rsidR="00A6440B" w:rsidRPr="00536834">
        <w:rPr>
          <w:rFonts w:ascii="Times New Roman" w:eastAsia="Times New Roman" w:hAnsi="Times New Roman" w:cs="Times New Roman"/>
        </w:rPr>
        <w:t>because</w:t>
      </w:r>
      <w:r w:rsidRPr="00536834">
        <w:rPr>
          <w:rFonts w:ascii="Times New Roman" w:eastAsia="Times New Roman" w:hAnsi="Times New Roman" w:cs="Times New Roman"/>
        </w:rPr>
        <w:t xml:space="preserve"> they do not gamble often and there are minimal negative consequences.</w:t>
      </w:r>
    </w:p>
    <w:p w14:paraId="06013C78" w14:textId="1A00E6A6" w:rsidR="00FD5B26" w:rsidRPr="00536834" w:rsidRDefault="004E3F00" w:rsidP="00536834">
      <w:pPr>
        <w:spacing w:line="360" w:lineRule="auto"/>
        <w:jc w:val="both"/>
        <w:rPr>
          <w:rFonts w:ascii="Times New Roman" w:eastAsia="Times New Roman" w:hAnsi="Times New Roman" w:cs="Times New Roman"/>
          <w:b/>
          <w:bCs/>
          <w:u w:val="single"/>
        </w:rPr>
      </w:pPr>
      <w:r w:rsidRPr="00536834">
        <w:rPr>
          <w:rFonts w:ascii="Times New Roman" w:eastAsia="Times New Roman" w:hAnsi="Times New Roman" w:cs="Times New Roman"/>
          <w:b/>
          <w:bCs/>
          <w:u w:val="single"/>
        </w:rPr>
        <w:t>7. CONCLUSION</w:t>
      </w:r>
    </w:p>
    <w:p w14:paraId="14C16857" w14:textId="1119E7AF" w:rsidR="001D70EE" w:rsidRPr="00536834" w:rsidRDefault="00000000"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The clustering analysis revealed four distinct groups of gamblers, each with unique </w:t>
      </w:r>
      <w:r w:rsidR="00C76E71" w:rsidRPr="00536834">
        <w:rPr>
          <w:rFonts w:ascii="Times New Roman" w:eastAsia="Times New Roman" w:hAnsi="Times New Roman" w:cs="Times New Roman"/>
        </w:rPr>
        <w:t>behavioural</w:t>
      </w:r>
      <w:r w:rsidRPr="00536834">
        <w:rPr>
          <w:rFonts w:ascii="Times New Roman" w:eastAsia="Times New Roman" w:hAnsi="Times New Roman" w:cs="Times New Roman"/>
        </w:rPr>
        <w:t xml:space="preserve"> patterns and socio-economic impacts. These findings provide valuable insights for developing targeted interventions and policies to address the negative consequences of online gambling, particularly among high-risk and financially affected individuals.</w:t>
      </w:r>
      <w:r w:rsidR="001D70EE" w:rsidRPr="00536834">
        <w:rPr>
          <w:rFonts w:ascii="Times New Roman" w:eastAsia="Times New Roman" w:hAnsi="Times New Roman" w:cs="Times New Roman"/>
        </w:rPr>
        <w:t xml:space="preserve"> </w:t>
      </w:r>
      <w:r w:rsidR="002825E9" w:rsidRPr="00536834">
        <w:rPr>
          <w:rFonts w:ascii="Times New Roman" w:eastAsia="Times New Roman" w:hAnsi="Times New Roman" w:cs="Times New Roman"/>
        </w:rPr>
        <w:t xml:space="preserve">The objective of the research is met in this study through the clustering analysis that fits well in addressing the key objectives of the research by explaining the online gambling behaviours among young adults. </w:t>
      </w:r>
    </w:p>
    <w:p w14:paraId="7298EE1E" w14:textId="1E48C644" w:rsidR="001D70EE" w:rsidRPr="00536834" w:rsidRDefault="002825E9"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Firstly, the data set is analysed by segmenting it into four different groups of high-risk gamblers, occasional gamblers, older controlled gamblers and financially affected gamblers. Moreover, the degree of engagement into gambling behaviours is segmented with </w:t>
      </w:r>
      <w:r w:rsidR="00EC3D14" w:rsidRPr="00536834">
        <w:rPr>
          <w:rFonts w:ascii="Times New Roman" w:eastAsia="Times New Roman" w:hAnsi="Times New Roman" w:cs="Times New Roman"/>
        </w:rPr>
        <w:t>high-risk</w:t>
      </w:r>
      <w:r w:rsidRPr="00536834">
        <w:rPr>
          <w:rFonts w:ascii="Times New Roman" w:eastAsia="Times New Roman" w:hAnsi="Times New Roman" w:cs="Times New Roman"/>
        </w:rPr>
        <w:t xml:space="preserve"> gamblers (Cluster 1) significant and substantial proportion of the sample. </w:t>
      </w:r>
    </w:p>
    <w:p w14:paraId="7C0923E2" w14:textId="77777777" w:rsidR="001D70EE" w:rsidRPr="00536834" w:rsidRDefault="002825E9"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Secondly, the clustering process is performed by including socio-economic factors (such as monthly income, financial strain, and occupational status), which enables the study to examine the factors which influence gambling behaviour. Cluster 4, who are also more prone to taking leave or selling possessions, do experience a lot of financial strain; this identifies this group of financially affected gamblers as socio-economically vulnerable. </w:t>
      </w:r>
    </w:p>
    <w:p w14:paraId="2DBDB29A" w14:textId="77777777" w:rsidR="001D70EE" w:rsidRPr="00536834" w:rsidRDefault="002825E9"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Thirdly, the analysis evaluates the psychological impact of online gambling on the factors such as the anxiety, depression, guilt, confidence in the self-control of their gambling behaviour. Cluster 1 (high risk gamblers) is characterized with severe psychological distress including low confidence to control one’s gambling while Cluster 2 (occasional gamblers) gambling report no psychological impact at all. </w:t>
      </w:r>
    </w:p>
    <w:p w14:paraId="708B87A0" w14:textId="516E0309" w:rsidR="001B1FE1" w:rsidRPr="00536834" w:rsidRDefault="002825E9"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 xml:space="preserve">Lastly, the clustering analysis does not directly assess awareness or the efficacy of regulations, but it does provide the fundamental knowledge is to focus interventions </w:t>
      </w:r>
      <w:proofErr w:type="gramStart"/>
      <w:r w:rsidRPr="00536834">
        <w:rPr>
          <w:rFonts w:ascii="Times New Roman" w:eastAsia="Times New Roman" w:hAnsi="Times New Roman" w:cs="Times New Roman"/>
        </w:rPr>
        <w:t>in</w:t>
      </w:r>
      <w:proofErr w:type="gramEnd"/>
      <w:r w:rsidRPr="00536834">
        <w:rPr>
          <w:rFonts w:ascii="Times New Roman" w:eastAsia="Times New Roman" w:hAnsi="Times New Roman" w:cs="Times New Roman"/>
        </w:rPr>
        <w:t xml:space="preserve"> specific places. As the study points out high risk and financially affected gamblers as the most vulnerable groups </w:t>
      </w:r>
      <w:r w:rsidRPr="00536834">
        <w:rPr>
          <w:rFonts w:ascii="Times New Roman" w:eastAsia="Times New Roman" w:hAnsi="Times New Roman" w:cs="Times New Roman"/>
        </w:rPr>
        <w:lastRenderedPageBreak/>
        <w:t>to such challenges it emphasizes the need for increasing the awareness of campaign and the support services to those suffering from socio-economic and psychological problems. Taken as a whole, the clustering analysis presents a comprehensive structure to understand how online gambling is prevalent, how its prevalence is influenced by socio-economic factors, and what are its effects on psychological aspects, while also providing the basis for further research on regulation of the distance gambling and support systems.</w:t>
      </w:r>
    </w:p>
    <w:p w14:paraId="6986FB49" w14:textId="0E811BDD" w:rsidR="00FD5B26" w:rsidRPr="00536834" w:rsidRDefault="004E3F00" w:rsidP="00536834">
      <w:pPr>
        <w:spacing w:line="360" w:lineRule="auto"/>
        <w:jc w:val="both"/>
        <w:rPr>
          <w:rFonts w:ascii="Times New Roman" w:eastAsia="Times New Roman" w:hAnsi="Times New Roman" w:cs="Times New Roman"/>
          <w:b/>
          <w:bCs/>
          <w:u w:val="single"/>
        </w:rPr>
      </w:pPr>
      <w:r w:rsidRPr="00536834">
        <w:rPr>
          <w:rFonts w:ascii="Times New Roman" w:eastAsia="Times New Roman" w:hAnsi="Times New Roman" w:cs="Times New Roman"/>
          <w:b/>
          <w:bCs/>
          <w:u w:val="single"/>
        </w:rPr>
        <w:t>8. FUTURE SCOPE</w:t>
      </w:r>
    </w:p>
    <w:p w14:paraId="42B18856" w14:textId="0F478BDF" w:rsidR="00FD5B26" w:rsidRPr="00536834" w:rsidRDefault="00000000"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t>For further validation, we could compare the results of K-Means with other clustering techniques, such as Hierarchical Clustering or DBSCAN, to ensure the robustness of our findings.</w:t>
      </w:r>
      <w:r w:rsidR="003A618A" w:rsidRPr="00536834">
        <w:rPr>
          <w:rFonts w:ascii="Times New Roman" w:eastAsia="Times New Roman" w:hAnsi="Times New Roman" w:cs="Times New Roman"/>
        </w:rPr>
        <w:t xml:space="preserve"> </w:t>
      </w:r>
      <w:r w:rsidR="003A618A" w:rsidRPr="00536834">
        <w:rPr>
          <w:rFonts w:ascii="Times New Roman" w:eastAsia="Times New Roman" w:hAnsi="Times New Roman" w:cs="Times New Roman"/>
        </w:rPr>
        <w:t xml:space="preserve">This serves as the basis for further research towards understanding and minimizing the effect of online gambling. Another potential is on creating predictive models based on </w:t>
      </w:r>
      <w:proofErr w:type="spellStart"/>
      <w:r w:rsidR="003A618A" w:rsidRPr="00536834">
        <w:rPr>
          <w:rFonts w:ascii="Times New Roman" w:eastAsia="Times New Roman" w:hAnsi="Times New Roman" w:cs="Times New Roman"/>
        </w:rPr>
        <w:t>behavioral</w:t>
      </w:r>
      <w:proofErr w:type="spellEnd"/>
      <w:r w:rsidR="003A618A" w:rsidRPr="00536834">
        <w:rPr>
          <w:rFonts w:ascii="Times New Roman" w:eastAsia="Times New Roman" w:hAnsi="Times New Roman" w:cs="Times New Roman"/>
        </w:rPr>
        <w:t xml:space="preserve"> and psychological indicators to find out at what </w:t>
      </w:r>
      <w:proofErr w:type="gramStart"/>
      <w:r w:rsidR="003A618A" w:rsidRPr="00536834">
        <w:rPr>
          <w:rFonts w:ascii="Times New Roman" w:eastAsia="Times New Roman" w:hAnsi="Times New Roman" w:cs="Times New Roman"/>
        </w:rPr>
        <w:t>early stage</w:t>
      </w:r>
      <w:proofErr w:type="gramEnd"/>
      <w:r w:rsidR="003A618A" w:rsidRPr="00536834">
        <w:rPr>
          <w:rFonts w:ascii="Times New Roman" w:eastAsia="Times New Roman" w:hAnsi="Times New Roman" w:cs="Times New Roman"/>
        </w:rPr>
        <w:t xml:space="preserve"> people would be at risk of becoming a gambler. Future research can also study the </w:t>
      </w:r>
      <w:proofErr w:type="spellStart"/>
      <w:r w:rsidR="003A618A" w:rsidRPr="00536834">
        <w:rPr>
          <w:rFonts w:ascii="Times New Roman" w:eastAsia="Times New Roman" w:hAnsi="Times New Roman" w:cs="Times New Roman"/>
        </w:rPr>
        <w:t>impactiveness</w:t>
      </w:r>
      <w:proofErr w:type="spellEnd"/>
      <w:r w:rsidR="003A618A" w:rsidRPr="00536834">
        <w:rPr>
          <w:rFonts w:ascii="Times New Roman" w:eastAsia="Times New Roman" w:hAnsi="Times New Roman" w:cs="Times New Roman"/>
        </w:rPr>
        <w:t xml:space="preserve"> of usage of </w:t>
      </w:r>
      <w:proofErr w:type="spellStart"/>
      <w:r w:rsidR="003A618A" w:rsidRPr="00536834">
        <w:rPr>
          <w:rFonts w:ascii="Times New Roman" w:eastAsia="Times New Roman" w:hAnsi="Times New Roman" w:cs="Times New Roman"/>
        </w:rPr>
        <w:t>behavioral</w:t>
      </w:r>
      <w:proofErr w:type="spellEnd"/>
      <w:r w:rsidR="003A618A" w:rsidRPr="00536834">
        <w:rPr>
          <w:rFonts w:ascii="Times New Roman" w:eastAsia="Times New Roman" w:hAnsi="Times New Roman" w:cs="Times New Roman"/>
        </w:rPr>
        <w:t xml:space="preserve"> interventions like gamified </w:t>
      </w:r>
      <w:proofErr w:type="spellStart"/>
      <w:r w:rsidR="003A618A" w:rsidRPr="00536834">
        <w:rPr>
          <w:rFonts w:ascii="Times New Roman" w:eastAsia="Times New Roman" w:hAnsi="Times New Roman" w:cs="Times New Roman"/>
        </w:rPr>
        <w:t>self control</w:t>
      </w:r>
      <w:proofErr w:type="spellEnd"/>
      <w:r w:rsidR="003A618A" w:rsidRPr="00536834">
        <w:rPr>
          <w:rFonts w:ascii="Times New Roman" w:eastAsia="Times New Roman" w:hAnsi="Times New Roman" w:cs="Times New Roman"/>
        </w:rPr>
        <w:t xml:space="preserve"> tool or in app spending alerts to reduce compulsive gambling. There are several ways that a comparison between a regulated and the unregulated online gambling platforms may be able to bring out insights into how legal frameworks affect the </w:t>
      </w:r>
      <w:proofErr w:type="spellStart"/>
      <w:r w:rsidR="003A618A" w:rsidRPr="00536834">
        <w:rPr>
          <w:rFonts w:ascii="Times New Roman" w:eastAsia="Times New Roman" w:hAnsi="Times New Roman" w:cs="Times New Roman"/>
        </w:rPr>
        <w:t>behavior</w:t>
      </w:r>
      <w:proofErr w:type="spellEnd"/>
      <w:r w:rsidR="003A618A" w:rsidRPr="00536834">
        <w:rPr>
          <w:rFonts w:ascii="Times New Roman" w:eastAsia="Times New Roman" w:hAnsi="Times New Roman" w:cs="Times New Roman"/>
        </w:rPr>
        <w:t xml:space="preserve"> and well-being of users. In addition, it would explore the role of social media and influencer marketing in changing young adults’ attitudes to </w:t>
      </w:r>
      <w:proofErr w:type="gramStart"/>
      <w:r w:rsidR="003A618A" w:rsidRPr="00536834">
        <w:rPr>
          <w:rFonts w:ascii="Times New Roman" w:eastAsia="Times New Roman" w:hAnsi="Times New Roman" w:cs="Times New Roman"/>
        </w:rPr>
        <w:t>gambling, and</w:t>
      </w:r>
      <w:proofErr w:type="gramEnd"/>
      <w:r w:rsidR="003A618A" w:rsidRPr="00536834">
        <w:rPr>
          <w:rFonts w:ascii="Times New Roman" w:eastAsia="Times New Roman" w:hAnsi="Times New Roman" w:cs="Times New Roman"/>
        </w:rPr>
        <w:t xml:space="preserve"> uncovering new psychological dimensions of one of the most popular of our days. Studies with a neuroscientific and </w:t>
      </w:r>
      <w:proofErr w:type="spellStart"/>
      <w:r w:rsidR="003A618A" w:rsidRPr="00536834">
        <w:rPr>
          <w:rFonts w:ascii="Times New Roman" w:eastAsia="Times New Roman" w:hAnsi="Times New Roman" w:cs="Times New Roman"/>
        </w:rPr>
        <w:t>behavioral</w:t>
      </w:r>
      <w:proofErr w:type="spellEnd"/>
      <w:r w:rsidR="003A618A" w:rsidRPr="00536834">
        <w:rPr>
          <w:rFonts w:ascii="Times New Roman" w:eastAsia="Times New Roman" w:hAnsi="Times New Roman" w:cs="Times New Roman"/>
        </w:rPr>
        <w:t xml:space="preserve"> economic cross discipline can explain why in addicted </w:t>
      </w:r>
      <w:proofErr w:type="spellStart"/>
      <w:r w:rsidR="003A618A" w:rsidRPr="00536834">
        <w:rPr>
          <w:rFonts w:ascii="Times New Roman" w:eastAsia="Times New Roman" w:hAnsi="Times New Roman" w:cs="Times New Roman"/>
        </w:rPr>
        <w:t>behavior</w:t>
      </w:r>
      <w:proofErr w:type="spellEnd"/>
      <w:r w:rsidR="003A618A" w:rsidRPr="00536834">
        <w:rPr>
          <w:rFonts w:ascii="Times New Roman" w:eastAsia="Times New Roman" w:hAnsi="Times New Roman" w:cs="Times New Roman"/>
        </w:rPr>
        <w:t xml:space="preserve">, cognitive biases and reward mechanism. Longitudinal studies following the </w:t>
      </w:r>
      <w:proofErr w:type="gramStart"/>
      <w:r w:rsidR="003A618A" w:rsidRPr="00536834">
        <w:rPr>
          <w:rFonts w:ascii="Times New Roman" w:eastAsia="Times New Roman" w:hAnsi="Times New Roman" w:cs="Times New Roman"/>
        </w:rPr>
        <w:t>long term</w:t>
      </w:r>
      <w:proofErr w:type="gramEnd"/>
      <w:r w:rsidR="003A618A" w:rsidRPr="00536834">
        <w:rPr>
          <w:rFonts w:ascii="Times New Roman" w:eastAsia="Times New Roman" w:hAnsi="Times New Roman" w:cs="Times New Roman"/>
        </w:rPr>
        <w:t xml:space="preserve"> socio economic and mental health consequences of enduring online gambling will be the last and are necessary to inform effective policy responses and support systems. These future studies can make a significant contribution in completing a more complete, evidence driven response to the growing incidence of youth participating online.</w:t>
      </w:r>
    </w:p>
    <w:p w14:paraId="5A7EA5CC" w14:textId="77777777" w:rsidR="001B1FE1" w:rsidRPr="00536834" w:rsidRDefault="001B1FE1" w:rsidP="00536834">
      <w:pPr>
        <w:spacing w:line="360" w:lineRule="auto"/>
        <w:jc w:val="both"/>
        <w:rPr>
          <w:rFonts w:ascii="Times New Roman" w:eastAsia="Times New Roman" w:hAnsi="Times New Roman" w:cs="Times New Roman"/>
        </w:rPr>
      </w:pPr>
    </w:p>
    <w:p w14:paraId="6FC491D0" w14:textId="77777777" w:rsidR="00536834" w:rsidRDefault="00536834" w:rsidP="00536834">
      <w:pPr>
        <w:spacing w:line="360" w:lineRule="auto"/>
        <w:jc w:val="both"/>
        <w:rPr>
          <w:rFonts w:ascii="Times New Roman" w:eastAsia="Times New Roman" w:hAnsi="Times New Roman" w:cs="Times New Roman"/>
          <w:b/>
          <w:bCs/>
          <w:u w:val="single"/>
        </w:rPr>
      </w:pPr>
    </w:p>
    <w:p w14:paraId="144613A1" w14:textId="77777777" w:rsidR="00536834" w:rsidRDefault="00536834" w:rsidP="00536834">
      <w:pPr>
        <w:spacing w:line="360" w:lineRule="auto"/>
        <w:jc w:val="both"/>
        <w:rPr>
          <w:rFonts w:ascii="Times New Roman" w:eastAsia="Times New Roman" w:hAnsi="Times New Roman" w:cs="Times New Roman"/>
          <w:b/>
          <w:bCs/>
          <w:u w:val="single"/>
        </w:rPr>
      </w:pPr>
    </w:p>
    <w:p w14:paraId="467F9E68" w14:textId="77777777" w:rsidR="00536834" w:rsidRDefault="00536834" w:rsidP="00536834">
      <w:pPr>
        <w:spacing w:line="360" w:lineRule="auto"/>
        <w:jc w:val="both"/>
        <w:rPr>
          <w:rFonts w:ascii="Times New Roman" w:eastAsia="Times New Roman" w:hAnsi="Times New Roman" w:cs="Times New Roman"/>
          <w:b/>
          <w:bCs/>
          <w:u w:val="single"/>
        </w:rPr>
      </w:pPr>
    </w:p>
    <w:p w14:paraId="1A34D4DD" w14:textId="77777777" w:rsidR="00536834" w:rsidRDefault="00536834" w:rsidP="00536834">
      <w:pPr>
        <w:spacing w:line="360" w:lineRule="auto"/>
        <w:jc w:val="both"/>
        <w:rPr>
          <w:rFonts w:ascii="Times New Roman" w:eastAsia="Times New Roman" w:hAnsi="Times New Roman" w:cs="Times New Roman"/>
          <w:b/>
          <w:bCs/>
          <w:u w:val="single"/>
        </w:rPr>
      </w:pPr>
    </w:p>
    <w:p w14:paraId="36C9C1AF" w14:textId="73DA2C9C" w:rsidR="003820A6" w:rsidRPr="00536834" w:rsidRDefault="003820A6" w:rsidP="00536834">
      <w:pPr>
        <w:spacing w:line="360" w:lineRule="auto"/>
        <w:jc w:val="both"/>
        <w:rPr>
          <w:rFonts w:ascii="Times New Roman" w:eastAsia="Times New Roman" w:hAnsi="Times New Roman" w:cs="Times New Roman"/>
          <w:b/>
          <w:bCs/>
          <w:u w:val="single"/>
        </w:rPr>
      </w:pPr>
      <w:r w:rsidRPr="00536834">
        <w:rPr>
          <w:rFonts w:ascii="Times New Roman" w:eastAsia="Times New Roman" w:hAnsi="Times New Roman" w:cs="Times New Roman"/>
          <w:b/>
          <w:bCs/>
          <w:u w:val="single"/>
        </w:rPr>
        <w:lastRenderedPageBreak/>
        <w:t>9. REFERENCES</w:t>
      </w:r>
    </w:p>
    <w:p w14:paraId="01DFD738" w14:textId="77777777" w:rsidR="003A618A" w:rsidRPr="00536834" w:rsidRDefault="003A618A" w:rsidP="00536834">
      <w:pPr>
        <w:pStyle w:val="Bibliography"/>
        <w:spacing w:line="360" w:lineRule="auto"/>
        <w:rPr>
          <w:rFonts w:ascii="Times New Roman" w:hAnsi="Times New Roman" w:cs="Times New Roman"/>
          <w:lang w:val="en-GB"/>
        </w:rPr>
      </w:pPr>
      <w:r w:rsidRPr="00536834">
        <w:rPr>
          <w:rFonts w:ascii="Times New Roman" w:eastAsia="Times New Roman" w:hAnsi="Times New Roman" w:cs="Times New Roman"/>
        </w:rPr>
        <w:fldChar w:fldCharType="begin"/>
      </w:r>
      <w:r w:rsidRPr="00536834">
        <w:rPr>
          <w:rFonts w:ascii="Times New Roman" w:eastAsia="Times New Roman" w:hAnsi="Times New Roman" w:cs="Times New Roman"/>
        </w:rPr>
        <w:instrText xml:space="preserve"> ADDIN ZOTERO_BIBL {"uncited":[],"omitted":[],"custom":[]} CSL_BIBLIOGRAPHY </w:instrText>
      </w:r>
      <w:r w:rsidRPr="00536834">
        <w:rPr>
          <w:rFonts w:ascii="Times New Roman" w:eastAsia="Times New Roman" w:hAnsi="Times New Roman" w:cs="Times New Roman"/>
        </w:rPr>
        <w:fldChar w:fldCharType="separate"/>
      </w:r>
      <w:r w:rsidRPr="00536834">
        <w:rPr>
          <w:rFonts w:ascii="Times New Roman" w:hAnsi="Times New Roman" w:cs="Times New Roman"/>
          <w:lang w:val="en-GB"/>
        </w:rPr>
        <w:t xml:space="preserve">Antonio, J. C., Ong, A. K. S., Diaz, J. F. T., </w:t>
      </w:r>
      <w:proofErr w:type="spellStart"/>
      <w:r w:rsidRPr="00536834">
        <w:rPr>
          <w:rFonts w:ascii="Times New Roman" w:hAnsi="Times New Roman" w:cs="Times New Roman"/>
          <w:lang w:val="en-GB"/>
        </w:rPr>
        <w:t>Cahigas</w:t>
      </w:r>
      <w:proofErr w:type="spellEnd"/>
      <w:r w:rsidRPr="00536834">
        <w:rPr>
          <w:rFonts w:ascii="Times New Roman" w:hAnsi="Times New Roman" w:cs="Times New Roman"/>
          <w:lang w:val="en-GB"/>
        </w:rPr>
        <w:t xml:space="preserve">, M. M. L., &amp; </w:t>
      </w:r>
      <w:proofErr w:type="spellStart"/>
      <w:r w:rsidRPr="00536834">
        <w:rPr>
          <w:rFonts w:ascii="Times New Roman" w:hAnsi="Times New Roman" w:cs="Times New Roman"/>
          <w:lang w:val="en-GB"/>
        </w:rPr>
        <w:t>Gumasing</w:t>
      </w:r>
      <w:proofErr w:type="spellEnd"/>
      <w:r w:rsidRPr="00536834">
        <w:rPr>
          <w:rFonts w:ascii="Times New Roman" w:hAnsi="Times New Roman" w:cs="Times New Roman"/>
          <w:lang w:val="en-GB"/>
        </w:rPr>
        <w:t xml:space="preserve">, Ma. J. J. (2025). The perceived risk and return, curiosity, and control analysis of online gambling intention among Gen Z and Millennials using extended UTAUT3. </w:t>
      </w:r>
      <w:r w:rsidRPr="00536834">
        <w:rPr>
          <w:rFonts w:ascii="Times New Roman" w:hAnsi="Times New Roman" w:cs="Times New Roman"/>
          <w:i/>
          <w:iCs/>
          <w:lang w:val="en-GB"/>
        </w:rPr>
        <w:t>Entertainment Computing</w:t>
      </w:r>
      <w:r w:rsidRPr="00536834">
        <w:rPr>
          <w:rFonts w:ascii="Times New Roman" w:hAnsi="Times New Roman" w:cs="Times New Roman"/>
          <w:lang w:val="en-GB"/>
        </w:rPr>
        <w:t xml:space="preserve">, </w:t>
      </w:r>
      <w:r w:rsidRPr="00536834">
        <w:rPr>
          <w:rFonts w:ascii="Times New Roman" w:hAnsi="Times New Roman" w:cs="Times New Roman"/>
          <w:i/>
          <w:iCs/>
          <w:lang w:val="en-GB"/>
        </w:rPr>
        <w:t>52</w:t>
      </w:r>
      <w:r w:rsidRPr="00536834">
        <w:rPr>
          <w:rFonts w:ascii="Times New Roman" w:hAnsi="Times New Roman" w:cs="Times New Roman"/>
          <w:lang w:val="en-GB"/>
        </w:rPr>
        <w:t>, 100918. https://doi.org/10.1016/j.entcom.2024.100918</w:t>
      </w:r>
    </w:p>
    <w:p w14:paraId="035031B3" w14:textId="77777777" w:rsidR="003A618A" w:rsidRPr="00536834" w:rsidRDefault="003A618A" w:rsidP="00536834">
      <w:pPr>
        <w:pStyle w:val="Bibliography"/>
        <w:spacing w:line="360" w:lineRule="auto"/>
        <w:rPr>
          <w:rFonts w:ascii="Times New Roman" w:hAnsi="Times New Roman" w:cs="Times New Roman"/>
          <w:lang w:val="en-GB"/>
        </w:rPr>
      </w:pPr>
      <w:r w:rsidRPr="00536834">
        <w:rPr>
          <w:rFonts w:ascii="Times New Roman" w:hAnsi="Times New Roman" w:cs="Times New Roman"/>
          <w:lang w:val="en-GB"/>
        </w:rPr>
        <w:t xml:space="preserve">Bush-Evans, R., Arden-Close, E., Thomas, S., </w:t>
      </w:r>
      <w:proofErr w:type="spellStart"/>
      <w:r w:rsidRPr="00536834">
        <w:rPr>
          <w:rFonts w:ascii="Times New Roman" w:hAnsi="Times New Roman" w:cs="Times New Roman"/>
          <w:lang w:val="en-GB"/>
        </w:rPr>
        <w:t>McAlaney</w:t>
      </w:r>
      <w:proofErr w:type="spellEnd"/>
      <w:r w:rsidRPr="00536834">
        <w:rPr>
          <w:rFonts w:ascii="Times New Roman" w:hAnsi="Times New Roman" w:cs="Times New Roman"/>
          <w:lang w:val="en-GB"/>
        </w:rPr>
        <w:t xml:space="preserve">, J., Wang, R., Bolat, E., Hodge, S., Hamson-Ford, A., &amp; </w:t>
      </w:r>
      <w:proofErr w:type="spellStart"/>
      <w:r w:rsidRPr="00536834">
        <w:rPr>
          <w:rFonts w:ascii="Times New Roman" w:hAnsi="Times New Roman" w:cs="Times New Roman"/>
          <w:lang w:val="en-GB"/>
        </w:rPr>
        <w:t>Phalp</w:t>
      </w:r>
      <w:proofErr w:type="spellEnd"/>
      <w:r w:rsidRPr="00536834">
        <w:rPr>
          <w:rFonts w:ascii="Times New Roman" w:hAnsi="Times New Roman" w:cs="Times New Roman"/>
          <w:lang w:val="en-GB"/>
        </w:rPr>
        <w:t xml:space="preserve">, K. (2024). Promoting safer gambling through social norms and goal setting: A qualitative process analysis of participants’ experiences in the </w:t>
      </w:r>
      <w:proofErr w:type="spellStart"/>
      <w:r w:rsidRPr="00536834">
        <w:rPr>
          <w:rFonts w:ascii="Times New Roman" w:hAnsi="Times New Roman" w:cs="Times New Roman"/>
          <w:lang w:val="en-GB"/>
        </w:rPr>
        <w:t>EROGamb</w:t>
      </w:r>
      <w:proofErr w:type="spellEnd"/>
      <w:r w:rsidRPr="00536834">
        <w:rPr>
          <w:rFonts w:ascii="Times New Roman" w:hAnsi="Times New Roman" w:cs="Times New Roman"/>
          <w:lang w:val="en-GB"/>
        </w:rPr>
        <w:t xml:space="preserve"> 2.0 feasibility trial. </w:t>
      </w:r>
      <w:r w:rsidRPr="00536834">
        <w:rPr>
          <w:rFonts w:ascii="Times New Roman" w:hAnsi="Times New Roman" w:cs="Times New Roman"/>
          <w:i/>
          <w:iCs/>
          <w:lang w:val="en-GB"/>
        </w:rPr>
        <w:t>Internet Interventions</w:t>
      </w:r>
      <w:r w:rsidRPr="00536834">
        <w:rPr>
          <w:rFonts w:ascii="Times New Roman" w:hAnsi="Times New Roman" w:cs="Times New Roman"/>
          <w:lang w:val="en-GB"/>
        </w:rPr>
        <w:t xml:space="preserve">, </w:t>
      </w:r>
      <w:r w:rsidRPr="00536834">
        <w:rPr>
          <w:rFonts w:ascii="Times New Roman" w:hAnsi="Times New Roman" w:cs="Times New Roman"/>
          <w:i/>
          <w:iCs/>
          <w:lang w:val="en-GB"/>
        </w:rPr>
        <w:t>38</w:t>
      </w:r>
      <w:r w:rsidRPr="00536834">
        <w:rPr>
          <w:rFonts w:ascii="Times New Roman" w:hAnsi="Times New Roman" w:cs="Times New Roman"/>
          <w:lang w:val="en-GB"/>
        </w:rPr>
        <w:t>, 100790. https://doi.org/10.1016/j.invent.2024.100790</w:t>
      </w:r>
    </w:p>
    <w:p w14:paraId="368F55E7" w14:textId="77777777" w:rsidR="003A618A" w:rsidRPr="00536834" w:rsidRDefault="003A618A" w:rsidP="00536834">
      <w:pPr>
        <w:pStyle w:val="Bibliography"/>
        <w:spacing w:line="360" w:lineRule="auto"/>
        <w:rPr>
          <w:rFonts w:ascii="Times New Roman" w:hAnsi="Times New Roman" w:cs="Times New Roman"/>
          <w:lang w:val="en-GB"/>
        </w:rPr>
      </w:pPr>
      <w:r w:rsidRPr="00536834">
        <w:rPr>
          <w:rFonts w:ascii="Times New Roman" w:hAnsi="Times New Roman" w:cs="Times New Roman"/>
          <w:lang w:val="en-GB"/>
        </w:rPr>
        <w:t xml:space="preserve">Dowling, N. A., Hawker, C. O., Merkouris, S. S., Rodda, S. N., &amp; Hodgins, D. C. (2025). Addressing Gambling Harm to affected others: A scoping review (part II: Coping, assessment and treatment). </w:t>
      </w:r>
      <w:r w:rsidRPr="00536834">
        <w:rPr>
          <w:rFonts w:ascii="Times New Roman" w:hAnsi="Times New Roman" w:cs="Times New Roman"/>
          <w:i/>
          <w:iCs/>
          <w:lang w:val="en-GB"/>
        </w:rPr>
        <w:t>Clinical Psychology Review</w:t>
      </w:r>
      <w:r w:rsidRPr="00536834">
        <w:rPr>
          <w:rFonts w:ascii="Times New Roman" w:hAnsi="Times New Roman" w:cs="Times New Roman"/>
          <w:lang w:val="en-GB"/>
        </w:rPr>
        <w:t xml:space="preserve">, </w:t>
      </w:r>
      <w:r w:rsidRPr="00536834">
        <w:rPr>
          <w:rFonts w:ascii="Times New Roman" w:hAnsi="Times New Roman" w:cs="Times New Roman"/>
          <w:i/>
          <w:iCs/>
          <w:lang w:val="en-GB"/>
        </w:rPr>
        <w:t>116</w:t>
      </w:r>
      <w:r w:rsidRPr="00536834">
        <w:rPr>
          <w:rFonts w:ascii="Times New Roman" w:hAnsi="Times New Roman" w:cs="Times New Roman"/>
          <w:lang w:val="en-GB"/>
        </w:rPr>
        <w:t>, 102543. https://doi.org/10.1016/j.cpr.2025.102543</w:t>
      </w:r>
    </w:p>
    <w:p w14:paraId="33DF6065" w14:textId="77777777" w:rsidR="003A618A" w:rsidRPr="00536834" w:rsidRDefault="003A618A" w:rsidP="00536834">
      <w:pPr>
        <w:pStyle w:val="Bibliography"/>
        <w:spacing w:line="360" w:lineRule="auto"/>
        <w:rPr>
          <w:rFonts w:ascii="Times New Roman" w:hAnsi="Times New Roman" w:cs="Times New Roman"/>
          <w:lang w:val="en-GB"/>
        </w:rPr>
      </w:pPr>
      <w:r w:rsidRPr="00536834">
        <w:rPr>
          <w:rFonts w:ascii="Times New Roman" w:hAnsi="Times New Roman" w:cs="Times New Roman"/>
          <w:lang w:val="en-GB"/>
        </w:rPr>
        <w:t xml:space="preserve">Fahrudin, A., </w:t>
      </w:r>
      <w:proofErr w:type="spellStart"/>
      <w:r w:rsidRPr="00536834">
        <w:rPr>
          <w:rFonts w:ascii="Times New Roman" w:hAnsi="Times New Roman" w:cs="Times New Roman"/>
          <w:lang w:val="en-GB"/>
        </w:rPr>
        <w:t>Satispi</w:t>
      </w:r>
      <w:proofErr w:type="spellEnd"/>
      <w:r w:rsidRPr="00536834">
        <w:rPr>
          <w:rFonts w:ascii="Times New Roman" w:hAnsi="Times New Roman" w:cs="Times New Roman"/>
          <w:lang w:val="en-GB"/>
        </w:rPr>
        <w:t xml:space="preserve">, E., </w:t>
      </w:r>
      <w:proofErr w:type="spellStart"/>
      <w:r w:rsidRPr="00536834">
        <w:rPr>
          <w:rFonts w:ascii="Times New Roman" w:hAnsi="Times New Roman" w:cs="Times New Roman"/>
          <w:lang w:val="en-GB"/>
        </w:rPr>
        <w:t>Subardhini</w:t>
      </w:r>
      <w:proofErr w:type="spellEnd"/>
      <w:r w:rsidRPr="00536834">
        <w:rPr>
          <w:rFonts w:ascii="Times New Roman" w:hAnsi="Times New Roman" w:cs="Times New Roman"/>
          <w:lang w:val="en-GB"/>
        </w:rPr>
        <w:t xml:space="preserve">, M., Rinda </w:t>
      </w:r>
      <w:proofErr w:type="spellStart"/>
      <w:r w:rsidRPr="00536834">
        <w:rPr>
          <w:rFonts w:ascii="Times New Roman" w:hAnsi="Times New Roman" w:cs="Times New Roman"/>
          <w:lang w:val="en-GB"/>
        </w:rPr>
        <w:t>Andayani</w:t>
      </w:r>
      <w:proofErr w:type="spellEnd"/>
      <w:r w:rsidRPr="00536834">
        <w:rPr>
          <w:rFonts w:ascii="Times New Roman" w:hAnsi="Times New Roman" w:cs="Times New Roman"/>
          <w:lang w:val="en-GB"/>
        </w:rPr>
        <w:t xml:space="preserve">, R. H., </w:t>
      </w:r>
      <w:proofErr w:type="spellStart"/>
      <w:r w:rsidRPr="00536834">
        <w:rPr>
          <w:rFonts w:ascii="Times New Roman" w:hAnsi="Times New Roman" w:cs="Times New Roman"/>
          <w:lang w:val="en-GB"/>
        </w:rPr>
        <w:t>Jayaputra</w:t>
      </w:r>
      <w:proofErr w:type="spellEnd"/>
      <w:r w:rsidRPr="00536834">
        <w:rPr>
          <w:rFonts w:ascii="Times New Roman" w:hAnsi="Times New Roman" w:cs="Times New Roman"/>
          <w:lang w:val="en-GB"/>
        </w:rPr>
        <w:t xml:space="preserve">, A., </w:t>
      </w:r>
      <w:proofErr w:type="spellStart"/>
      <w:r w:rsidRPr="00536834">
        <w:rPr>
          <w:rFonts w:ascii="Times New Roman" w:hAnsi="Times New Roman" w:cs="Times New Roman"/>
          <w:lang w:val="en-GB"/>
        </w:rPr>
        <w:t>Yuniarti</w:t>
      </w:r>
      <w:proofErr w:type="spellEnd"/>
      <w:r w:rsidRPr="00536834">
        <w:rPr>
          <w:rFonts w:ascii="Times New Roman" w:hAnsi="Times New Roman" w:cs="Times New Roman"/>
          <w:lang w:val="en-GB"/>
        </w:rPr>
        <w:t xml:space="preserve">, L., </w:t>
      </w:r>
      <w:proofErr w:type="spellStart"/>
      <w:r w:rsidRPr="00536834">
        <w:rPr>
          <w:rFonts w:ascii="Times New Roman" w:hAnsi="Times New Roman" w:cs="Times New Roman"/>
          <w:lang w:val="en-GB"/>
        </w:rPr>
        <w:t>Wijayanti</w:t>
      </w:r>
      <w:proofErr w:type="spellEnd"/>
      <w:r w:rsidRPr="00536834">
        <w:rPr>
          <w:rFonts w:ascii="Times New Roman" w:hAnsi="Times New Roman" w:cs="Times New Roman"/>
          <w:lang w:val="en-GB"/>
        </w:rPr>
        <w:t xml:space="preserve">, F., &amp; Suryani, S. (2024). Online gambling addiction: Problems and solutions for policymakers and stakeholders in Indonesia. </w:t>
      </w:r>
      <w:r w:rsidRPr="00536834">
        <w:rPr>
          <w:rFonts w:ascii="Times New Roman" w:hAnsi="Times New Roman" w:cs="Times New Roman"/>
          <w:i/>
          <w:iCs/>
          <w:lang w:val="en-GB"/>
        </w:rPr>
        <w:t>Journal of Infrastructure, Policy and Development</w:t>
      </w:r>
      <w:r w:rsidRPr="00536834">
        <w:rPr>
          <w:rFonts w:ascii="Times New Roman" w:hAnsi="Times New Roman" w:cs="Times New Roman"/>
          <w:lang w:val="en-GB"/>
        </w:rPr>
        <w:t xml:space="preserve">, </w:t>
      </w:r>
      <w:r w:rsidRPr="00536834">
        <w:rPr>
          <w:rFonts w:ascii="Times New Roman" w:hAnsi="Times New Roman" w:cs="Times New Roman"/>
          <w:i/>
          <w:iCs/>
          <w:lang w:val="en-GB"/>
        </w:rPr>
        <w:t>8</w:t>
      </w:r>
      <w:r w:rsidRPr="00536834">
        <w:rPr>
          <w:rFonts w:ascii="Times New Roman" w:hAnsi="Times New Roman" w:cs="Times New Roman"/>
          <w:lang w:val="en-GB"/>
        </w:rPr>
        <w:t>(11), 9077. https://doi.org/10.24294/jipd.v8i11.9077</w:t>
      </w:r>
    </w:p>
    <w:p w14:paraId="1B81E0F4" w14:textId="77777777" w:rsidR="003A618A" w:rsidRPr="00536834" w:rsidRDefault="003A618A" w:rsidP="00536834">
      <w:pPr>
        <w:pStyle w:val="Bibliography"/>
        <w:spacing w:line="360" w:lineRule="auto"/>
        <w:rPr>
          <w:rFonts w:ascii="Times New Roman" w:hAnsi="Times New Roman" w:cs="Times New Roman"/>
          <w:lang w:val="en-GB"/>
        </w:rPr>
      </w:pPr>
      <w:r w:rsidRPr="00536834">
        <w:rPr>
          <w:rFonts w:ascii="Times New Roman" w:hAnsi="Times New Roman" w:cs="Times New Roman"/>
          <w:lang w:val="en-GB"/>
        </w:rPr>
        <w:t xml:space="preserve">Indra, I. M., </w:t>
      </w:r>
      <w:proofErr w:type="spellStart"/>
      <w:r w:rsidRPr="00536834">
        <w:rPr>
          <w:rFonts w:ascii="Times New Roman" w:hAnsi="Times New Roman" w:cs="Times New Roman"/>
          <w:lang w:val="en-GB"/>
        </w:rPr>
        <w:t>Japari</w:t>
      </w:r>
      <w:proofErr w:type="spellEnd"/>
      <w:r w:rsidRPr="00536834">
        <w:rPr>
          <w:rFonts w:ascii="Times New Roman" w:hAnsi="Times New Roman" w:cs="Times New Roman"/>
          <w:lang w:val="en-GB"/>
        </w:rPr>
        <w:t xml:space="preserve">, A., Novika, F., </w:t>
      </w:r>
      <w:proofErr w:type="spellStart"/>
      <w:r w:rsidRPr="00536834">
        <w:rPr>
          <w:rFonts w:ascii="Times New Roman" w:hAnsi="Times New Roman" w:cs="Times New Roman"/>
          <w:lang w:val="en-GB"/>
        </w:rPr>
        <w:t>Septivani</w:t>
      </w:r>
      <w:proofErr w:type="spellEnd"/>
      <w:r w:rsidRPr="00536834">
        <w:rPr>
          <w:rFonts w:ascii="Times New Roman" w:hAnsi="Times New Roman" w:cs="Times New Roman"/>
          <w:lang w:val="en-GB"/>
        </w:rPr>
        <w:t xml:space="preserve">, C. N., </w:t>
      </w:r>
      <w:proofErr w:type="spellStart"/>
      <w:r w:rsidRPr="00536834">
        <w:rPr>
          <w:rFonts w:ascii="Times New Roman" w:hAnsi="Times New Roman" w:cs="Times New Roman"/>
          <w:lang w:val="en-GB"/>
        </w:rPr>
        <w:t>Rosmayanti</w:t>
      </w:r>
      <w:proofErr w:type="spellEnd"/>
      <w:r w:rsidRPr="00536834">
        <w:rPr>
          <w:rFonts w:ascii="Times New Roman" w:hAnsi="Times New Roman" w:cs="Times New Roman"/>
          <w:lang w:val="en-GB"/>
        </w:rPr>
        <w:t xml:space="preserve">, M., &amp; </w:t>
      </w:r>
      <w:proofErr w:type="spellStart"/>
      <w:r w:rsidRPr="00536834">
        <w:rPr>
          <w:rFonts w:ascii="Times New Roman" w:hAnsi="Times New Roman" w:cs="Times New Roman"/>
          <w:lang w:val="en-GB"/>
        </w:rPr>
        <w:t>Chalista</w:t>
      </w:r>
      <w:proofErr w:type="spellEnd"/>
      <w:r w:rsidRPr="00536834">
        <w:rPr>
          <w:rFonts w:ascii="Times New Roman" w:hAnsi="Times New Roman" w:cs="Times New Roman"/>
          <w:lang w:val="en-GB"/>
        </w:rPr>
        <w:t xml:space="preserve">, B. (n.d.). </w:t>
      </w:r>
      <w:r w:rsidRPr="00536834">
        <w:rPr>
          <w:rFonts w:ascii="Times New Roman" w:hAnsi="Times New Roman" w:cs="Times New Roman"/>
          <w:i/>
          <w:iCs/>
          <w:lang w:val="en-GB"/>
        </w:rPr>
        <w:t>THE PHENOMENON OF ONLINE GAMBLING UNDER THE GUISE OF ONLINE GAMES AMONG THE YOUNGER GENERATION</w:t>
      </w:r>
      <w:r w:rsidRPr="00536834">
        <w:rPr>
          <w:rFonts w:ascii="Times New Roman" w:hAnsi="Times New Roman" w:cs="Times New Roman"/>
          <w:lang w:val="en-GB"/>
        </w:rPr>
        <w:t>.</w:t>
      </w:r>
    </w:p>
    <w:p w14:paraId="609FB772" w14:textId="77777777" w:rsidR="003A618A" w:rsidRPr="00536834" w:rsidRDefault="003A618A" w:rsidP="00536834">
      <w:pPr>
        <w:pStyle w:val="Bibliography"/>
        <w:spacing w:line="360" w:lineRule="auto"/>
        <w:rPr>
          <w:rFonts w:ascii="Times New Roman" w:hAnsi="Times New Roman" w:cs="Times New Roman"/>
          <w:lang w:val="en-GB"/>
        </w:rPr>
      </w:pPr>
      <w:proofErr w:type="spellStart"/>
      <w:r w:rsidRPr="00536834">
        <w:rPr>
          <w:rFonts w:ascii="Times New Roman" w:hAnsi="Times New Roman" w:cs="Times New Roman"/>
          <w:lang w:val="en-GB"/>
        </w:rPr>
        <w:t>Kartawinata</w:t>
      </w:r>
      <w:proofErr w:type="spellEnd"/>
      <w:r w:rsidRPr="00536834">
        <w:rPr>
          <w:rFonts w:ascii="Times New Roman" w:hAnsi="Times New Roman" w:cs="Times New Roman"/>
          <w:lang w:val="en-GB"/>
        </w:rPr>
        <w:t xml:space="preserve">, B. R., </w:t>
      </w:r>
      <w:proofErr w:type="spellStart"/>
      <w:r w:rsidRPr="00536834">
        <w:rPr>
          <w:rFonts w:ascii="Times New Roman" w:hAnsi="Times New Roman" w:cs="Times New Roman"/>
          <w:lang w:val="en-GB"/>
        </w:rPr>
        <w:t>Syarifuddin</w:t>
      </w:r>
      <w:proofErr w:type="spellEnd"/>
      <w:r w:rsidRPr="00536834">
        <w:rPr>
          <w:rFonts w:ascii="Times New Roman" w:hAnsi="Times New Roman" w:cs="Times New Roman"/>
          <w:lang w:val="en-GB"/>
        </w:rPr>
        <w:t xml:space="preserve">, S., </w:t>
      </w:r>
      <w:proofErr w:type="spellStart"/>
      <w:r w:rsidRPr="00536834">
        <w:rPr>
          <w:rFonts w:ascii="Times New Roman" w:hAnsi="Times New Roman" w:cs="Times New Roman"/>
          <w:lang w:val="en-GB"/>
        </w:rPr>
        <w:t>Kuswanto</w:t>
      </w:r>
      <w:proofErr w:type="spellEnd"/>
      <w:r w:rsidRPr="00536834">
        <w:rPr>
          <w:rFonts w:ascii="Times New Roman" w:hAnsi="Times New Roman" w:cs="Times New Roman"/>
          <w:lang w:val="en-GB"/>
        </w:rPr>
        <w:t xml:space="preserve">, A., &amp; </w:t>
      </w:r>
      <w:proofErr w:type="spellStart"/>
      <w:r w:rsidRPr="00536834">
        <w:rPr>
          <w:rFonts w:ascii="Times New Roman" w:hAnsi="Times New Roman" w:cs="Times New Roman"/>
          <w:lang w:val="en-GB"/>
        </w:rPr>
        <w:t>Wardhana</w:t>
      </w:r>
      <w:proofErr w:type="spellEnd"/>
      <w:r w:rsidRPr="00536834">
        <w:rPr>
          <w:rFonts w:ascii="Times New Roman" w:hAnsi="Times New Roman" w:cs="Times New Roman"/>
          <w:lang w:val="en-GB"/>
        </w:rPr>
        <w:t xml:space="preserve">, A. (2025). Financial Literacy Series: Protect Your Family from Online Gambling. </w:t>
      </w:r>
      <w:r w:rsidRPr="00536834">
        <w:rPr>
          <w:rFonts w:ascii="Times New Roman" w:hAnsi="Times New Roman" w:cs="Times New Roman"/>
          <w:i/>
          <w:iCs/>
          <w:lang w:val="en-GB"/>
        </w:rPr>
        <w:t>Journal of Digital Community Services</w:t>
      </w:r>
      <w:r w:rsidRPr="00536834">
        <w:rPr>
          <w:rFonts w:ascii="Times New Roman" w:hAnsi="Times New Roman" w:cs="Times New Roman"/>
          <w:lang w:val="en-GB"/>
        </w:rPr>
        <w:t xml:space="preserve">, </w:t>
      </w:r>
      <w:r w:rsidRPr="00536834">
        <w:rPr>
          <w:rFonts w:ascii="Times New Roman" w:hAnsi="Times New Roman" w:cs="Times New Roman"/>
          <w:i/>
          <w:iCs/>
          <w:lang w:val="en-GB"/>
        </w:rPr>
        <w:t>2</w:t>
      </w:r>
      <w:r w:rsidRPr="00536834">
        <w:rPr>
          <w:rFonts w:ascii="Times New Roman" w:hAnsi="Times New Roman" w:cs="Times New Roman"/>
          <w:lang w:val="en-GB"/>
        </w:rPr>
        <w:t>(1), 16–22. https://doi.org/10.69693/dcs.v2i1.23</w:t>
      </w:r>
    </w:p>
    <w:p w14:paraId="6A4D8334" w14:textId="77777777" w:rsidR="003A618A" w:rsidRPr="00536834" w:rsidRDefault="003A618A" w:rsidP="00536834">
      <w:pPr>
        <w:pStyle w:val="Bibliography"/>
        <w:spacing w:line="360" w:lineRule="auto"/>
        <w:rPr>
          <w:rFonts w:ascii="Times New Roman" w:hAnsi="Times New Roman" w:cs="Times New Roman"/>
          <w:lang w:val="en-GB"/>
        </w:rPr>
      </w:pPr>
      <w:r w:rsidRPr="00536834">
        <w:rPr>
          <w:rFonts w:ascii="Times New Roman" w:hAnsi="Times New Roman" w:cs="Times New Roman"/>
          <w:lang w:val="en-GB"/>
        </w:rPr>
        <w:t xml:space="preserve">Koomson, I., Churchill, S. A., &amp; Munyanyi, M. E. (2022). Gambling and Financial Stress. </w:t>
      </w:r>
      <w:r w:rsidRPr="00536834">
        <w:rPr>
          <w:rFonts w:ascii="Times New Roman" w:hAnsi="Times New Roman" w:cs="Times New Roman"/>
          <w:i/>
          <w:iCs/>
          <w:lang w:val="en-GB"/>
        </w:rPr>
        <w:t>Social Indicators Research</w:t>
      </w:r>
      <w:r w:rsidRPr="00536834">
        <w:rPr>
          <w:rFonts w:ascii="Times New Roman" w:hAnsi="Times New Roman" w:cs="Times New Roman"/>
          <w:lang w:val="en-GB"/>
        </w:rPr>
        <w:t xml:space="preserve">, </w:t>
      </w:r>
      <w:r w:rsidRPr="00536834">
        <w:rPr>
          <w:rFonts w:ascii="Times New Roman" w:hAnsi="Times New Roman" w:cs="Times New Roman"/>
          <w:i/>
          <w:iCs/>
          <w:lang w:val="en-GB"/>
        </w:rPr>
        <w:t>163</w:t>
      </w:r>
      <w:r w:rsidRPr="00536834">
        <w:rPr>
          <w:rFonts w:ascii="Times New Roman" w:hAnsi="Times New Roman" w:cs="Times New Roman"/>
          <w:lang w:val="en-GB"/>
        </w:rPr>
        <w:t>(1), 473–503. https://doi.org/10.1007/s11205-022-02898-6</w:t>
      </w:r>
    </w:p>
    <w:p w14:paraId="3AAF4638" w14:textId="77777777" w:rsidR="003A618A" w:rsidRPr="00536834" w:rsidRDefault="003A618A" w:rsidP="00536834">
      <w:pPr>
        <w:pStyle w:val="Bibliography"/>
        <w:spacing w:line="360" w:lineRule="auto"/>
        <w:rPr>
          <w:rFonts w:ascii="Times New Roman" w:hAnsi="Times New Roman" w:cs="Times New Roman"/>
          <w:lang w:val="en-GB"/>
        </w:rPr>
      </w:pPr>
      <w:r w:rsidRPr="00536834">
        <w:rPr>
          <w:rFonts w:ascii="Times New Roman" w:hAnsi="Times New Roman" w:cs="Times New Roman"/>
          <w:lang w:val="en-GB"/>
        </w:rPr>
        <w:t xml:space="preserve">Lakew, N., Jonsson, J., &amp; Lindner, P. (2024). Towards an Active Role of Financial Institutions in Preventing Problem Gambling: A Proposed Conceptual Framework and Taxonomy of Financial Wellbeing Indicators. </w:t>
      </w:r>
      <w:r w:rsidRPr="00536834">
        <w:rPr>
          <w:rFonts w:ascii="Times New Roman" w:hAnsi="Times New Roman" w:cs="Times New Roman"/>
          <w:i/>
          <w:iCs/>
          <w:lang w:val="en-GB"/>
        </w:rPr>
        <w:t>Journal of Gambling Studies</w:t>
      </w:r>
      <w:r w:rsidRPr="00536834">
        <w:rPr>
          <w:rFonts w:ascii="Times New Roman" w:hAnsi="Times New Roman" w:cs="Times New Roman"/>
          <w:lang w:val="en-GB"/>
        </w:rPr>
        <w:t xml:space="preserve">, </w:t>
      </w:r>
      <w:r w:rsidRPr="00536834">
        <w:rPr>
          <w:rFonts w:ascii="Times New Roman" w:hAnsi="Times New Roman" w:cs="Times New Roman"/>
          <w:i/>
          <w:iCs/>
          <w:lang w:val="en-GB"/>
        </w:rPr>
        <w:t>40</w:t>
      </w:r>
      <w:r w:rsidRPr="00536834">
        <w:rPr>
          <w:rFonts w:ascii="Times New Roman" w:hAnsi="Times New Roman" w:cs="Times New Roman"/>
          <w:lang w:val="en-GB"/>
        </w:rPr>
        <w:t>(4), 1857–1886. https://doi.org/10.1007/s10899-024-10312-8</w:t>
      </w:r>
    </w:p>
    <w:p w14:paraId="7125B47F" w14:textId="77777777" w:rsidR="003A618A" w:rsidRPr="00536834" w:rsidRDefault="003A618A" w:rsidP="00536834">
      <w:pPr>
        <w:pStyle w:val="Bibliography"/>
        <w:spacing w:line="360" w:lineRule="auto"/>
        <w:rPr>
          <w:rFonts w:ascii="Times New Roman" w:hAnsi="Times New Roman" w:cs="Times New Roman"/>
          <w:lang w:val="en-GB"/>
        </w:rPr>
      </w:pPr>
      <w:r w:rsidRPr="00536834">
        <w:rPr>
          <w:rFonts w:ascii="Times New Roman" w:hAnsi="Times New Roman" w:cs="Times New Roman"/>
          <w:lang w:val="en-GB"/>
        </w:rPr>
        <w:t xml:space="preserve">Lombardi, G., Molinaro, S., </w:t>
      </w:r>
      <w:proofErr w:type="spellStart"/>
      <w:r w:rsidRPr="00536834">
        <w:rPr>
          <w:rFonts w:ascii="Times New Roman" w:hAnsi="Times New Roman" w:cs="Times New Roman"/>
          <w:lang w:val="en-GB"/>
        </w:rPr>
        <w:t>Cotichini</w:t>
      </w:r>
      <w:proofErr w:type="spellEnd"/>
      <w:r w:rsidRPr="00536834">
        <w:rPr>
          <w:rFonts w:ascii="Times New Roman" w:hAnsi="Times New Roman" w:cs="Times New Roman"/>
          <w:lang w:val="en-GB"/>
        </w:rPr>
        <w:t xml:space="preserve">, R., </w:t>
      </w:r>
      <w:proofErr w:type="spellStart"/>
      <w:r w:rsidRPr="00536834">
        <w:rPr>
          <w:rFonts w:ascii="Times New Roman" w:hAnsi="Times New Roman" w:cs="Times New Roman"/>
          <w:lang w:val="en-GB"/>
        </w:rPr>
        <w:t>Cerrai</w:t>
      </w:r>
      <w:proofErr w:type="spellEnd"/>
      <w:r w:rsidRPr="00536834">
        <w:rPr>
          <w:rFonts w:ascii="Times New Roman" w:hAnsi="Times New Roman" w:cs="Times New Roman"/>
          <w:lang w:val="en-GB"/>
        </w:rPr>
        <w:t xml:space="preserve">, S., Scalese, M., &amp; Benedetti, E. (2024). The cards they’re dealt: Types of gambling activity, online gambling, and risk of </w:t>
      </w:r>
      <w:r w:rsidRPr="00536834">
        <w:rPr>
          <w:rFonts w:ascii="Times New Roman" w:hAnsi="Times New Roman" w:cs="Times New Roman"/>
          <w:lang w:val="en-GB"/>
        </w:rPr>
        <w:lastRenderedPageBreak/>
        <w:t xml:space="preserve">problem gambling in European adolescents. </w:t>
      </w:r>
      <w:r w:rsidRPr="00536834">
        <w:rPr>
          <w:rFonts w:ascii="Times New Roman" w:hAnsi="Times New Roman" w:cs="Times New Roman"/>
          <w:i/>
          <w:iCs/>
          <w:lang w:val="en-GB"/>
        </w:rPr>
        <w:t>Social Science &amp; Medicine</w:t>
      </w:r>
      <w:r w:rsidRPr="00536834">
        <w:rPr>
          <w:rFonts w:ascii="Times New Roman" w:hAnsi="Times New Roman" w:cs="Times New Roman"/>
          <w:lang w:val="en-GB"/>
        </w:rPr>
        <w:t xml:space="preserve">, </w:t>
      </w:r>
      <w:r w:rsidRPr="00536834">
        <w:rPr>
          <w:rFonts w:ascii="Times New Roman" w:hAnsi="Times New Roman" w:cs="Times New Roman"/>
          <w:i/>
          <w:iCs/>
          <w:lang w:val="en-GB"/>
        </w:rPr>
        <w:t>363</w:t>
      </w:r>
      <w:r w:rsidRPr="00536834">
        <w:rPr>
          <w:rFonts w:ascii="Times New Roman" w:hAnsi="Times New Roman" w:cs="Times New Roman"/>
          <w:lang w:val="en-GB"/>
        </w:rPr>
        <w:t>, 117482. https://doi.org/10.1016/j.socscimed.2024.117482</w:t>
      </w:r>
    </w:p>
    <w:p w14:paraId="4E8A6A64" w14:textId="77777777" w:rsidR="003A618A" w:rsidRPr="00536834" w:rsidRDefault="003A618A" w:rsidP="00536834">
      <w:pPr>
        <w:pStyle w:val="Bibliography"/>
        <w:spacing w:line="360" w:lineRule="auto"/>
        <w:rPr>
          <w:rFonts w:ascii="Times New Roman" w:hAnsi="Times New Roman" w:cs="Times New Roman"/>
          <w:lang w:val="en-GB"/>
        </w:rPr>
      </w:pPr>
      <w:r w:rsidRPr="00536834">
        <w:rPr>
          <w:rFonts w:ascii="Times New Roman" w:hAnsi="Times New Roman" w:cs="Times New Roman"/>
          <w:lang w:val="en-GB"/>
        </w:rPr>
        <w:t xml:space="preserve">Nur, A. I., Fatih, S. A., &amp; Hermanto, B. (n.d.). </w:t>
      </w:r>
      <w:r w:rsidRPr="00536834">
        <w:rPr>
          <w:rFonts w:ascii="Times New Roman" w:hAnsi="Times New Roman" w:cs="Times New Roman"/>
          <w:i/>
          <w:iCs/>
          <w:lang w:val="en-GB"/>
        </w:rPr>
        <w:t>Eradicating Online Gambling in Indonesia: Reinforcing the Role of Digital Sovereignty and Content Moderation in Cyberspace</w:t>
      </w:r>
      <w:r w:rsidRPr="00536834">
        <w:rPr>
          <w:rFonts w:ascii="Times New Roman" w:hAnsi="Times New Roman" w:cs="Times New Roman"/>
          <w:lang w:val="en-GB"/>
        </w:rPr>
        <w:t>.</w:t>
      </w:r>
    </w:p>
    <w:p w14:paraId="2F205AB7" w14:textId="77777777" w:rsidR="003A618A" w:rsidRPr="00536834" w:rsidRDefault="003A618A" w:rsidP="00536834">
      <w:pPr>
        <w:pStyle w:val="Bibliography"/>
        <w:spacing w:line="360" w:lineRule="auto"/>
        <w:rPr>
          <w:rFonts w:ascii="Times New Roman" w:hAnsi="Times New Roman" w:cs="Times New Roman"/>
          <w:lang w:val="en-GB"/>
        </w:rPr>
      </w:pPr>
      <w:r w:rsidRPr="00536834">
        <w:rPr>
          <w:rFonts w:ascii="Times New Roman" w:hAnsi="Times New Roman" w:cs="Times New Roman"/>
          <w:lang w:val="en-GB"/>
        </w:rPr>
        <w:t xml:space="preserve">Potenza, M. N., Mestre-Bach, G., Demetrovics, Z., </w:t>
      </w:r>
      <w:proofErr w:type="spellStart"/>
      <w:r w:rsidRPr="00536834">
        <w:rPr>
          <w:rFonts w:ascii="Times New Roman" w:hAnsi="Times New Roman" w:cs="Times New Roman"/>
          <w:lang w:val="en-GB"/>
        </w:rPr>
        <w:t>Derevensky</w:t>
      </w:r>
      <w:proofErr w:type="spellEnd"/>
      <w:r w:rsidRPr="00536834">
        <w:rPr>
          <w:rFonts w:ascii="Times New Roman" w:hAnsi="Times New Roman" w:cs="Times New Roman"/>
          <w:lang w:val="en-GB"/>
        </w:rPr>
        <w:t xml:space="preserve">, J., Fernandez-Aranda, F., </w:t>
      </w:r>
      <w:proofErr w:type="spellStart"/>
      <w:r w:rsidRPr="00536834">
        <w:rPr>
          <w:rFonts w:ascii="Times New Roman" w:hAnsi="Times New Roman" w:cs="Times New Roman"/>
          <w:lang w:val="en-GB"/>
        </w:rPr>
        <w:t>Gainsbury</w:t>
      </w:r>
      <w:proofErr w:type="spellEnd"/>
      <w:r w:rsidRPr="00536834">
        <w:rPr>
          <w:rFonts w:ascii="Times New Roman" w:hAnsi="Times New Roman" w:cs="Times New Roman"/>
          <w:lang w:val="en-GB"/>
        </w:rPr>
        <w:t xml:space="preserve">, S. M., Jiménez-Murcia, S., &amp; Kraus, S. W. (2025). Online Gambling in Youth. In D. A. Christakis &amp; L. Hale (Eds.), </w:t>
      </w:r>
      <w:r w:rsidRPr="00536834">
        <w:rPr>
          <w:rFonts w:ascii="Times New Roman" w:hAnsi="Times New Roman" w:cs="Times New Roman"/>
          <w:i/>
          <w:iCs/>
          <w:lang w:val="en-GB"/>
        </w:rPr>
        <w:t>Handbook of Children and Screens</w:t>
      </w:r>
      <w:r w:rsidRPr="00536834">
        <w:rPr>
          <w:rFonts w:ascii="Times New Roman" w:hAnsi="Times New Roman" w:cs="Times New Roman"/>
          <w:lang w:val="en-GB"/>
        </w:rPr>
        <w:t xml:space="preserve"> (pp. 597–603). Springer Nature Switzerland. https://doi.org/10.1007/978-3-031-69362-5_81</w:t>
      </w:r>
    </w:p>
    <w:p w14:paraId="0744F6E6" w14:textId="77777777" w:rsidR="003A618A" w:rsidRPr="00536834" w:rsidRDefault="003A618A" w:rsidP="00536834">
      <w:pPr>
        <w:pStyle w:val="Bibliography"/>
        <w:spacing w:line="360" w:lineRule="auto"/>
        <w:rPr>
          <w:rFonts w:ascii="Times New Roman" w:hAnsi="Times New Roman" w:cs="Times New Roman"/>
          <w:lang w:val="en-GB"/>
        </w:rPr>
      </w:pPr>
      <w:r w:rsidRPr="00536834">
        <w:rPr>
          <w:rFonts w:ascii="Times New Roman" w:hAnsi="Times New Roman" w:cs="Times New Roman"/>
          <w:lang w:val="en-GB"/>
        </w:rPr>
        <w:t xml:space="preserve">Vijayakumar, L., &amp; Vijayakumar, V. (2023). Online gambling and suicide: Gambling with lives. </w:t>
      </w:r>
      <w:r w:rsidRPr="00536834">
        <w:rPr>
          <w:rFonts w:ascii="Times New Roman" w:hAnsi="Times New Roman" w:cs="Times New Roman"/>
          <w:i/>
          <w:iCs/>
          <w:lang w:val="en-GB"/>
        </w:rPr>
        <w:t>Indian Journal of Psychiatry</w:t>
      </w:r>
      <w:r w:rsidRPr="00536834">
        <w:rPr>
          <w:rFonts w:ascii="Times New Roman" w:hAnsi="Times New Roman" w:cs="Times New Roman"/>
          <w:lang w:val="en-GB"/>
        </w:rPr>
        <w:t xml:space="preserve">, </w:t>
      </w:r>
      <w:r w:rsidRPr="00536834">
        <w:rPr>
          <w:rFonts w:ascii="Times New Roman" w:hAnsi="Times New Roman" w:cs="Times New Roman"/>
          <w:i/>
          <w:iCs/>
          <w:lang w:val="en-GB"/>
        </w:rPr>
        <w:t>65</w:t>
      </w:r>
      <w:r w:rsidRPr="00536834">
        <w:rPr>
          <w:rFonts w:ascii="Times New Roman" w:hAnsi="Times New Roman" w:cs="Times New Roman"/>
          <w:lang w:val="en-GB"/>
        </w:rPr>
        <w:t>(1), 3–4. https://doi.org/10.4103/indianjpsychiatry.indianjpsychiatry_817_22</w:t>
      </w:r>
    </w:p>
    <w:p w14:paraId="7BC095EA" w14:textId="77777777" w:rsidR="003A618A" w:rsidRPr="00536834" w:rsidRDefault="003A618A" w:rsidP="00536834">
      <w:pPr>
        <w:pStyle w:val="Bibliography"/>
        <w:spacing w:line="360" w:lineRule="auto"/>
        <w:rPr>
          <w:rFonts w:ascii="Times New Roman" w:hAnsi="Times New Roman" w:cs="Times New Roman"/>
          <w:lang w:val="en-GB"/>
        </w:rPr>
      </w:pPr>
      <w:r w:rsidRPr="00536834">
        <w:rPr>
          <w:rFonts w:ascii="Times New Roman" w:hAnsi="Times New Roman" w:cs="Times New Roman"/>
          <w:lang w:val="en-GB"/>
        </w:rPr>
        <w:t xml:space="preserve">Villalba-García, C., Griffiths, M. D., Demetrovics, Z., &amp; Czakó, A. (2025). The relationship between loot box buying, gambling, internet gaming, and mental health: Investigating the moderating effect of impulsivity, depression, anxiety, and stress. </w:t>
      </w:r>
      <w:r w:rsidRPr="00536834">
        <w:rPr>
          <w:rFonts w:ascii="Times New Roman" w:hAnsi="Times New Roman" w:cs="Times New Roman"/>
          <w:i/>
          <w:iCs/>
          <w:lang w:val="en-GB"/>
        </w:rPr>
        <w:t xml:space="preserve">Computers in Human </w:t>
      </w:r>
      <w:proofErr w:type="spellStart"/>
      <w:r w:rsidRPr="00536834">
        <w:rPr>
          <w:rFonts w:ascii="Times New Roman" w:hAnsi="Times New Roman" w:cs="Times New Roman"/>
          <w:i/>
          <w:iCs/>
          <w:lang w:val="en-GB"/>
        </w:rPr>
        <w:t>Behavior</w:t>
      </w:r>
      <w:proofErr w:type="spellEnd"/>
      <w:r w:rsidRPr="00536834">
        <w:rPr>
          <w:rFonts w:ascii="Times New Roman" w:hAnsi="Times New Roman" w:cs="Times New Roman"/>
          <w:lang w:val="en-GB"/>
        </w:rPr>
        <w:t xml:space="preserve">, </w:t>
      </w:r>
      <w:r w:rsidRPr="00536834">
        <w:rPr>
          <w:rFonts w:ascii="Times New Roman" w:hAnsi="Times New Roman" w:cs="Times New Roman"/>
          <w:i/>
          <w:iCs/>
          <w:lang w:val="en-GB"/>
        </w:rPr>
        <w:t>166</w:t>
      </w:r>
      <w:r w:rsidRPr="00536834">
        <w:rPr>
          <w:rFonts w:ascii="Times New Roman" w:hAnsi="Times New Roman" w:cs="Times New Roman"/>
          <w:lang w:val="en-GB"/>
        </w:rPr>
        <w:t>, 108579. https://doi.org/10.1016/j.chb.2025.108579</w:t>
      </w:r>
    </w:p>
    <w:p w14:paraId="2FC813B3" w14:textId="26443356" w:rsidR="00FD5B26" w:rsidRPr="00536834" w:rsidRDefault="003A618A" w:rsidP="00536834">
      <w:pPr>
        <w:spacing w:line="360" w:lineRule="auto"/>
        <w:jc w:val="both"/>
        <w:rPr>
          <w:rFonts w:ascii="Times New Roman" w:eastAsia="Times New Roman" w:hAnsi="Times New Roman" w:cs="Times New Roman"/>
        </w:rPr>
      </w:pPr>
      <w:r w:rsidRPr="00536834">
        <w:rPr>
          <w:rFonts w:ascii="Times New Roman" w:eastAsia="Times New Roman" w:hAnsi="Times New Roman" w:cs="Times New Roman"/>
        </w:rPr>
        <w:fldChar w:fldCharType="end"/>
      </w:r>
    </w:p>
    <w:p w14:paraId="29A8864E" w14:textId="77777777" w:rsidR="00FD5B26" w:rsidRPr="00536834" w:rsidRDefault="00FD5B26" w:rsidP="00536834">
      <w:pPr>
        <w:spacing w:line="360" w:lineRule="auto"/>
        <w:jc w:val="both"/>
        <w:rPr>
          <w:rFonts w:ascii="Times New Roman" w:eastAsia="Times New Roman" w:hAnsi="Times New Roman" w:cs="Times New Roman"/>
        </w:rPr>
      </w:pPr>
    </w:p>
    <w:sectPr w:rsidR="00FD5B26" w:rsidRPr="00536834">
      <w:headerReference w:type="default" r:id="rId14"/>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5E374" w14:textId="77777777" w:rsidR="00945AE2" w:rsidRDefault="00945AE2">
      <w:pPr>
        <w:spacing w:after="0" w:line="240" w:lineRule="auto"/>
      </w:pPr>
      <w:r>
        <w:separator/>
      </w:r>
    </w:p>
  </w:endnote>
  <w:endnote w:type="continuationSeparator" w:id="0">
    <w:p w14:paraId="4EDC6FEE" w14:textId="77777777" w:rsidR="00945AE2" w:rsidRDefault="0094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D4F33B34-6288-462D-AEA7-17F0EE556431}"/>
    <w:embedItalic r:id="rId2" w:fontKey="{039CE191-AB0D-4C53-810E-B4F215B29BE5}"/>
  </w:font>
  <w:font w:name="Aptos Display">
    <w:charset w:val="00"/>
    <w:family w:val="swiss"/>
    <w:pitch w:val="variable"/>
    <w:sig w:usb0="20000287" w:usb1="00000003" w:usb2="00000000" w:usb3="00000000" w:csb0="0000019F" w:csb1="00000000"/>
    <w:embedRegular r:id="rId3" w:fontKey="{1DD33575-1517-4113-8658-8195F4A91A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8513"/>
      <w:docPartObj>
        <w:docPartGallery w:val="Page Numbers (Bottom of Page)"/>
        <w:docPartUnique/>
      </w:docPartObj>
    </w:sdtPr>
    <w:sdtEndPr>
      <w:rPr>
        <w:noProof/>
      </w:rPr>
    </w:sdtEndPr>
    <w:sdtContent>
      <w:p w14:paraId="1B97ABC3" w14:textId="1579FC15" w:rsidR="00A6440B" w:rsidRDefault="00A6440B">
        <w:pPr>
          <w:pStyle w:val="Footer"/>
          <w:jc w:val="right"/>
        </w:pPr>
        <w:r w:rsidRPr="00A6440B">
          <w:rPr>
            <w:rFonts w:ascii="Times New Roman" w:hAnsi="Times New Roman" w:cs="Times New Roman"/>
          </w:rPr>
          <w:fldChar w:fldCharType="begin"/>
        </w:r>
        <w:r w:rsidRPr="00A6440B">
          <w:rPr>
            <w:rFonts w:ascii="Times New Roman" w:hAnsi="Times New Roman" w:cs="Times New Roman"/>
          </w:rPr>
          <w:instrText xml:space="preserve"> PAGE   \* MERGEFORMAT </w:instrText>
        </w:r>
        <w:r w:rsidRPr="00A6440B">
          <w:rPr>
            <w:rFonts w:ascii="Times New Roman" w:hAnsi="Times New Roman" w:cs="Times New Roman"/>
          </w:rPr>
          <w:fldChar w:fldCharType="separate"/>
        </w:r>
        <w:r w:rsidRPr="00A6440B">
          <w:rPr>
            <w:rFonts w:ascii="Times New Roman" w:hAnsi="Times New Roman" w:cs="Times New Roman"/>
            <w:noProof/>
          </w:rPr>
          <w:t>2</w:t>
        </w:r>
        <w:r w:rsidRPr="00A6440B">
          <w:rPr>
            <w:rFonts w:ascii="Times New Roman" w:hAnsi="Times New Roman" w:cs="Times New Roman"/>
            <w:noProof/>
          </w:rPr>
          <w:fldChar w:fldCharType="end"/>
        </w:r>
      </w:p>
    </w:sdtContent>
  </w:sdt>
  <w:p w14:paraId="1FE1C28E" w14:textId="77777777" w:rsidR="00A6440B" w:rsidRDefault="00A644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22F38" w14:textId="77777777" w:rsidR="00945AE2" w:rsidRDefault="00945AE2">
      <w:pPr>
        <w:spacing w:after="0" w:line="240" w:lineRule="auto"/>
      </w:pPr>
      <w:r>
        <w:separator/>
      </w:r>
    </w:p>
  </w:footnote>
  <w:footnote w:type="continuationSeparator" w:id="0">
    <w:p w14:paraId="0A36236A" w14:textId="77777777" w:rsidR="00945AE2" w:rsidRDefault="00945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0AF3" w14:textId="77777777" w:rsidR="00FD5B26" w:rsidRDefault="00FD5B26">
    <w:pPr>
      <w:spacing w:before="200" w:after="200" w:line="252"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66FB7"/>
    <w:multiLevelType w:val="hybridMultilevel"/>
    <w:tmpl w:val="2AD82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6759BE"/>
    <w:multiLevelType w:val="multilevel"/>
    <w:tmpl w:val="1F683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3834842">
    <w:abstractNumId w:val="1"/>
  </w:num>
  <w:num w:numId="2" w16cid:durableId="810445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B26"/>
    <w:rsid w:val="001302DC"/>
    <w:rsid w:val="001B1FE1"/>
    <w:rsid w:val="001D70EE"/>
    <w:rsid w:val="00216642"/>
    <w:rsid w:val="00230242"/>
    <w:rsid w:val="002825E9"/>
    <w:rsid w:val="0034227C"/>
    <w:rsid w:val="003820A6"/>
    <w:rsid w:val="003A45EE"/>
    <w:rsid w:val="003A618A"/>
    <w:rsid w:val="004E3F00"/>
    <w:rsid w:val="00536834"/>
    <w:rsid w:val="00564ECE"/>
    <w:rsid w:val="005B3925"/>
    <w:rsid w:val="005E6BFE"/>
    <w:rsid w:val="006F1FA9"/>
    <w:rsid w:val="0079485D"/>
    <w:rsid w:val="007B3934"/>
    <w:rsid w:val="008E09BD"/>
    <w:rsid w:val="00945AE2"/>
    <w:rsid w:val="0099222F"/>
    <w:rsid w:val="009C3A13"/>
    <w:rsid w:val="00A6440B"/>
    <w:rsid w:val="00A67D96"/>
    <w:rsid w:val="00BC426C"/>
    <w:rsid w:val="00C235E6"/>
    <w:rsid w:val="00C76E71"/>
    <w:rsid w:val="00D50A47"/>
    <w:rsid w:val="00DB6641"/>
    <w:rsid w:val="00E12AA0"/>
    <w:rsid w:val="00E96249"/>
    <w:rsid w:val="00EC3D14"/>
    <w:rsid w:val="00FD5B26"/>
    <w:rsid w:val="00FE2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20367"/>
  <w15:docId w15:val="{0BDA3E3B-E1A8-404E-BAF2-1267A66C6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6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6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6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A6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A6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936"/>
    <w:rPr>
      <w:rFonts w:eastAsiaTheme="majorEastAsia" w:cstheme="majorBidi"/>
      <w:color w:val="272727" w:themeColor="text1" w:themeTint="D8"/>
    </w:rPr>
  </w:style>
  <w:style w:type="character" w:customStyle="1" w:styleId="TitleChar">
    <w:name w:val="Title Char"/>
    <w:basedOn w:val="DefaultParagraphFont"/>
    <w:link w:val="Title"/>
    <w:uiPriority w:val="10"/>
    <w:rsid w:val="009A6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9A6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936"/>
    <w:pPr>
      <w:spacing w:before="160"/>
      <w:jc w:val="center"/>
    </w:pPr>
    <w:rPr>
      <w:i/>
      <w:iCs/>
      <w:color w:val="404040" w:themeColor="text1" w:themeTint="BF"/>
    </w:rPr>
  </w:style>
  <w:style w:type="character" w:customStyle="1" w:styleId="QuoteChar">
    <w:name w:val="Quote Char"/>
    <w:basedOn w:val="DefaultParagraphFont"/>
    <w:link w:val="Quote"/>
    <w:uiPriority w:val="29"/>
    <w:rsid w:val="009A6936"/>
    <w:rPr>
      <w:i/>
      <w:iCs/>
      <w:color w:val="404040" w:themeColor="text1" w:themeTint="BF"/>
    </w:rPr>
  </w:style>
  <w:style w:type="paragraph" w:styleId="ListParagraph">
    <w:name w:val="List Paragraph"/>
    <w:basedOn w:val="Normal"/>
    <w:uiPriority w:val="34"/>
    <w:qFormat/>
    <w:rsid w:val="009A6936"/>
    <w:pPr>
      <w:ind w:left="720"/>
      <w:contextualSpacing/>
    </w:pPr>
  </w:style>
  <w:style w:type="character" w:styleId="IntenseEmphasis">
    <w:name w:val="Intense Emphasis"/>
    <w:basedOn w:val="DefaultParagraphFont"/>
    <w:uiPriority w:val="21"/>
    <w:qFormat/>
    <w:rsid w:val="009A6936"/>
    <w:rPr>
      <w:i/>
      <w:iCs/>
      <w:color w:val="0F4761" w:themeColor="accent1" w:themeShade="BF"/>
    </w:rPr>
  </w:style>
  <w:style w:type="paragraph" w:styleId="IntenseQuote">
    <w:name w:val="Intense Quote"/>
    <w:basedOn w:val="Normal"/>
    <w:next w:val="Normal"/>
    <w:link w:val="IntenseQuoteChar"/>
    <w:uiPriority w:val="30"/>
    <w:qFormat/>
    <w:rsid w:val="009A6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936"/>
    <w:rPr>
      <w:i/>
      <w:iCs/>
      <w:color w:val="0F4761" w:themeColor="accent1" w:themeShade="BF"/>
    </w:rPr>
  </w:style>
  <w:style w:type="character" w:styleId="IntenseReference">
    <w:name w:val="Intense Reference"/>
    <w:basedOn w:val="DefaultParagraphFont"/>
    <w:uiPriority w:val="32"/>
    <w:qFormat/>
    <w:rsid w:val="009A6936"/>
    <w:rPr>
      <w:b/>
      <w:bCs/>
      <w:smallCaps/>
      <w:color w:val="0F4761" w:themeColor="accent1" w:themeShade="BF"/>
      <w:spacing w:val="5"/>
    </w:rPr>
  </w:style>
  <w:style w:type="paragraph" w:styleId="Bibliography">
    <w:name w:val="Bibliography"/>
    <w:basedOn w:val="Normal"/>
    <w:next w:val="Normal"/>
    <w:uiPriority w:val="37"/>
    <w:unhideWhenUsed/>
    <w:rsid w:val="003820A6"/>
    <w:pPr>
      <w:spacing w:after="0" w:line="480" w:lineRule="auto"/>
      <w:ind w:left="720" w:hanging="720"/>
    </w:pPr>
  </w:style>
  <w:style w:type="paragraph" w:styleId="Header">
    <w:name w:val="header"/>
    <w:basedOn w:val="Normal"/>
    <w:link w:val="HeaderChar"/>
    <w:uiPriority w:val="99"/>
    <w:unhideWhenUsed/>
    <w:rsid w:val="00A644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440B"/>
  </w:style>
  <w:style w:type="paragraph" w:styleId="Footer">
    <w:name w:val="footer"/>
    <w:basedOn w:val="Normal"/>
    <w:link w:val="FooterChar"/>
    <w:uiPriority w:val="99"/>
    <w:unhideWhenUsed/>
    <w:rsid w:val="00A644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4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594856">
      <w:bodyDiv w:val="1"/>
      <w:marLeft w:val="0"/>
      <w:marRight w:val="0"/>
      <w:marTop w:val="0"/>
      <w:marBottom w:val="0"/>
      <w:divBdr>
        <w:top w:val="none" w:sz="0" w:space="0" w:color="auto"/>
        <w:left w:val="none" w:sz="0" w:space="0" w:color="auto"/>
        <w:bottom w:val="none" w:sz="0" w:space="0" w:color="auto"/>
        <w:right w:val="none" w:sz="0" w:space="0" w:color="auto"/>
      </w:divBdr>
    </w:div>
    <w:div w:id="498811272">
      <w:bodyDiv w:val="1"/>
      <w:marLeft w:val="0"/>
      <w:marRight w:val="0"/>
      <w:marTop w:val="0"/>
      <w:marBottom w:val="0"/>
      <w:divBdr>
        <w:top w:val="none" w:sz="0" w:space="0" w:color="auto"/>
        <w:left w:val="none" w:sz="0" w:space="0" w:color="auto"/>
        <w:bottom w:val="none" w:sz="0" w:space="0" w:color="auto"/>
        <w:right w:val="none" w:sz="0" w:space="0" w:color="auto"/>
      </w:divBdr>
    </w:div>
    <w:div w:id="540630486">
      <w:bodyDiv w:val="1"/>
      <w:marLeft w:val="0"/>
      <w:marRight w:val="0"/>
      <w:marTop w:val="0"/>
      <w:marBottom w:val="0"/>
      <w:divBdr>
        <w:top w:val="none" w:sz="0" w:space="0" w:color="auto"/>
        <w:left w:val="none" w:sz="0" w:space="0" w:color="auto"/>
        <w:bottom w:val="none" w:sz="0" w:space="0" w:color="auto"/>
        <w:right w:val="none" w:sz="0" w:space="0" w:color="auto"/>
      </w:divBdr>
    </w:div>
    <w:div w:id="583415577">
      <w:bodyDiv w:val="1"/>
      <w:marLeft w:val="0"/>
      <w:marRight w:val="0"/>
      <w:marTop w:val="0"/>
      <w:marBottom w:val="0"/>
      <w:divBdr>
        <w:top w:val="none" w:sz="0" w:space="0" w:color="auto"/>
        <w:left w:val="none" w:sz="0" w:space="0" w:color="auto"/>
        <w:bottom w:val="none" w:sz="0" w:space="0" w:color="auto"/>
        <w:right w:val="none" w:sz="0" w:space="0" w:color="auto"/>
      </w:divBdr>
    </w:div>
    <w:div w:id="604923197">
      <w:bodyDiv w:val="1"/>
      <w:marLeft w:val="0"/>
      <w:marRight w:val="0"/>
      <w:marTop w:val="0"/>
      <w:marBottom w:val="0"/>
      <w:divBdr>
        <w:top w:val="none" w:sz="0" w:space="0" w:color="auto"/>
        <w:left w:val="none" w:sz="0" w:space="0" w:color="auto"/>
        <w:bottom w:val="none" w:sz="0" w:space="0" w:color="auto"/>
        <w:right w:val="none" w:sz="0" w:space="0" w:color="auto"/>
      </w:divBdr>
    </w:div>
    <w:div w:id="681011477">
      <w:bodyDiv w:val="1"/>
      <w:marLeft w:val="0"/>
      <w:marRight w:val="0"/>
      <w:marTop w:val="0"/>
      <w:marBottom w:val="0"/>
      <w:divBdr>
        <w:top w:val="none" w:sz="0" w:space="0" w:color="auto"/>
        <w:left w:val="none" w:sz="0" w:space="0" w:color="auto"/>
        <w:bottom w:val="none" w:sz="0" w:space="0" w:color="auto"/>
        <w:right w:val="none" w:sz="0" w:space="0" w:color="auto"/>
      </w:divBdr>
    </w:div>
    <w:div w:id="696154433">
      <w:bodyDiv w:val="1"/>
      <w:marLeft w:val="0"/>
      <w:marRight w:val="0"/>
      <w:marTop w:val="0"/>
      <w:marBottom w:val="0"/>
      <w:divBdr>
        <w:top w:val="none" w:sz="0" w:space="0" w:color="auto"/>
        <w:left w:val="none" w:sz="0" w:space="0" w:color="auto"/>
        <w:bottom w:val="none" w:sz="0" w:space="0" w:color="auto"/>
        <w:right w:val="none" w:sz="0" w:space="0" w:color="auto"/>
      </w:divBdr>
    </w:div>
    <w:div w:id="1116101049">
      <w:bodyDiv w:val="1"/>
      <w:marLeft w:val="0"/>
      <w:marRight w:val="0"/>
      <w:marTop w:val="0"/>
      <w:marBottom w:val="0"/>
      <w:divBdr>
        <w:top w:val="none" w:sz="0" w:space="0" w:color="auto"/>
        <w:left w:val="none" w:sz="0" w:space="0" w:color="auto"/>
        <w:bottom w:val="none" w:sz="0" w:space="0" w:color="auto"/>
        <w:right w:val="none" w:sz="0" w:space="0" w:color="auto"/>
      </w:divBdr>
    </w:div>
    <w:div w:id="1248072153">
      <w:bodyDiv w:val="1"/>
      <w:marLeft w:val="0"/>
      <w:marRight w:val="0"/>
      <w:marTop w:val="0"/>
      <w:marBottom w:val="0"/>
      <w:divBdr>
        <w:top w:val="none" w:sz="0" w:space="0" w:color="auto"/>
        <w:left w:val="none" w:sz="0" w:space="0" w:color="auto"/>
        <w:bottom w:val="none" w:sz="0" w:space="0" w:color="auto"/>
        <w:right w:val="none" w:sz="0" w:space="0" w:color="auto"/>
      </w:divBdr>
    </w:div>
    <w:div w:id="1363628200">
      <w:bodyDiv w:val="1"/>
      <w:marLeft w:val="0"/>
      <w:marRight w:val="0"/>
      <w:marTop w:val="0"/>
      <w:marBottom w:val="0"/>
      <w:divBdr>
        <w:top w:val="none" w:sz="0" w:space="0" w:color="auto"/>
        <w:left w:val="none" w:sz="0" w:space="0" w:color="auto"/>
        <w:bottom w:val="none" w:sz="0" w:space="0" w:color="auto"/>
        <w:right w:val="none" w:sz="0" w:space="0" w:color="auto"/>
      </w:divBdr>
    </w:div>
    <w:div w:id="1521509273">
      <w:bodyDiv w:val="1"/>
      <w:marLeft w:val="0"/>
      <w:marRight w:val="0"/>
      <w:marTop w:val="0"/>
      <w:marBottom w:val="0"/>
      <w:divBdr>
        <w:top w:val="none" w:sz="0" w:space="0" w:color="auto"/>
        <w:left w:val="none" w:sz="0" w:space="0" w:color="auto"/>
        <w:bottom w:val="none" w:sz="0" w:space="0" w:color="auto"/>
        <w:right w:val="none" w:sz="0" w:space="0" w:color="auto"/>
      </w:divBdr>
    </w:div>
    <w:div w:id="1634209292">
      <w:bodyDiv w:val="1"/>
      <w:marLeft w:val="0"/>
      <w:marRight w:val="0"/>
      <w:marTop w:val="0"/>
      <w:marBottom w:val="0"/>
      <w:divBdr>
        <w:top w:val="none" w:sz="0" w:space="0" w:color="auto"/>
        <w:left w:val="none" w:sz="0" w:space="0" w:color="auto"/>
        <w:bottom w:val="none" w:sz="0" w:space="0" w:color="auto"/>
        <w:right w:val="none" w:sz="0" w:space="0" w:color="auto"/>
      </w:divBdr>
    </w:div>
    <w:div w:id="1963918535">
      <w:bodyDiv w:val="1"/>
      <w:marLeft w:val="0"/>
      <w:marRight w:val="0"/>
      <w:marTop w:val="0"/>
      <w:marBottom w:val="0"/>
      <w:divBdr>
        <w:top w:val="none" w:sz="0" w:space="0" w:color="auto"/>
        <w:left w:val="none" w:sz="0" w:space="0" w:color="auto"/>
        <w:bottom w:val="none" w:sz="0" w:space="0" w:color="auto"/>
        <w:right w:val="none" w:sz="0" w:space="0" w:color="auto"/>
      </w:divBdr>
    </w:div>
    <w:div w:id="1972705330">
      <w:bodyDiv w:val="1"/>
      <w:marLeft w:val="0"/>
      <w:marRight w:val="0"/>
      <w:marTop w:val="0"/>
      <w:marBottom w:val="0"/>
      <w:divBdr>
        <w:top w:val="none" w:sz="0" w:space="0" w:color="auto"/>
        <w:left w:val="none" w:sz="0" w:space="0" w:color="auto"/>
        <w:bottom w:val="none" w:sz="0" w:space="0" w:color="auto"/>
        <w:right w:val="none" w:sz="0" w:space="0" w:color="auto"/>
      </w:divBdr>
    </w:div>
    <w:div w:id="2044592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iGXMEcPamKSMOuU16SYnZR3jhQ==">CgMxLjAyDmgudGI1ZjYwdnF2bmJoMg5oLnAxM2FnMndwbXJueTIOaC4yNW5odGFiZDF3ZDgyDmgueDMyZ2x0cjV0bGprOAByITF2NUtmV1dlRFJUcGxzVi14cVhYUkdrcGxNdThPQjQ1LQ==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17124</Words>
  <Characters>97610</Characters>
  <Application>Microsoft Office Word</Application>
  <DocSecurity>0</DocSecurity>
  <Lines>813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Tanvir Sahni</dc:creator>
  <cp:lastModifiedBy>Sameer Bhavnani</cp:lastModifiedBy>
  <cp:revision>2</cp:revision>
  <cp:lastPrinted>2025-04-06T14:25:00Z</cp:lastPrinted>
  <dcterms:created xsi:type="dcterms:W3CDTF">2025-04-06T14:32:00Z</dcterms:created>
  <dcterms:modified xsi:type="dcterms:W3CDTF">2025-04-06T14:32:00Z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zotero-version="7.0.6"&gt;&lt;session id="65k7HmPE"/&gt;&lt;style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