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3A5F"/>
          <w:sz w:val="40"/>
        </w:rPr>
        <w:t>CELL QUALIFICATION PROTOCOL</w:t>
      </w:r>
    </w:p>
    <w:p>
      <w:pPr>
        <w:jc w:val="center"/>
      </w:pPr>
      <w:r>
        <w:t>CYG-21700-50G  —  Cygnus Cell Technologies</w:t>
      </w:r>
      <w:r/>
      <w:r>
        <w:rPr>
          <w:b/>
        </w:rPr>
      </w:r>
      <w:r>
        <w:rPr>
          <w:i w:val="0"/>
        </w:rPr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968"/>
        <w:gridCol w:w="4968"/>
      </w:tblGrid>
      <w:tr>
        <w:tc>
          <w:tcPr>
            <w:tcW w:type="dxa" w:w="4968"/>
          </w:tcPr>
          <w:p>
            <w:pPr>
              <w:jc w:val="left"/>
            </w:pPr>
            <w:r/>
            <w:r>
              <w:rPr>
                <w:b/>
                <w:i w:val="0"/>
                <w:sz w:val="20"/>
              </w:rPr>
              <w:t>Document No.</w:t>
            </w:r>
          </w:p>
        </w:tc>
        <w:tc>
          <w:tcPr>
            <w:tcW w:type="dxa" w:w="4968"/>
          </w:tcPr>
          <w:p>
            <w:r>
              <w:t>CQP-CYG21700-00</w:t>
            </w:r>
            <w:r>
              <w:rPr>
                <w:b w:val="0"/>
              </w:rPr>
            </w:r>
            <w:r>
              <w:rPr>
                <w:i w:val="0"/>
              </w:rPr>
            </w:r>
          </w:p>
        </w:tc>
      </w:tr>
      <w:tr>
        <w:tc>
          <w:tcPr>
            <w:tcW w:type="dxa" w:w="4968"/>
          </w:tcPr>
          <w:p>
            <w:pPr>
              <w:jc w:val="left"/>
            </w:pPr>
            <w:r/>
            <w:r>
              <w:rPr>
                <w:b/>
                <w:i w:val="0"/>
                <w:sz w:val="20"/>
              </w:rPr>
              <w:t>Target market</w:t>
            </w:r>
          </w:p>
        </w:tc>
        <w:tc>
          <w:tcPr>
            <w:tcW w:type="dxa" w:w="4968"/>
          </w:tcPr>
          <w:p>
            <w:r>
              <w:t>EU / UN-38.3</w:t>
            </w:r>
            <w:r>
              <w:rPr>
                <w:b w:val="0"/>
              </w:rPr>
            </w:r>
            <w:r>
              <w:rPr>
                <w:i w:val="0"/>
              </w:rPr>
            </w:r>
          </w:p>
        </w:tc>
      </w:tr>
    </w:tbl>
    <w:p/>
    <w:p>
      <w:r>
        <w:rPr>
          <w:b/>
          <w:color w:val="1F3A5F"/>
          <w:sz w:val="26"/>
        </w:rPr>
        <w:t>1. Purpose</w:t>
      </w:r>
    </w:p>
    <w:p>
      <w:r>
        <w:t>This protocol defines the qualification testing of the CYG-21700-50G cell manufactured by Cygnus Cell Technologies, under IESF-4400. The cell is qualified across the following duty profiles: Automotive Traction &amp; Grid Storage.</w:t>
      </w:r>
      <w:r/>
      <w:r>
        <w:rPr>
          <w:b w:val="0"/>
        </w:rPr>
      </w:r>
      <w:r>
        <w:rPr>
          <w:i w:val="0"/>
        </w:rPr>
      </w:r>
      <w:r/>
      <w:r/>
      <w:r>
        <w:rPr>
          <w:b/>
        </w:rPr>
      </w:r>
      <w:r>
        <w:rPr>
          <w:i w:val="0"/>
        </w:rPr>
      </w:r>
      <w:r/>
      <w:r/>
      <w:r>
        <w:rPr>
          <w:b w:val="0"/>
        </w:rPr>
      </w:r>
      <w:r>
        <w:rPr>
          <w:i w:val="0"/>
        </w:rPr>
      </w:r>
      <w:r/>
      <w:r/>
      <w:r>
        <w:rPr>
          <w:b w:val="0"/>
        </w:rPr>
      </w:r>
      <w:r>
        <w:rPr>
          <w:i w:val="0"/>
        </w:rPr>
      </w:r>
      <w:r/>
    </w:p>
    <w:p>
      <w:r>
        <w:rPr>
          <w:b/>
          <w:color w:val="1F3A5F"/>
          <w:sz w:val="26"/>
        </w:rPr>
        <w:t>2. Scope</w:t>
      </w:r>
    </w:p>
    <w:p>
      <w:r>
        <w:t>Applies to the 21700 cylindrical cell of chemistry NMC811 / Graphite-SiOx. Testing is performed by Northgate Cell Qualification Laboratory (NCQL).</w:t>
      </w:r>
      <w:r/>
      <w:r>
        <w:rPr>
          <w:b w:val="0"/>
        </w:rPr>
      </w:r>
      <w:r>
        <w:rPr>
          <w:i w:val="0"/>
        </w:rPr>
      </w:r>
      <w:r/>
      <w:r/>
      <w:r>
        <w:rPr>
          <w:b w:val="0"/>
        </w:rPr>
      </w:r>
      <w:r>
        <w:rPr>
          <w:i w:val="0"/>
        </w:rPr>
      </w:r>
      <w:r/>
      <w:r/>
      <w:r>
        <w:rPr>
          <w:b w:val="0"/>
        </w:rPr>
      </w:r>
      <w:r>
        <w:rPr>
          <w:i w:val="0"/>
        </w:rPr>
      </w:r>
      <w:r/>
    </w:p>
    <w:p>
      <w:r>
        <w:rPr>
          <w:b/>
          <w:color w:val="1F3A5F"/>
          <w:sz w:val="26"/>
        </w:rPr>
        <w:t>3. Reference Documents</w:t>
      </w:r>
    </w:p>
    <w:p>
      <w:pPr>
        <w:pStyle w:val="ListBullet"/>
      </w:pPr>
      <w:r>
        <w:t>Test Method Procedure: Test Method Procedure — CYG-21700-50G</w:t>
      </w:r>
      <w:r/>
      <w:r>
        <w:rPr>
          <w:b w:val="0"/>
        </w:rPr>
      </w:r>
      <w:r>
        <w:rPr>
          <w:i w:val="0"/>
        </w:rPr>
      </w:r>
    </w:p>
    <w:p>
      <w:pPr>
        <w:pStyle w:val="ListBullet"/>
      </w:pPr>
      <w:r>
        <w:t>Acceptance Criteria &amp; Limits: Acceptance Criteria &amp; Limits (ACL) — CYG-21700-50G</w:t>
      </w:r>
      <w:r/>
      <w:r>
        <w:rPr>
          <w:b w:val="0"/>
        </w:rPr>
      </w:r>
      <w:r>
        <w:rPr>
          <w:i w:val="0"/>
        </w:rPr>
      </w:r>
    </w:p>
    <w:p>
      <w:pPr>
        <w:pStyle w:val="ListBullet"/>
      </w:pPr>
      <w:r>
        <w:t>Vendor datasheet: Cygnus Cell Technologies datasheet — CYG-21700-50G</w:t>
      </w:r>
      <w:r/>
      <w:r>
        <w:rPr>
          <w:b w:val="0"/>
        </w:rPr>
      </w:r>
      <w:r>
        <w:rPr>
          <w:i w:val="0"/>
        </w:rPr>
      </w:r>
    </w:p>
    <w:p>
      <w:r>
        <w:rPr>
          <w:b/>
          <w:color w:val="1F3A5F"/>
          <w:sz w:val="26"/>
        </w:rPr>
        <w:t>4. Test Article Description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968"/>
        <w:gridCol w:w="4968"/>
      </w:tblGrid>
      <w:tr>
        <w:tc>
          <w:tcPr>
            <w:tcW w:type="dxa" w:w="4968"/>
          </w:tcPr>
          <w:p>
            <w:pPr>
              <w:jc w:val="left"/>
            </w:pPr>
            <w:r/>
            <w:r>
              <w:rPr>
                <w:b/>
                <w:i w:val="0"/>
                <w:sz w:val="20"/>
              </w:rPr>
              <w:t>Manufacturer</w:t>
            </w:r>
          </w:p>
        </w:tc>
        <w:tc>
          <w:tcPr>
            <w:tcW w:type="dxa" w:w="4968"/>
          </w:tcPr>
          <w:p>
            <w:r>
              <w:t>Cygnus Cell Technologies</w:t>
            </w:r>
            <w:r>
              <w:rPr>
                <w:b w:val="0"/>
              </w:rPr>
            </w:r>
            <w:r>
              <w:rPr>
                <w:i w:val="0"/>
              </w:rPr>
            </w:r>
          </w:p>
        </w:tc>
      </w:tr>
      <w:tr>
        <w:tc>
          <w:tcPr>
            <w:tcW w:type="dxa" w:w="4968"/>
          </w:tcPr>
          <w:p>
            <w:pPr>
              <w:jc w:val="left"/>
            </w:pPr>
            <w:r/>
            <w:r>
              <w:rPr>
                <w:b/>
                <w:i w:val="0"/>
                <w:sz w:val="20"/>
              </w:rPr>
              <w:t>Cell format</w:t>
            </w:r>
          </w:p>
        </w:tc>
        <w:tc>
          <w:tcPr>
            <w:tcW w:type="dxa" w:w="4968"/>
          </w:tcPr>
          <w:p>
            <w:r>
              <w:t>21700 cylindrical</w:t>
            </w:r>
            <w:r>
              <w:rPr>
                <w:b w:val="0"/>
              </w:rPr>
            </w:r>
            <w:r>
              <w:rPr>
                <w:i w:val="0"/>
              </w:rPr>
            </w:r>
          </w:p>
        </w:tc>
      </w:tr>
      <w:tr>
        <w:tc>
          <w:tcPr>
            <w:tcW w:type="dxa" w:w="4968"/>
          </w:tcPr>
          <w:p>
            <w:pPr>
              <w:jc w:val="left"/>
            </w:pPr>
            <w:r/>
            <w:r>
              <w:rPr>
                <w:b/>
                <w:i w:val="0"/>
                <w:sz w:val="20"/>
              </w:rPr>
              <w:t>Nominal voltage</w:t>
            </w:r>
          </w:p>
        </w:tc>
        <w:tc>
          <w:tcPr>
            <w:tcW w:type="dxa" w:w="4968"/>
          </w:tcPr>
          <w:p>
            <w:r>
              <w:t>3.63 V</w:t>
            </w:r>
            <w:r>
              <w:rPr>
                <w:b w:val="0"/>
              </w:rPr>
            </w:r>
            <w:r>
              <w:rPr>
                <w:i w:val="0"/>
              </w:rPr>
            </w:r>
          </w:p>
        </w:tc>
      </w:tr>
      <w:tr>
        <w:tc>
          <w:tcPr>
            <w:tcW w:type="dxa" w:w="4968"/>
          </w:tcPr>
          <w:p>
            <w:pPr>
              <w:jc w:val="left"/>
            </w:pPr>
            <w:r/>
            <w:r>
              <w:rPr>
                <w:b/>
                <w:i w:val="0"/>
                <w:sz w:val="20"/>
              </w:rPr>
              <w:t>Charge voltage (max)</w:t>
            </w:r>
          </w:p>
        </w:tc>
        <w:tc>
          <w:tcPr>
            <w:tcW w:type="dxa" w:w="4968"/>
          </w:tcPr>
          <w:p>
            <w:r>
              <w:t>4.20 V</w:t>
            </w:r>
            <w:r>
              <w:rPr>
                <w:b w:val="0"/>
              </w:rPr>
            </w:r>
            <w:r>
              <w:rPr>
                <w:i w:val="0"/>
              </w:rPr>
            </w:r>
          </w:p>
        </w:tc>
      </w:tr>
      <w:tr>
        <w:tc>
          <w:tcPr>
            <w:tcW w:type="dxa" w:w="4968"/>
          </w:tcPr>
          <w:p>
            <w:pPr>
              <w:jc w:val="left"/>
            </w:pPr>
            <w:r/>
            <w:r>
              <w:rPr>
                <w:b/>
                <w:i w:val="0"/>
                <w:sz w:val="20"/>
              </w:rPr>
              <w:t>Discharge cut-off (min)</w:t>
            </w:r>
          </w:p>
        </w:tc>
        <w:tc>
          <w:tcPr>
            <w:tcW w:type="dxa" w:w="4968"/>
          </w:tcPr>
          <w:p>
            <w:r>
              <w:t>2.50 V</w:t>
            </w:r>
            <w:r>
              <w:rPr>
                <w:b w:val="0"/>
              </w:rPr>
            </w:r>
            <w:r>
              <w:rPr>
                <w:i w:val="0"/>
              </w:rPr>
            </w:r>
          </w:p>
        </w:tc>
      </w:tr>
      <w:tr>
        <w:tc>
          <w:tcPr>
            <w:tcW w:type="dxa" w:w="4968"/>
          </w:tcPr>
          <w:p>
            <w:pPr>
              <w:jc w:val="left"/>
            </w:pPr>
            <w:r/>
            <w:r>
              <w:rPr>
                <w:b/>
                <w:i w:val="0"/>
                <w:sz w:val="20"/>
              </w:rPr>
              <w:t>Rated capacity</w:t>
            </w:r>
          </w:p>
        </w:tc>
        <w:tc>
          <w:tcPr>
            <w:tcW w:type="dxa" w:w="4968"/>
          </w:tcPr>
          <w:p>
            <w:r>
              <w:t>5.00 Ah</w:t>
            </w:r>
            <w:r>
              <w:rPr>
                <w:b w:val="0"/>
              </w:rPr>
            </w:r>
            <w:r>
              <w:rPr>
                <w:i w:val="0"/>
              </w:rPr>
            </w:r>
          </w:p>
        </w:tc>
      </w:tr>
      <w:tr>
        <w:tc>
          <w:tcPr>
            <w:tcW w:type="dxa" w:w="4968"/>
          </w:tcPr>
          <w:p>
            <w:pPr>
              <w:jc w:val="left"/>
            </w:pPr>
            <w:r/>
            <w:r>
              <w:rPr>
                <w:b/>
                <w:i w:val="0"/>
                <w:sz w:val="20"/>
              </w:rPr>
              <w:t>Storage condition</w:t>
            </w:r>
          </w:p>
        </w:tc>
        <w:tc>
          <w:tcPr>
            <w:tcW w:type="dxa" w:w="4968"/>
          </w:tcPr>
          <w:p>
            <w:r>
              <w:t>Store at 20 ± 5 °C and 30–50 % state of charge, in a dry area away from direct sunlight.</w:t>
            </w:r>
            <w:r>
              <w:rPr>
                <w:b w:val="0"/>
              </w:rPr>
            </w:r>
            <w:r>
              <w:rPr>
                <w:i w:val="0"/>
              </w:rPr>
            </w:r>
          </w:p>
        </w:tc>
      </w:tr>
      <w:tr>
        <w:tc>
          <w:tcPr>
            <w:tcW w:type="dxa" w:w="4968"/>
          </w:tcPr>
          <w:p>
            <w:pPr>
              <w:jc w:val="left"/>
            </w:pPr>
            <w:r/>
            <w:r>
              <w:rPr>
                <w:b/>
                <w:i w:val="0"/>
                <w:sz w:val="20"/>
              </w:rPr>
              <w:t>Supplied as</w:t>
            </w:r>
          </w:p>
        </w:tc>
        <w:tc>
          <w:tcPr>
            <w:tcW w:type="dxa" w:w="4968"/>
          </w:tcPr>
          <w:p>
            <w:r>
              <w:t>Supplied as 21700 cylindrical cells, 50 cells per transport tray.</w:t>
            </w:r>
            <w:r>
              <w:rPr>
                <w:b w:val="0"/>
              </w:rPr>
            </w:r>
            <w:r>
              <w:rPr>
                <w:i w:val="0"/>
              </w:rPr>
            </w:r>
          </w:p>
        </w:tc>
      </w:tr>
    </w:tbl>
    <w:p>
      <w:r>
        <w:rPr>
          <w:b/>
          <w:color w:val="1F3A5F"/>
          <w:sz w:val="26"/>
        </w:rPr>
        <w:t>5. Conditioning and Test Window</w:t>
      </w:r>
    </w:p>
    <w:p>
      <w:r>
        <w:t>Each cell is conditioned by CC-CV charge to 4.20 V and discharge to 2.50 V. Cells whose graded capacity falls outside the band 4.85 Ah to 5.05 Ah are rejected before testing.</w:t>
      </w:r>
      <w:r/>
      <w:r>
        <w:rPr>
          <w:b w:val="0"/>
        </w:rPr>
      </w:r>
      <w:r>
        <w:rPr>
          <w:i w:val="0"/>
        </w:rPr>
      </w:r>
      <w:r/>
      <w:r/>
      <w:r>
        <w:rPr>
          <w:b w:val="0"/>
        </w:rPr>
      </w:r>
      <w:r>
        <w:rPr>
          <w:i w:val="0"/>
        </w:rPr>
      </w:r>
      <w:r/>
      <w:r/>
      <w:r>
        <w:rPr>
          <w:b w:val="0"/>
        </w:rPr>
      </w:r>
      <w:r>
        <w:rPr>
          <w:i w:val="0"/>
        </w:rPr>
      </w:r>
      <w:r/>
      <w:r/>
      <w:r>
        <w:rPr>
          <w:b w:val="0"/>
        </w:rPr>
      </w:r>
      <w:r>
        <w:rPr>
          <w:i w:val="0"/>
        </w:rPr>
      </w:r>
      <w:r/>
    </w:p>
    <w:p>
      <w:r>
        <w:rPr>
          <w:b/>
          <w:color w:val="1F3A5F"/>
          <w:sz w:val="26"/>
        </w:rPr>
        <w:t>6. Duty Profile Test Matrix</w:t>
      </w:r>
    </w:p>
    <w:p>
      <w:r>
        <w:t>Table 1. Duty profile test matrix.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656"/>
        <w:gridCol w:w="1656"/>
        <w:gridCol w:w="1656"/>
        <w:gridCol w:w="1656"/>
        <w:gridCol w:w="1656"/>
        <w:gridCol w:w="1656"/>
      </w:tblGrid>
      <w:tr>
        <w:tc>
          <w:tcPr>
            <w:tcW w:type="dxa" w:w="1656"/>
            <w:shd w:val="clear" w:color="auto" w:fill="1F3A5F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b/>
                <w:i w:val="0"/>
                <w:color w:val="FFFFFF"/>
                <w:sz w:val="20"/>
              </w:rPr>
              <w:t>Sr. No.</w:t>
            </w:r>
          </w:p>
        </w:tc>
        <w:tc>
          <w:tcPr>
            <w:tcW w:type="dxa" w:w="1656"/>
            <w:shd w:val="clear" w:color="auto" w:fill="1F3A5F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b/>
                <w:i w:val="0"/>
                <w:color w:val="FFFFFF"/>
                <w:sz w:val="20"/>
              </w:rPr>
              <w:t>Duty Profile</w:t>
            </w:r>
          </w:p>
        </w:tc>
        <w:tc>
          <w:tcPr>
            <w:tcW w:type="dxa" w:w="1656"/>
            <w:shd w:val="clear" w:color="auto" w:fill="1F3A5F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b/>
                <w:i w:val="0"/>
                <w:color w:val="FFFFFF"/>
                <w:sz w:val="20"/>
              </w:rPr>
              <w:t>Conditioning Rate</w:t>
            </w:r>
          </w:p>
        </w:tc>
        <w:tc>
          <w:tcPr>
            <w:tcW w:type="dxa" w:w="1656"/>
            <w:shd w:val="clear" w:color="auto" w:fill="1F3A5F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b/>
                <w:i w:val="0"/>
                <w:color w:val="FFFFFF"/>
                <w:sz w:val="20"/>
              </w:rPr>
              <w:t>Charge to</w:t>
            </w:r>
          </w:p>
        </w:tc>
        <w:tc>
          <w:tcPr>
            <w:tcW w:type="dxa" w:w="1656"/>
            <w:shd w:val="clear" w:color="auto" w:fill="1F3A5F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b/>
                <w:i w:val="0"/>
                <w:color w:val="FFFFFF"/>
                <w:sz w:val="20"/>
              </w:rPr>
              <w:t>Discharge to</w:t>
            </w:r>
          </w:p>
        </w:tc>
        <w:tc>
          <w:tcPr>
            <w:tcW w:type="dxa" w:w="1656"/>
            <w:shd w:val="clear" w:color="auto" w:fill="1F3A5F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b/>
                <w:i w:val="0"/>
                <w:color w:val="FFFFFF"/>
                <w:sz w:val="20"/>
              </w:rPr>
              <w:t>Cycles</w:t>
            </w:r>
          </w:p>
        </w:tc>
      </w:tr>
      <w:tr>
        <w:tc>
          <w:tcPr>
            <w:tcW w:type="dxa" w:w="1656"/>
          </w:tcPr>
          <w:p>
            <w:r>
              <w:t>1</w:t>
            </w:r>
          </w:p>
        </w:tc>
        <w:tc>
          <w:tcPr>
            <w:tcW w:type="dxa" w:w="1656"/>
            <w:vMerge w:val="restart"/>
          </w:tcPr>
          <w:p>
            <w:r>
              <w:t>Automotive Traction</w:t>
            </w:r>
          </w:p>
        </w:tc>
        <w:tc>
          <w:tcPr>
            <w:tcW w:type="dxa" w:w="1656"/>
          </w:tcPr>
          <w:p>
            <w:r>
              <w:t>0.5C</w:t>
            </w:r>
          </w:p>
        </w:tc>
        <w:tc>
          <w:tcPr>
            <w:tcW w:type="dxa" w:w="1656"/>
          </w:tcPr>
          <w:p>
            <w:r>
              <w:t>4.20 V</w:t>
            </w:r>
          </w:p>
        </w:tc>
        <w:tc>
          <w:tcPr>
            <w:tcW w:type="dxa" w:w="1656"/>
          </w:tcPr>
          <w:p>
            <w:r>
              <w:t>2.50 V</w:t>
            </w:r>
          </w:p>
        </w:tc>
        <w:tc>
          <w:tcPr>
            <w:tcW w:type="dxa" w:w="1656"/>
          </w:tcPr>
          <w:p>
            <w:r>
              <w:t>500</w:t>
            </w:r>
          </w:p>
        </w:tc>
      </w:tr>
      <w:tr>
        <w:tc>
          <w:tcPr>
            <w:tcW w:type="dxa" w:w="1656"/>
          </w:tcPr>
          <w:p>
            <w:r>
              <w:t>2</w:t>
            </w:r>
          </w:p>
        </w:tc>
        <w:tc>
          <w:tcPr>
            <w:tcW w:type="dxa" w:w="1656"/>
            <w:vMerge/>
          </w:tcPr>
          <w:p>
            <w:r/>
          </w:p>
        </w:tc>
        <w:tc>
          <w:tcPr>
            <w:tcW w:type="dxa" w:w="1656"/>
          </w:tcPr>
          <w:p>
            <w:r>
              <w:t>1.0C</w:t>
            </w:r>
          </w:p>
        </w:tc>
        <w:tc>
          <w:tcPr>
            <w:tcW w:type="dxa" w:w="1656"/>
          </w:tcPr>
          <w:p>
            <w:r>
              <w:t>4.20 V</w:t>
            </w:r>
          </w:p>
        </w:tc>
        <w:tc>
          <w:tcPr>
            <w:tcW w:type="dxa" w:w="1656"/>
          </w:tcPr>
          <w:p>
            <w:r>
              <w:t>2.50 V</w:t>
            </w:r>
          </w:p>
        </w:tc>
        <w:tc>
          <w:tcPr>
            <w:tcW w:type="dxa" w:w="1656"/>
          </w:tcPr>
          <w:p>
            <w:r>
              <w:t>500</w:t>
            </w:r>
          </w:p>
        </w:tc>
      </w:tr>
      <w:tr>
        <w:tc>
          <w:tcPr>
            <w:tcW w:type="dxa" w:w="1656"/>
          </w:tcPr>
          <w:p>
            <w:r>
              <w:t>3</w:t>
            </w:r>
          </w:p>
        </w:tc>
        <w:tc>
          <w:tcPr>
            <w:tcW w:type="dxa" w:w="1656"/>
          </w:tcPr>
          <w:p>
            <w:r>
              <w:t>Grid Storage</w:t>
            </w:r>
          </w:p>
        </w:tc>
        <w:tc>
          <w:tcPr>
            <w:tcW w:type="dxa" w:w="1656"/>
          </w:tcPr>
          <w:p>
            <w:r>
              <w:t>0.5C</w:t>
            </w:r>
          </w:p>
        </w:tc>
        <w:tc>
          <w:tcPr>
            <w:tcW w:type="dxa" w:w="1656"/>
          </w:tcPr>
          <w:p>
            <w:r>
              <w:t>4.20 V</w:t>
            </w:r>
          </w:p>
        </w:tc>
        <w:tc>
          <w:tcPr>
            <w:tcW w:type="dxa" w:w="1656"/>
          </w:tcPr>
          <w:p>
            <w:r>
              <w:t>2.50 V</w:t>
            </w:r>
          </w:p>
        </w:tc>
        <w:tc>
          <w:tcPr>
            <w:tcW w:type="dxa" w:w="1656"/>
          </w:tcPr>
          <w:p>
            <w:r>
              <w:t>500</w:t>
            </w:r>
          </w:p>
        </w:tc>
      </w:tr>
    </w:tbl>
    <w:p/>
    <w:p>
      <w:r>
        <w:rPr>
          <w:b/>
          <w:color w:val="1F3A5F"/>
          <w:sz w:val="26"/>
        </w:rPr>
        <w:t>7. Qualification Test Parameters</w:t>
      </w:r>
    </w:p>
    <w:p>
      <w:r>
        <w:rPr>
          <w:b/>
          <w:sz w:val="24"/>
        </w:rPr>
        <w:t>7.1 Qualification Tests — Automotive Traction</w:t>
      </w:r>
      <w:r/>
      <w:r>
        <w:rPr>
          <w:b/>
        </w:rPr>
      </w:r>
      <w:r>
        <w:rPr>
          <w:i w:val="0"/>
        </w:rPr>
      </w:r>
      <w:r>
        <w:rPr>
          <w:b/>
          <w:sz w:val="24"/>
        </w:rPr>
      </w:r>
      <w:r/>
      <w:r>
        <w:rPr>
          <w:b/>
        </w:rPr>
      </w:r>
      <w:r>
        <w:rPr>
          <w:i w:val="0"/>
        </w:rPr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484"/>
        <w:gridCol w:w="2484"/>
        <w:gridCol w:w="2484"/>
        <w:gridCol w:w="2484"/>
      </w:tblGrid>
      <w:tr>
        <w:tc>
          <w:tcPr>
            <w:tcW w:type="dxa" w:w="1008"/>
            <w:shd w:val="clear" w:color="auto" w:fill="1F3A5F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b/>
                <w:i w:val="0"/>
                <w:color w:val="FFFFFF"/>
                <w:sz w:val="20"/>
              </w:rPr>
              <w:t>Sr. No.</w:t>
            </w:r>
          </w:p>
        </w:tc>
        <w:tc>
          <w:tcPr>
            <w:tcW w:type="dxa" w:w="4176"/>
            <w:shd w:val="clear" w:color="auto" w:fill="1F3A5F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b/>
                <w:i w:val="0"/>
                <w:color w:val="FFFFFF"/>
                <w:sz w:val="20"/>
              </w:rPr>
              <w:t>Test Parameter</w:t>
            </w:r>
          </w:p>
        </w:tc>
        <w:tc>
          <w:tcPr>
            <w:tcW w:type="dxa" w:w="4608"/>
            <w:shd w:val="clear" w:color="auto" w:fill="1F3A5F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b/>
                <w:i w:val="0"/>
                <w:color w:val="FFFFFF"/>
                <w:sz w:val="20"/>
              </w:rPr>
              <w:t>Acceptance Limit</w:t>
            </w:r>
          </w:p>
        </w:tc>
        <w:tc>
          <w:tcPr>
            <w:tcW w:type="dxa" w:w="1584"/>
            <w:shd w:val="clear" w:color="auto" w:fill="1F3A5F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b/>
                <w:i w:val="0"/>
                <w:color w:val="FFFFFF"/>
                <w:sz w:val="20"/>
              </w:rPr>
              <w:t>IESF-4400 Clause</w:t>
            </w:r>
          </w:p>
        </w:tc>
      </w:tr>
      <w:tr>
        <w:tc>
          <w:tcPr>
            <w:tcW w:type="dxa" w:w="2484"/>
          </w:tcPr>
          <w:p>
            <w:r>
              <w:t>1</w:t>
            </w:r>
          </w:p>
        </w:tc>
        <w:tc>
          <w:tcPr>
            <w:tcW w:type="dxa" w:w="2484"/>
          </w:tcPr>
          <w:p>
            <w:r>
              <w:t>Capacity Verification</w:t>
            </w:r>
          </w:p>
        </w:tc>
        <w:tc>
          <w:tcPr>
            <w:tcW w:type="dxa" w:w="2484"/>
          </w:tcPr>
          <w:p>
            <w:r>
              <w:t>≥ 98.0 % of rated capacity at 0.5C, 25 °C  * $</w:t>
            </w:r>
          </w:p>
        </w:tc>
        <w:tc>
          <w:tcPr>
            <w:tcW w:type="dxa" w:w="2484"/>
          </w:tcPr>
          <w:p>
            <w:r>
              <w:t>§6.2</w:t>
            </w:r>
          </w:p>
        </w:tc>
      </w:tr>
      <w:tr>
        <w:tc>
          <w:tcPr>
            <w:tcW w:type="dxa" w:w="2484"/>
          </w:tcPr>
          <w:p>
            <w:r>
              <w:t>2</w:t>
            </w:r>
          </w:p>
        </w:tc>
        <w:tc>
          <w:tcPr>
            <w:tcW w:type="dxa" w:w="2484"/>
          </w:tcPr>
          <w:p>
            <w:r>
              <w:t>DC Internal Resistance (DCIR)</w:t>
            </w:r>
          </w:p>
        </w:tc>
        <w:tc>
          <w:tcPr>
            <w:tcW w:type="dxa" w:w="2484"/>
          </w:tcPr>
          <w:p>
            <w:r>
              <w:t>≤ 18 mΩ at 50 % SOC, 25 °C  #</w:t>
            </w:r>
          </w:p>
        </w:tc>
        <w:tc>
          <w:tcPr>
            <w:tcW w:type="dxa" w:w="2484"/>
          </w:tcPr>
          <w:p>
            <w:r>
              <w:t>§6.3</w:t>
            </w:r>
          </w:p>
        </w:tc>
      </w:tr>
      <w:tr>
        <w:tc>
          <w:tcPr>
            <w:tcW w:type="dxa" w:w="2484"/>
          </w:tcPr>
          <w:p>
            <w:r>
              <w:t>3</w:t>
            </w:r>
          </w:p>
        </w:tc>
        <w:tc>
          <w:tcPr>
            <w:tcW w:type="dxa" w:w="2484"/>
          </w:tcPr>
          <w:p>
            <w:r>
              <w:t>Cycle-Life Endurance</w:t>
            </w:r>
          </w:p>
        </w:tc>
        <w:tc>
          <w:tcPr>
            <w:tcW w:type="dxa" w:w="2484"/>
          </w:tcPr>
          <w:p>
            <w:r>
              <w:t>≥ 80 % capacity retention after 500 cycles  $</w:t>
            </w:r>
          </w:p>
        </w:tc>
        <w:tc>
          <w:tcPr>
            <w:tcW w:type="dxa" w:w="2484"/>
          </w:tcPr>
          <w:p>
            <w:r>
              <w:t>§6.4</w:t>
            </w:r>
          </w:p>
        </w:tc>
      </w:tr>
      <w:tr>
        <w:tc>
          <w:tcPr>
            <w:tcW w:type="dxa" w:w="2484"/>
          </w:tcPr>
          <w:p>
            <w:r>
              <w:t>4</w:t>
            </w:r>
          </w:p>
        </w:tc>
        <w:tc>
          <w:tcPr>
            <w:tcW w:type="dxa" w:w="2484"/>
          </w:tcPr>
          <w:p>
            <w:r>
              <w:t>Overcharge Tolerance</w:t>
            </w:r>
          </w:p>
        </w:tc>
        <w:tc>
          <w:tcPr>
            <w:tcW w:type="dxa" w:w="2484"/>
          </w:tcPr>
          <w:p>
            <w:r>
              <w:t>No fire, no explosion at 1.5 × V_max charge  @ $</w:t>
            </w:r>
          </w:p>
        </w:tc>
        <w:tc>
          <w:tcPr>
            <w:tcW w:type="dxa" w:w="2484"/>
          </w:tcPr>
          <w:p>
            <w:r>
              <w:t>§6.7</w:t>
            </w:r>
          </w:p>
        </w:tc>
      </w:tr>
      <w:tr>
        <w:tc>
          <w:tcPr>
            <w:tcW w:type="dxa" w:w="2484"/>
          </w:tcPr>
          <w:p>
            <w:r>
              <w:t>5</w:t>
            </w:r>
          </w:p>
        </w:tc>
        <w:tc>
          <w:tcPr>
            <w:tcW w:type="dxa" w:w="2484"/>
          </w:tcPr>
          <w:p>
            <w:r>
              <w:t>External Short-Circuit</w:t>
            </w:r>
          </w:p>
        </w:tc>
        <w:tc>
          <w:tcPr>
            <w:tcW w:type="dxa" w:w="2484"/>
          </w:tcPr>
          <w:p>
            <w:r>
              <w:t>Case temperature ≤ 80 °C; no fire  @</w:t>
            </w:r>
          </w:p>
        </w:tc>
        <w:tc>
          <w:tcPr>
            <w:tcW w:type="dxa" w:w="2484"/>
          </w:tcPr>
          <w:p>
            <w:r>
              <w:t>§6.9</w:t>
            </w:r>
          </w:p>
        </w:tc>
      </w:tr>
      <w:tr>
        <w:tc>
          <w:tcPr>
            <w:tcW w:type="dxa" w:w="2484"/>
          </w:tcPr>
          <w:p>
            <w:r>
              <w:t>6</w:t>
            </w:r>
          </w:p>
        </w:tc>
        <w:tc>
          <w:tcPr>
            <w:tcW w:type="dxa" w:w="2484"/>
          </w:tcPr>
          <w:p>
            <w:r>
              <w:t>Thermal Stability (Hot-Box)</w:t>
            </w:r>
          </w:p>
        </w:tc>
        <w:tc>
          <w:tcPr>
            <w:tcW w:type="dxa" w:w="2484"/>
          </w:tcPr>
          <w:p>
            <w:r>
              <w:t>No fire, no explosion after 130 °C / 30 min soak  @</w:t>
            </w:r>
          </w:p>
        </w:tc>
        <w:tc>
          <w:tcPr>
            <w:tcW w:type="dxa" w:w="2484"/>
          </w:tcPr>
          <w:p>
            <w:r>
              <w:t>§6.11</w:t>
            </w:r>
          </w:p>
        </w:tc>
      </w:tr>
      <w:tr>
        <w:tc>
          <w:tcPr>
            <w:tcW w:type="dxa" w:w="2484"/>
          </w:tcPr>
          <w:p>
            <w:r>
              <w:t>7</w:t>
            </w:r>
          </w:p>
        </w:tc>
        <w:tc>
          <w:tcPr>
            <w:tcW w:type="dxa" w:w="2484"/>
          </w:tcPr>
          <w:p>
            <w:r>
              <w:t>Altitude Simulation</w:t>
            </w:r>
          </w:p>
        </w:tc>
        <w:tc>
          <w:tcPr>
            <w:tcW w:type="dxa" w:w="2484"/>
          </w:tcPr>
          <w:p>
            <w:r>
              <w:t>No leakage; ≤ 1.0 % capacity loss at 11.6 kPa / 6 h</w:t>
            </w:r>
          </w:p>
        </w:tc>
        <w:tc>
          <w:tcPr>
            <w:tcW w:type="dxa" w:w="2484"/>
          </w:tcPr>
          <w:p>
            <w:r>
              <w:t>§6.12</w:t>
            </w:r>
          </w:p>
        </w:tc>
      </w:tr>
    </w:tbl>
    <w:p>
      <w:r>
        <w:rPr>
          <w:b/>
        </w:rPr>
        <w:t>Acceptance Criteria:</w:t>
      </w:r>
      <w:permStart w:id="1" w:edit="everyone"/>
    </w:p>
    <w:p>
      <w:r>
        <w:t>All listed parameters meet the acceptance limits for this duty profile.</w:t>
      </w:r>
      <w:permEnd w:id="1"/>
    </w:p>
    <w:p>
      <w:r>
        <w:rPr>
          <w:b/>
        </w:rPr>
        <w:t>Conclusion:</w:t>
      </w:r>
      <w:permStart w:id="2" w:edit="everyone"/>
    </w:p>
    <w:p>
      <w:r>
        <w:t>The cell is qualified for this duty profile, subject to review.</w:t>
      </w:r>
      <w:permEnd w:id="2"/>
    </w:p>
    <w:p/>
    <w:p>
      <w:r>
        <w:rPr>
          <w:b/>
          <w:sz w:val="24"/>
        </w:rPr>
        <w:t>7.2 Qualification Tests — Grid Storage</w:t>
      </w:r>
      <w:r/>
      <w:r>
        <w:rPr>
          <w:b/>
        </w:rPr>
      </w:r>
      <w:r>
        <w:rPr>
          <w:i w:val="0"/>
        </w:rPr>
      </w:r>
      <w:r>
        <w:rPr>
          <w:b/>
          <w:sz w:val="24"/>
        </w:rPr>
      </w:r>
      <w:r/>
      <w:r>
        <w:rPr>
          <w:b/>
        </w:rPr>
      </w:r>
      <w:r>
        <w:rPr>
          <w:i w:val="0"/>
        </w:rPr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484"/>
        <w:gridCol w:w="2484"/>
        <w:gridCol w:w="2484"/>
        <w:gridCol w:w="2484"/>
      </w:tblGrid>
      <w:tr>
        <w:tc>
          <w:tcPr>
            <w:tcW w:type="dxa" w:w="1008"/>
            <w:shd w:val="clear" w:color="auto" w:fill="1F3A5F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b/>
                <w:i w:val="0"/>
                <w:color w:val="FFFFFF"/>
                <w:sz w:val="20"/>
              </w:rPr>
              <w:t>Sr. No.</w:t>
            </w:r>
          </w:p>
        </w:tc>
        <w:tc>
          <w:tcPr>
            <w:tcW w:type="dxa" w:w="4176"/>
            <w:shd w:val="clear" w:color="auto" w:fill="1F3A5F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b/>
                <w:i w:val="0"/>
                <w:color w:val="FFFFFF"/>
                <w:sz w:val="20"/>
              </w:rPr>
              <w:t>Test Parameter</w:t>
            </w:r>
          </w:p>
        </w:tc>
        <w:tc>
          <w:tcPr>
            <w:tcW w:type="dxa" w:w="4608"/>
            <w:shd w:val="clear" w:color="auto" w:fill="1F3A5F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b/>
                <w:i w:val="0"/>
                <w:color w:val="FFFFFF"/>
                <w:sz w:val="20"/>
              </w:rPr>
              <w:t>Acceptance Limit</w:t>
            </w:r>
          </w:p>
        </w:tc>
        <w:tc>
          <w:tcPr>
            <w:tcW w:type="dxa" w:w="1584"/>
            <w:shd w:val="clear" w:color="auto" w:fill="1F3A5F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b/>
                <w:i w:val="0"/>
                <w:color w:val="FFFFFF"/>
                <w:sz w:val="20"/>
              </w:rPr>
              <w:t>IESF-4400 Clause</w:t>
            </w:r>
          </w:p>
        </w:tc>
      </w:tr>
      <w:tr>
        <w:tc>
          <w:tcPr>
            <w:tcW w:type="dxa" w:w="2484"/>
          </w:tcPr>
          <w:p>
            <w:r>
              <w:t>1</w:t>
            </w:r>
          </w:p>
        </w:tc>
        <w:tc>
          <w:tcPr>
            <w:tcW w:type="dxa" w:w="2484"/>
          </w:tcPr>
          <w:p>
            <w:r>
              <w:t>Capacity Verification</w:t>
            </w:r>
          </w:p>
        </w:tc>
        <w:tc>
          <w:tcPr>
            <w:tcW w:type="dxa" w:w="2484"/>
          </w:tcPr>
          <w:p>
            <w:r>
              <w:t>≥ 98.0 % of rated capacity at 0.5C, 25 °C (lot-acceptance)  * $</w:t>
            </w:r>
          </w:p>
        </w:tc>
        <w:tc>
          <w:tcPr>
            <w:tcW w:type="dxa" w:w="2484"/>
          </w:tcPr>
          <w:p>
            <w:r>
              <w:t>§6.2</w:t>
            </w:r>
          </w:p>
        </w:tc>
      </w:tr>
      <w:tr>
        <w:tc>
          <w:tcPr>
            <w:tcW w:type="dxa" w:w="2484"/>
          </w:tcPr>
          <w:p>
            <w:r>
              <w:t>2</w:t>
            </w:r>
          </w:p>
        </w:tc>
        <w:tc>
          <w:tcPr>
            <w:tcW w:type="dxa" w:w="2484"/>
          </w:tcPr>
          <w:p>
            <w:r>
              <w:t>DC Internal Resistance (DCIR)</w:t>
            </w:r>
          </w:p>
        </w:tc>
        <w:tc>
          <w:tcPr>
            <w:tcW w:type="dxa" w:w="2484"/>
          </w:tcPr>
          <w:p>
            <w:r>
              <w:t>≤ 18 mΩ at 50 % SOC, 25 °C  #</w:t>
            </w:r>
          </w:p>
        </w:tc>
        <w:tc>
          <w:tcPr>
            <w:tcW w:type="dxa" w:w="2484"/>
          </w:tcPr>
          <w:p>
            <w:r>
              <w:t>§6.3</w:t>
            </w:r>
          </w:p>
        </w:tc>
      </w:tr>
      <w:tr>
        <w:tc>
          <w:tcPr>
            <w:tcW w:type="dxa" w:w="2484"/>
          </w:tcPr>
          <w:p>
            <w:r>
              <w:t>3</w:t>
            </w:r>
          </w:p>
        </w:tc>
        <w:tc>
          <w:tcPr>
            <w:tcW w:type="dxa" w:w="2484"/>
          </w:tcPr>
          <w:p>
            <w:r>
              <w:t>Cycle-Life Endurance</w:t>
            </w:r>
          </w:p>
        </w:tc>
        <w:tc>
          <w:tcPr>
            <w:tcW w:type="dxa" w:w="2484"/>
          </w:tcPr>
          <w:p>
            <w:r>
              <w:t>≥ 80 % capacity retention after 500 cycles  $</w:t>
            </w:r>
          </w:p>
        </w:tc>
        <w:tc>
          <w:tcPr>
            <w:tcW w:type="dxa" w:w="2484"/>
          </w:tcPr>
          <w:p>
            <w:r>
              <w:t>§6.4</w:t>
            </w:r>
          </w:p>
        </w:tc>
      </w:tr>
      <w:tr>
        <w:tc>
          <w:tcPr>
            <w:tcW w:type="dxa" w:w="2484"/>
          </w:tcPr>
          <w:p>
            <w:r>
              <w:t>4</w:t>
            </w:r>
          </w:p>
        </w:tc>
        <w:tc>
          <w:tcPr>
            <w:tcW w:type="dxa" w:w="2484"/>
          </w:tcPr>
          <w:p>
            <w:r>
              <w:t>Overcharge Tolerance</w:t>
            </w:r>
          </w:p>
        </w:tc>
        <w:tc>
          <w:tcPr>
            <w:tcW w:type="dxa" w:w="2484"/>
          </w:tcPr>
          <w:p>
            <w:r>
              <w:t>No fire, no explosion at 1.5 × V_max charge  @ $</w:t>
            </w:r>
          </w:p>
        </w:tc>
        <w:tc>
          <w:tcPr>
            <w:tcW w:type="dxa" w:w="2484"/>
          </w:tcPr>
          <w:p>
            <w:r>
              <w:t>§6.7</w:t>
            </w:r>
          </w:p>
        </w:tc>
      </w:tr>
      <w:tr>
        <w:tc>
          <w:tcPr>
            <w:tcW w:type="dxa" w:w="2484"/>
          </w:tcPr>
          <w:p>
            <w:r>
              <w:t>5</w:t>
            </w:r>
          </w:p>
        </w:tc>
        <w:tc>
          <w:tcPr>
            <w:tcW w:type="dxa" w:w="2484"/>
          </w:tcPr>
          <w:p>
            <w:r>
              <w:t>External Short-Circuit</w:t>
            </w:r>
          </w:p>
        </w:tc>
        <w:tc>
          <w:tcPr>
            <w:tcW w:type="dxa" w:w="2484"/>
          </w:tcPr>
          <w:p>
            <w:r>
              <w:t>Case temperature ≤ 80 °C; no fire  @</w:t>
            </w:r>
          </w:p>
        </w:tc>
        <w:tc>
          <w:tcPr>
            <w:tcW w:type="dxa" w:w="2484"/>
          </w:tcPr>
          <w:p>
            <w:r>
              <w:t>§6.9</w:t>
            </w:r>
          </w:p>
        </w:tc>
      </w:tr>
      <w:tr>
        <w:tc>
          <w:tcPr>
            <w:tcW w:type="dxa" w:w="2484"/>
          </w:tcPr>
          <w:p>
            <w:r>
              <w:t>6</w:t>
            </w:r>
          </w:p>
        </w:tc>
        <w:tc>
          <w:tcPr>
            <w:tcW w:type="dxa" w:w="2484"/>
          </w:tcPr>
          <w:p>
            <w:r>
              <w:t>Thermal Stability (Hot-Box)</w:t>
            </w:r>
          </w:p>
        </w:tc>
        <w:tc>
          <w:tcPr>
            <w:tcW w:type="dxa" w:w="2484"/>
          </w:tcPr>
          <w:p>
            <w:r>
              <w:t>No fire, no explosion after 130 °C / 30 min soak  @</w:t>
            </w:r>
          </w:p>
        </w:tc>
        <w:tc>
          <w:tcPr>
            <w:tcW w:type="dxa" w:w="2484"/>
          </w:tcPr>
          <w:p>
            <w:r>
              <w:t>§6.11</w:t>
            </w:r>
          </w:p>
        </w:tc>
      </w:tr>
      <w:tr>
        <w:tc>
          <w:tcPr>
            <w:tcW w:type="dxa" w:w="2484"/>
          </w:tcPr>
          <w:p>
            <w:r>
              <w:t>7</w:t>
            </w:r>
          </w:p>
        </w:tc>
        <w:tc>
          <w:tcPr>
            <w:tcW w:type="dxa" w:w="2484"/>
          </w:tcPr>
          <w:p>
            <w:r>
              <w:t>Altitude Simulation</w:t>
            </w:r>
          </w:p>
        </w:tc>
        <w:tc>
          <w:tcPr>
            <w:tcW w:type="dxa" w:w="2484"/>
          </w:tcPr>
          <w:p>
            <w:r>
              <w:t>No leakage; ≤ 1.0 % capacity loss at 11.6 kPa / 6 h</w:t>
            </w:r>
          </w:p>
        </w:tc>
        <w:tc>
          <w:tcPr>
            <w:tcW w:type="dxa" w:w="2484"/>
          </w:tcPr>
          <w:p>
            <w:r>
              <w:t>§6.12</w:t>
            </w:r>
          </w:p>
        </w:tc>
      </w:tr>
    </w:tbl>
    <w:p>
      <w:r>
        <w:rPr>
          <w:b/>
        </w:rPr>
        <w:t>Acceptance Criteria:</w:t>
      </w:r>
      <w:permStart w:id="3" w:edit="everyone"/>
    </w:p>
    <w:p>
      <w:r>
        <w:t>All listed parameters meet the acceptance limits for this duty profile.</w:t>
      </w:r>
      <w:permEnd w:id="3"/>
    </w:p>
    <w:p>
      <w:r>
        <w:rPr>
          <w:b/>
        </w:rPr>
        <w:t>Conclusion:</w:t>
      </w:r>
      <w:permStart w:id="4" w:edit="everyone"/>
    </w:p>
    <w:p>
      <w:r>
        <w:t>The cell is qualified for this duty profile, subject to review.</w:t>
      </w:r>
      <w:permEnd w:id="4"/>
    </w:p>
    <w:p/>
    <w:p/>
    <w:p>
      <w:r>
        <w:rPr>
          <w:b/>
        </w:rPr>
        <w:t>Applicable notes from the ACL:</w:t>
      </w:r>
    </w:p>
    <w:p>
      <w:r>
        <w:t>* Capacity limits apply to graded cells only; ungraded cells are assessed per IESF-4400 §6.2.1.</w:t>
      </w:r>
    </w:p>
    <w:p>
      <w:pPr/>
      <w:r>
        <w:t># DCIR is measured by a 10 s DC pulse at 1.0C and corrected to 50% SOC.</w:t>
      </w:r>
    </w:p>
    <w:p>
      <w:pPr/>
      <w:r>
        <w:t>@ Mechanical-abuse limits apply to cylindrical and prismatic formats; pouch cells are governed by Annex P.</w:t>
      </w:r>
    </w:p>
    <w:p>
      <w:pPr/>
      <w:r>
        <w:t>$ The test voltage window is defined by the cell vendor datasheet electrical ratings, not by this table.</w:t>
      </w:r>
    </w:p>
    <w:p>
      <w:r/>
    </w:p>
    <w:p>
      <w:r>
        <w:rPr>
          <w:b/>
          <w:color w:val="1F3A5F"/>
          <w:sz w:val="26"/>
        </w:rPr>
        <w:t>Revision Record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val="clear" w:color="auto" w:fill="1F3A5F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b/>
                <w:i w:val="0"/>
                <w:color w:val="FFFFFF"/>
                <w:sz w:val="20"/>
              </w:rPr>
              <w:t>Revision</w:t>
            </w:r>
          </w:p>
        </w:tc>
        <w:tc>
          <w:tcPr>
            <w:tcW w:type="dxa" w:w="2484"/>
            <w:shd w:val="clear" w:color="auto" w:fill="1F3A5F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b/>
                <w:i w:val="0"/>
                <w:color w:val="FFFFFF"/>
                <w:sz w:val="20"/>
              </w:rPr>
              <w:t>Date</w:t>
            </w:r>
          </w:p>
        </w:tc>
        <w:tc>
          <w:tcPr>
            <w:tcW w:type="dxa" w:w="2484"/>
            <w:shd w:val="clear" w:color="auto" w:fill="1F3A5F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b/>
                <w:i w:val="0"/>
                <w:color w:val="FFFFFF"/>
                <w:sz w:val="20"/>
              </w:rPr>
              <w:t>Description</w:t>
            </w:r>
          </w:p>
        </w:tc>
        <w:tc>
          <w:tcPr>
            <w:tcW w:type="dxa" w:w="2484"/>
            <w:shd w:val="clear" w:color="auto" w:fill="1F3A5F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b/>
                <w:i w:val="0"/>
                <w:color w:val="FFFFFF"/>
                <w:sz w:val="20"/>
              </w:rPr>
              <w:t>Author</w:t>
            </w:r>
          </w:p>
        </w:tc>
      </w:tr>
      <w:tr>
        <w:tc>
          <w:tcPr>
            <w:tcW w:type="dxa" w:w="2484"/>
          </w:tcPr>
          <w:p>
            <w:pPr>
              <w:jc w:val="center"/>
            </w:pPr>
            <w:r/>
            <w:r>
              <w:rPr>
                <w:b w:val="0"/>
                <w:i w:val="0"/>
                <w:sz w:val="20"/>
              </w:rPr>
              <w:t>00</w:t>
            </w:r>
          </w:p>
        </w:tc>
        <w:tc>
          <w:tcPr>
            <w:tcW w:type="dxa" w:w="2484"/>
          </w:tcPr>
          <w:p>
            <w:pPr>
              <w:jc w:val="left"/>
            </w:pPr>
            <w:r/>
            <w:r>
              <w:rPr>
                <w:b w:val="0"/>
                <w:i w:val="0"/>
                <w:sz w:val="20"/>
              </w:rPr>
            </w:r>
          </w:p>
        </w:tc>
        <w:tc>
          <w:tcPr>
            <w:tcW w:type="dxa" w:w="2484"/>
          </w:tcPr>
          <w:p>
            <w:pPr>
              <w:jc w:val="left"/>
            </w:pPr>
            <w:r/>
            <w:r>
              <w:rPr>
                <w:b w:val="0"/>
                <w:i w:val="0"/>
                <w:sz w:val="20"/>
              </w:rPr>
            </w:r>
          </w:p>
        </w:tc>
        <w:tc>
          <w:tcPr>
            <w:tcW w:type="dxa" w:w="2484"/>
          </w:tcPr>
          <w:p>
            <w:pPr>
              <w:jc w:val="left"/>
            </w:pPr>
            <w:r/>
            <w:r>
              <w:rPr>
                <w:b w:val="0"/>
                <w:i w:val="0"/>
                <w:sz w:val="20"/>
              </w:rPr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headerReference w:type="first" r:id="rId11"/>
      <w:headerReference w:type="even" r:id="rId12"/>
      <w:footerReference w:type="first" r:id="rId13"/>
      <w:footerReference w:type="even" r:id="rId14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CONFIDENTIAL — for qualification use only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sz w:val="16"/>
      </w:rPr>
      <w:t>CQP-CYG21700-00    |    IESF-4400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documentProtection w:edit="readOnly" w:enforcement="1" w:formatting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header" Target="header3.xml"/><Relationship Id="rId13" Type="http://schemas.openxmlformats.org/officeDocument/2006/relationships/footer" Target="footer2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