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Malware Application Risk Classification Model</w:t>
      </w:r>
    </w:p>
    <w:p>
      <w:pPr>
        <w:pStyle w:val="Heading2"/>
        <w:bidi w:val="0"/>
        <w:jc w:val="left"/>
        <w:rPr/>
      </w:pPr>
      <w:r>
        <w:rPr/>
        <w:t>Packaged Model Instructions</w:t>
      </w:r>
    </w:p>
    <w:p>
      <w:pPr>
        <w:pStyle w:val="BodyText"/>
        <w:bidi w:val="0"/>
        <w:jc w:val="left"/>
        <w:rPr/>
      </w:pPr>
      <w:r>
        <w:rPr/>
        <w:t>The packaged model is provided as a Python pickle file (</w:t>
      </w:r>
      <w:r>
        <w:rPr>
          <w:rStyle w:val="SourceText"/>
          <w:rFonts w:ascii="Liberation Serif" w:hAnsi="Liberation Serif"/>
          <w:b/>
          <w:bCs/>
        </w:rPr>
        <w:t>malware_model.pkl</w:t>
      </w:r>
      <w:r>
        <w:rPr/>
        <w:t xml:space="preserve">) and can be executed using the supplied </w:t>
      </w:r>
      <w:r>
        <w:rPr/>
        <w:t>test</w:t>
      </w:r>
      <w:r>
        <w:rPr/>
        <w:t xml:space="preserve"> script (</w:t>
      </w:r>
      <w:r>
        <w:rPr>
          <w:b/>
          <w:bCs/>
        </w:rPr>
        <w:t>test</w:t>
      </w:r>
      <w:r>
        <w:rPr>
          <w:rStyle w:val="SourceText"/>
          <w:rFonts w:ascii="Liberation Serif" w:hAnsi="Liberation Serif"/>
          <w:b/>
          <w:bCs/>
        </w:rPr>
        <w:t>.py</w:t>
      </w:r>
      <w:r>
        <w:rPr/>
        <w:t xml:space="preserve">). The input data should follow the same format as the original training data, where each application sample is represented as a line containing a risk score followed by feature-number/value pairs (e.g., </w:t>
      </w:r>
      <w:r>
        <w:rPr>
          <w:rStyle w:val="SourceText"/>
        </w:rPr>
        <w:t>0.45 12:3 44:1 88:2</w:t>
      </w:r>
      <w:r>
        <w:rPr/>
        <w:t xml:space="preserve">). The prediction script processes the raw feature data, constructs the required sparse feature matrix and engineered features, loads the trained model, and generates a binary risk classification for each application. The output consists of one prediction per application, where </w:t>
      </w:r>
      <w:r>
        <w:rPr>
          <w:rStyle w:val="SourceText"/>
        </w:rPr>
        <w:t>1</w:t>
      </w:r>
      <w:r>
        <w:rPr/>
        <w:t xml:space="preserve"> indicates </w:t>
      </w:r>
      <w:r>
        <w:rPr>
          <w:rStyle w:val="Strong"/>
        </w:rPr>
        <w:t>High Risk</w:t>
      </w:r>
      <w:r>
        <w:rPr/>
        <w:t xml:space="preserve"> and </w:t>
      </w:r>
      <w:r>
        <w:rPr>
          <w:rStyle w:val="SourceText"/>
        </w:rPr>
        <w:t>0</w:t>
      </w:r>
      <w:r>
        <w:rPr/>
        <w:t xml:space="preserve"> indicates </w:t>
      </w:r>
      <w:r>
        <w:rPr>
          <w:rStyle w:val="Strong"/>
        </w:rPr>
        <w:t>Low Risk</w:t>
      </w:r>
      <w:r>
        <w:rPr/>
        <w:t>.</w:t>
      </w:r>
    </w:p>
    <w:p>
      <w:pPr>
        <w:pStyle w:val="BodyText"/>
        <w:bidi w:val="0"/>
        <w:jc w:val="left"/>
        <w:rPr/>
      </w:pPr>
      <w:r>
        <w:rPr/>
      </w:r>
    </w:p>
    <w:p>
      <w:pPr>
        <w:pStyle w:val="BodyText"/>
        <w:bidi w:val="0"/>
        <w:jc w:val="left"/>
        <w:rPr/>
      </w:pPr>
      <w:r>
        <w:rPr/>
      </w:r>
    </w:p>
    <w:p>
      <w:pPr>
        <w:pStyle w:val="BodyText"/>
        <w:bidi w:val="0"/>
        <w:jc w:val="left"/>
        <w:rPr/>
      </w:pPr>
      <w:r>
        <w:rPr/>
      </w:r>
    </w:p>
    <w:p>
      <w:pPr>
        <w:pStyle w:val="Heading2"/>
        <w:bidi w:val="0"/>
        <w:jc w:val="left"/>
        <w:rPr/>
      </w:pPr>
      <w:r>
        <w:rPr/>
        <w:t>Data Preparation Summary</w:t>
      </w:r>
    </w:p>
    <w:p>
      <w:pPr>
        <w:pStyle w:val="BodyText"/>
        <w:bidi w:val="0"/>
        <w:jc w:val="left"/>
        <w:rPr/>
      </w:pPr>
      <w:r>
        <w:rPr/>
        <w:t xml:space="preserve">The raw application behaviour data was processed from text files containing feature identifiers and associated frequencies. Feature identifiers were mapped to human-readable names using the supplied </w:t>
      </w:r>
      <w:r>
        <w:rPr>
          <w:rStyle w:val="SourceText"/>
          <w:rFonts w:ascii="Liberation Serif" w:hAnsi="Liberation Serif"/>
        </w:rPr>
        <w:t>feature_name_to_number_mapping.csv</w:t>
      </w:r>
      <w:r>
        <w:rPr/>
        <w:t xml:space="preserve"> file. Invalid or unmapped features were removed during preprocessing. The dataset was transformed into a sparse feature matrix to efficiently represent the large number of possible application features while minimising memory usage.</w:t>
      </w:r>
    </w:p>
    <w:p>
      <w:pPr>
        <w:pStyle w:val="BodyText"/>
        <w:bidi w:val="0"/>
        <w:jc w:val="left"/>
        <w:rPr/>
      </w:pPr>
      <w:r>
        <w:rPr/>
        <w:t>Additional engineered features were created to capture higher-level behavioural characteristics of each application. These included metrics such as total feature count, total feature frequency, maximum feature frequency, mean feature frequency, feature density, suspicious feature count, feature variance, and feature entropy. Aggregate counts of feature types and feature subtypes were also generated. Missing engineered values were replaced with zero prior to model training.</w:t>
      </w:r>
    </w:p>
    <w:p>
      <w:pPr>
        <w:pStyle w:val="Heading2"/>
        <w:bidi w:val="0"/>
        <w:jc w:val="left"/>
        <w:rPr/>
      </w:pPr>
      <w:r>
        <w:rPr/>
      </w:r>
    </w:p>
    <w:p>
      <w:pPr>
        <w:pStyle w:val="BodyText"/>
        <w:bidi w:val="0"/>
        <w:jc w:val="left"/>
        <w:rPr/>
      </w:pPr>
      <w:r>
        <w:rPr/>
      </w:r>
    </w:p>
    <w:p>
      <w:pPr>
        <w:pStyle w:val="BodyText"/>
        <w:bidi w:val="0"/>
        <w:jc w:val="left"/>
        <w:rPr/>
      </w:pPr>
      <w:r>
        <w:rPr/>
      </w:r>
    </w:p>
    <w:p>
      <w:pPr>
        <w:pStyle w:val="Heading2"/>
        <w:bidi w:val="0"/>
        <w:jc w:val="left"/>
        <w:rPr/>
      </w:pPr>
      <w:r>
        <w:rPr/>
      </w:r>
    </w:p>
    <w:p>
      <w:pPr>
        <w:pStyle w:val="Heading2"/>
        <w:bidi w:val="0"/>
        <w:jc w:val="left"/>
        <w:rPr/>
      </w:pPr>
      <w:r>
        <w:rPr/>
      </w:r>
    </w:p>
    <w:p>
      <w:pPr>
        <w:pStyle w:val="Heading2"/>
        <w:bidi w:val="0"/>
        <w:jc w:val="left"/>
        <w:rPr/>
      </w:pPr>
      <w:r>
        <w:rPr/>
        <w:t>Model Summary</w:t>
      </w:r>
    </w:p>
    <w:p>
      <w:pPr>
        <w:pStyle w:val="BodyText"/>
        <w:bidi w:val="0"/>
        <w:jc w:val="left"/>
        <w:rPr/>
      </w:pPr>
      <w:r>
        <w:rPr/>
        <w:t>An XGBoost Gradient Boosted Decision Tree classifier was selected due to its strong performance on structured and sparse data, ability to model complex feature interactions, and built-in handling of missing values. The final feature set consisted of the original sparse behavioural features extracted from application activity combined with the engineered statistical and categorical summary features. Hyperparameter optimisation was performed using Hyperopt with the Tree-structured Parzen Estimator (TPE) search algorithm to identify effective model configurations.</w:t>
      </w:r>
    </w:p>
    <w:p>
      <w:pPr>
        <w:pStyle w:val="BodyText"/>
        <w:bidi w:val="0"/>
        <w:jc w:val="left"/>
        <w:rPr/>
      </w:pPr>
      <w:r>
        <w:rPr/>
        <w:t>The dataset containing 107,856 application samples was divided using a stratified split into training (60%), validation (20%), and test (20%) datasets to preserve the original class distribution. Model performance was evaluated using Precision, Recall, F1-Score, and Accuracy. The final model achieved the project requirement of at least 90% Precision and Recall on the validation dataset while maintaining strong overall classification performance. Feature importance analysis showed that a combination of API call behaviours, DLL imports, registry operations, file-system interactions, and engineered behavioural summary features contributed most strongly to risk classification decisions.</w:t>
      </w:r>
    </w:p>
    <w:p>
      <w:pPr>
        <w:pStyle w:val="Normal"/>
        <w:bidi w:val="0"/>
        <w:jc w:val="left"/>
        <w:rPr/>
      </w:pPr>
      <w:r>
        <w:rPr/>
      </w:r>
    </w:p>
    <w:tbl>
      <w:tblPr>
        <w:tblW w:w="8190" w:type="dxa"/>
        <w:jc w:val="left"/>
        <w:tblInd w:w="694" w:type="dxa"/>
        <w:tblLayout w:type="fixed"/>
        <w:tblCellMar>
          <w:top w:w="28" w:type="dxa"/>
          <w:left w:w="28" w:type="dxa"/>
          <w:bottom w:w="28" w:type="dxa"/>
          <w:right w:w="28" w:type="dxa"/>
        </w:tblCellMar>
      </w:tblPr>
      <w:tblGrid>
        <w:gridCol w:w="3150"/>
        <w:gridCol w:w="5040"/>
      </w:tblGrid>
      <w:tr>
        <w:trPr>
          <w:tblHeader w:val="true"/>
        </w:trPr>
        <w:tc>
          <w:tcPr>
            <w:tcW w:w="3150" w:type="dxa"/>
            <w:tcBorders/>
            <w:vAlign w:val="center"/>
          </w:tcPr>
          <w:p>
            <w:pPr>
              <w:pStyle w:val="TableHeading"/>
              <w:suppressLineNumbers/>
              <w:bidi w:val="0"/>
              <w:jc w:val="center"/>
              <w:rPr/>
            </w:pPr>
            <w:r>
              <w:rPr/>
              <w:t>Metric</w:t>
            </w:r>
          </w:p>
        </w:tc>
        <w:tc>
          <w:tcPr>
            <w:tcW w:w="5040" w:type="dxa"/>
            <w:tcBorders/>
            <w:vAlign w:val="center"/>
          </w:tcPr>
          <w:p>
            <w:pPr>
              <w:pStyle w:val="TableHeading"/>
              <w:suppressLineNumbers/>
              <w:bidi w:val="0"/>
              <w:jc w:val="center"/>
              <w:rPr/>
            </w:pPr>
            <w:r>
              <w:rPr/>
              <w:t>Score</w:t>
            </w:r>
          </w:p>
        </w:tc>
      </w:tr>
      <w:tr>
        <w:trPr>
          <w:trHeight w:val="268" w:hRule="atLeast"/>
        </w:trPr>
        <w:tc>
          <w:tcPr>
            <w:tcW w:w="3150" w:type="dxa"/>
            <w:tcBorders/>
            <w:vAlign w:val="center"/>
          </w:tcPr>
          <w:p>
            <w:pPr>
              <w:pStyle w:val="TableContents"/>
              <w:bidi w:val="0"/>
              <w:jc w:val="center"/>
              <w:rPr/>
            </w:pPr>
            <w:r>
              <w:rPr/>
              <w:t>Accuracy</w:t>
            </w:r>
          </w:p>
        </w:tc>
        <w:tc>
          <w:tcPr>
            <w:tcW w:w="5040" w:type="dxa"/>
            <w:tcBorders/>
            <w:vAlign w:val="center"/>
          </w:tcPr>
          <w:p>
            <w:pPr>
              <w:pStyle w:val="TableContents"/>
              <w:widowControl w:val="false"/>
              <w:suppressLineNumbers/>
              <w:bidi w:val="0"/>
              <w:jc w:val="left"/>
              <w:rPr/>
            </w:pPr>
            <w:r>
              <w:rPr/>
              <w:t>91.72074911922863 %</w:t>
            </w:r>
          </w:p>
        </w:tc>
      </w:tr>
      <w:tr>
        <w:trPr/>
        <w:tc>
          <w:tcPr>
            <w:tcW w:w="3150" w:type="dxa"/>
            <w:tcBorders/>
            <w:vAlign w:val="center"/>
          </w:tcPr>
          <w:p>
            <w:pPr>
              <w:pStyle w:val="TableContents"/>
              <w:bidi w:val="0"/>
              <w:jc w:val="center"/>
              <w:rPr/>
            </w:pPr>
            <w:r>
              <w:rPr/>
              <w:t>Precision</w:t>
            </w:r>
          </w:p>
        </w:tc>
        <w:tc>
          <w:tcPr>
            <w:tcW w:w="5040" w:type="dxa"/>
            <w:tcBorders/>
            <w:vAlign w:val="center"/>
          </w:tcPr>
          <w:p>
            <w:pPr>
              <w:pStyle w:val="TableContents"/>
              <w:widowControl w:val="false"/>
              <w:suppressLineNumbers/>
              <w:bidi w:val="0"/>
              <w:jc w:val="left"/>
              <w:rPr/>
            </w:pPr>
            <w:r>
              <w:rPr/>
              <w:t>91.83268813143235 %</w:t>
            </w:r>
          </w:p>
        </w:tc>
      </w:tr>
      <w:tr>
        <w:trPr/>
        <w:tc>
          <w:tcPr>
            <w:tcW w:w="3150" w:type="dxa"/>
            <w:tcBorders/>
            <w:vAlign w:val="center"/>
          </w:tcPr>
          <w:p>
            <w:pPr>
              <w:pStyle w:val="TableContents"/>
              <w:bidi w:val="0"/>
              <w:jc w:val="center"/>
              <w:rPr/>
            </w:pPr>
            <w:r>
              <w:rPr/>
              <w:t>Recall</w:t>
            </w:r>
          </w:p>
        </w:tc>
        <w:tc>
          <w:tcPr>
            <w:tcW w:w="5040" w:type="dxa"/>
            <w:tcBorders/>
            <w:vAlign w:val="center"/>
          </w:tcPr>
          <w:p>
            <w:pPr>
              <w:pStyle w:val="TableContents"/>
              <w:widowControl w:val="false"/>
              <w:suppressLineNumbers/>
              <w:bidi w:val="0"/>
              <w:jc w:val="left"/>
              <w:rPr/>
            </w:pPr>
            <w:r>
              <w:rPr/>
              <w:t>99.71293828173057 %</w:t>
            </w:r>
          </w:p>
        </w:tc>
      </w:tr>
      <w:tr>
        <w:trPr/>
        <w:tc>
          <w:tcPr>
            <w:tcW w:w="3150" w:type="dxa"/>
            <w:tcBorders/>
            <w:vAlign w:val="center"/>
          </w:tcPr>
          <w:p>
            <w:pPr>
              <w:pStyle w:val="TableContents"/>
              <w:bidi w:val="0"/>
              <w:jc w:val="center"/>
              <w:rPr/>
            </w:pPr>
            <w:r>
              <w:rPr/>
              <w:t>F1-Score</w:t>
            </w:r>
          </w:p>
        </w:tc>
        <w:tc>
          <w:tcPr>
            <w:tcW w:w="5040" w:type="dxa"/>
            <w:tcBorders/>
            <w:vAlign w:val="center"/>
          </w:tcPr>
          <w:p>
            <w:pPr>
              <w:pStyle w:val="TableContents"/>
              <w:widowControl w:val="false"/>
              <w:suppressLineNumbers/>
              <w:bidi w:val="0"/>
              <w:jc w:val="left"/>
              <w:rPr/>
            </w:pPr>
            <w:r>
              <w:rPr/>
              <w:t>96.</w:t>
            </w:r>
            <w:r>
              <w:rPr/>
              <w:t xml:space="preserve">00 </w:t>
            </w:r>
            <w:r>
              <w:rPr/>
              <w:t>%</w:t>
            </w:r>
          </w:p>
        </w:tc>
      </w:tr>
    </w:tbl>
    <w:p>
      <w:pPr>
        <w:pStyle w:val="Normal"/>
        <w:bidi w:val="0"/>
        <w:jc w:val="left"/>
        <w:rPr/>
      </w:pPr>
      <w:r>
        <w:rPr/>
      </w:r>
    </w:p>
    <w:p>
      <w:pPr>
        <w:pStyle w:val="Normal"/>
        <w:bidi w:val="0"/>
        <w:jc w:val="left"/>
        <w:rPr/>
      </w:pPr>
      <w:r>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Feature Importance Plot</w:t>
      </w:r>
    </w:p>
    <w:p>
      <w:pPr>
        <w:pStyle w:val="Normal"/>
        <w:bidi w:val="0"/>
        <w:jc w:val="left"/>
        <w:rPr>
          <w:b/>
          <w:bCs/>
        </w:rPr>
      </w:pPr>
      <w:r>
        <w:rPr>
          <w:b/>
          <w:bCs/>
        </w:rPr>
      </w:r>
    </w:p>
    <w:p>
      <w:pPr>
        <w:pStyle w:val="Normal"/>
        <w:bidi w:val="0"/>
        <w:jc w:val="left"/>
        <w:rPr>
          <w:b/>
          <w:bCs/>
        </w:rPr>
      </w:pPr>
      <w:r>
        <w:rPr>
          <w:b/>
          <w:bCs/>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40798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4079875"/>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Liberation Serif">
    <w:altName w:val="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LibreOffice/26.2.3.2$Windows_X86_64 LibreOffice_project/70e089b17412e4cb7773e41413306b17a2328c34</Application>
  <AppVersion>15.0000</AppVersion>
  <Pages>3</Pages>
  <Words>419</Words>
  <Characters>2723</Characters>
  <CharactersWithSpaces>3122</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2026-06-01T14:32:13Z</dcterms:created>
  <dc:creator/>
  <dc:description/>
  <dc:language>en-GB</dc:language>
  <cp:lastModifiedBy/>
  <dcterms:modified xsi:type="dcterms:W3CDTF">2026-06-01T14:49:20Z</dcterms:modified>
  <cp:revision>1</cp:revision>
  <dc:subject/>
  <dc:title/>
</cp:coreProperties>
</file>