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Brand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Porsche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Founding Year: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1931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Founder: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Dr. Ferdinand Porsche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Headquarters: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Stuttgart, Germany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Specialization: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Luxury sports cars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High-performance vehicles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SUVs and sedans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Iconic Model: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Porsche 911: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The legendary 911 is synonymous with precision, power, and driving pleasure. Its distinctive design and rear-engine layout make it instantly recognizable.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Distinctive 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Street Entertainment: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Porsches are thrilling on the road, combining performance with everyday comfort.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Track Capable: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While they excel on the track, they're equally at home during daily drives.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Ownership: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Porsche is owned by the Volkswagen Group.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Dr. Ferdinand Porsche initially contributed to the development of the Volkswagen Beetle.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Explore More: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Visit the 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0563C1"/>
            <w:spacing w:val="0"/>
            <w:position w:val="0"/>
            <w:sz w:val="26"/>
            <w:u w:val="single"/>
            <w:shd w:fill="auto" w:val="clear"/>
          </w:rPr>
          <w:t xml:space="preserve">official Porsche website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for detailed information on models, dealers, and more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Wikipedia also provides insights into Porsche's history and offerings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orsche.com/usa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porsche.com/usa/" Id="docRId0" Type="http://schemas.openxmlformats.org/officeDocument/2006/relationships/hyperlink" /><Relationship TargetMode="External" Target="https://www.gearpatrol.com/cars/a580749/porsche-models/" Id="docRId2" Type="http://schemas.openxmlformats.org/officeDocument/2006/relationships/hyperlink" /><Relationship Target="styles.xml" Id="docRId4" Type="http://schemas.openxmlformats.org/officeDocument/2006/relationships/styles" /></Relationships>
</file>