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1991 Porsche 911 Carrera Targa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Only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3,944 Targa models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were produced worldwide.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Vin: WP0BB2962MS44.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Price: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$87,000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2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259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2001 Porsche 911 Carrera Cabriolet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Powered by a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3.4L Flat 6-cylinder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engine.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Mileage: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78,473 original miles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Price: Available for auction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3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259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1995 Porsche 911 Carrera Cabriolet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Vin: WP0CA2990SS341784.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Mileage: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52,924 miles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Transmission: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6-speed manual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Price: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$65,000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259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2008 Porsche 911S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Finished in timeless black on black.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Powered by a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3.8L 6-cylinder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engine.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Transmission: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6-speed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Price: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$41,900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259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1989 Porsche 911 Carrera Special Edition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Silver Anniversary Package.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Celebrating the 25th anniversary of Porsche.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Price: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$77,840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259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1977 Porsche 911 Turbo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No rust, runs well.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Fuel distributor rebuilt, engine resealed.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Price: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$157,995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259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1994 Porsche 911 Carrera 2 Cabriolet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Completed in September 1993.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One of the classic 911s.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Price: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$79,950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These classic Porsches continue to evoke excitement and admiration among collectors and enthusiasts alike!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🚗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✨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lassics.autotrader.com/classic-cars-for-sale/porsche-911-for-sale" Id="docRId0" Type="http://schemas.openxmlformats.org/officeDocument/2006/relationships/hyperlink" /><Relationship TargetMode="External" Target="https://classiccars.com/listings/find/all-years/porsche/91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