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72"/>
          <w:szCs w:val="72"/>
        </w:rPr>
        <w:t xml:space="preserve">SMIB</w:t>
      </w:r>
    </w:p>
    <w:p>
      <w:pPr>
        <w:spacing w:after="300"/>
        <w:jc w:val="center"/>
      </w:pPr>
      <w:r>
        <w:rPr>
          <w:rFonts w:ascii="Arial" w:cs="Arial" w:eastAsia="Arial" w:hAnsi="Arial"/>
          <w:i/>
          <w:iCs/>
          <w:sz w:val="32"/>
          <w:szCs w:val="32"/>
        </w:rPr>
        <w:t xml:space="preserve">A transparent RMS/phasor-domain simulator, built to teach</w:t>
      </w:r>
    </w:p>
    <w:p>
      <w:pPr>
        <w:spacing w:after="200"/>
        <w:jc w:val="center"/>
      </w:pPr>
      <w:r>
        <w:rPr>
          <w:rFonts w:ascii="Arial" w:cs="Arial" w:eastAsia="Arial" w:hAnsi="Arial"/>
          <w:sz w:val="24"/>
          <w:szCs w:val="24"/>
        </w:rPr>
        <w:t xml:space="preserve">Master plan document</w:t>
      </w:r>
    </w:p>
    <w:p>
      <w:pPr>
        <w:jc w:val="center"/>
      </w:pPr>
      <w:r>
        <w:rPr>
          <w:rFonts w:ascii="Arial" w:cs="Arial" w:eastAsia="Arial" w:hAnsi="Arial"/>
          <w:i/>
          <w:iCs/>
          <w:sz w:val="22"/>
          <w:szCs w:val="22"/>
        </w:rPr>
        <w:t xml:space="preserve">Sameer — v0.1</w:t>
      </w:r>
    </w:p>
    <w:p>
      <w:r>
        <w:br w:type="page"/>
      </w:r>
    </w:p>
    <w:p>
      <w:pPr>
        <w:pStyle w:val="Heading1"/>
        <w:spacing w:after="160" w:before="280"/>
      </w:pPr>
      <w:r>
        <w:rPr>
          <w:rFonts w:ascii="Arial" w:cs="Arial" w:eastAsia="Arial" w:hAnsi="Arial"/>
          <w:b/>
          <w:bCs/>
          <w:sz w:val="32"/>
          <w:szCs w:val="32"/>
        </w:rPr>
        <w:t xml:space="preserve">1. Goals and non-goals</w:t>
      </w:r>
    </w:p>
    <w:p>
      <w:pPr>
        <w:spacing w:after="120"/>
      </w:pPr>
      <w:r>
        <w:rPr>
          <w:rFonts w:ascii="Arial" w:cs="Arial" w:eastAsia="Arial" w:hAnsi="Arial"/>
          <w:b w:val="false"/>
          <w:bCs w:val="false"/>
          <w:i w:val="false"/>
          <w:iCs w:val="false"/>
          <w:sz w:val="22"/>
          <w:szCs w:val="22"/>
        </w:rPr>
        <w:t xml:space="preserve">The goal is a small, readable, numerically correct RMS simulator for a Single-Machine Infinite-Bus (SMIB) setup, built up one model at a time. The primary success metric is pedagogical clarity with correctness as a hard floor — colleagues should be able to read the code and see exactly where the swing equation, the AVR transfer function, the PSS washout, or the inverter current limiter live. The secondary bet is whether this transparent stack, authored alongside an LLM, can match PSS/E on a curated SMIB benchmark to within a defined tolerance. That second goal is framed as a benchmark, not a replacement ambition.</w:t>
      </w:r>
    </w:p>
    <w:p>
      <w:pPr>
        <w:spacing w:after="120"/>
      </w:pPr>
      <w:r>
        <w:rPr>
          <w:rFonts w:ascii="Arial" w:cs="Arial" w:eastAsia="Arial" w:hAnsi="Arial"/>
          <w:b w:val="false"/>
          <w:bCs w:val="false"/>
          <w:i w:val="false"/>
          <w:iCs w:val="false"/>
          <w:sz w:val="22"/>
          <w:szCs w:val="22"/>
        </w:rPr>
        <w:t xml:space="preserve">Explicit non-goals: we are not building a general N-bus simulator, not claiming PSS/E replacement in general, and not delivering a block-diagram GUI. Those are possible follow-ons but not on the critical path.</w:t>
      </w:r>
    </w:p>
    <w:p>
      <w:pPr>
        <w:spacing w:after="120"/>
      </w:pPr>
      <w:r>
        <w:rPr>
          <w:rFonts w:ascii="Arial" w:cs="Arial" w:eastAsia="Arial" w:hAnsi="Arial"/>
          <w:b w:val="false"/>
          <w:bCs w:val="false"/>
          <w:i w:val="false"/>
          <w:iCs w:val="false"/>
          <w:sz w:val="22"/>
          <w:szCs w:val="22"/>
        </w:rPr>
        <w:t xml:space="preserve">The educational scope covers the three fundamental classes of power system stability (transient, voltage, small-signal/oscillatory), the swing equation, the constant flux linkage theorem, AVR and PSS damping, governor droop and frequency response, PLL dynamics, inverter current limiting strategies, and how SVCs, STATCOMs and synchronous condensers differ in their reactive support behaviour. Every one of these concepts has a specific phase in which it is taught, and a specific test that demonstrates it.</w:t>
      </w:r>
    </w:p>
    <w:p>
      <w:pPr>
        <w:pStyle w:val="Heading1"/>
        <w:spacing w:after="160" w:before="280"/>
      </w:pPr>
      <w:r>
        <w:rPr>
          <w:rFonts w:ascii="Arial" w:cs="Arial" w:eastAsia="Arial" w:hAnsi="Arial"/>
          <w:b/>
          <w:bCs/>
          <w:sz w:val="32"/>
          <w:szCs w:val="32"/>
        </w:rPr>
        <w:t xml:space="preserve">2. Architectural decisions (software, kept short)</w:t>
      </w:r>
    </w:p>
    <w:p>
      <w:pPr>
        <w:spacing w:after="120"/>
      </w:pPr>
      <w:r>
        <w:rPr>
          <w:rFonts w:ascii="Arial" w:cs="Arial" w:eastAsia="Arial" w:hAnsi="Arial"/>
          <w:b w:val="false"/>
          <w:bCs w:val="false"/>
          <w:i w:val="false"/>
          <w:iCs w:val="false"/>
          <w:sz w:val="22"/>
          <w:szCs w:val="22"/>
        </w:rPr>
        <w:t xml:space="preserve">All of the following are chosen for clarity; a few are chosen because correctness demands it. They are deliberately lightweight — no dependency injection, no plugin system, no configuration DSL.</w:t>
      </w:r>
    </w:p>
    <w:p>
      <w:pPr>
        <w:pStyle w:val="ListParagraph"/>
        <w:numPr>
          <w:ilvl w:val="0"/>
          <w:numId w:val="2"/>
        </w:numPr>
        <w:spacing w:after="80"/>
      </w:pPr>
      <w:r>
        <w:rPr>
          <w:rFonts w:ascii="Arial" w:cs="Arial" w:eastAsia="Arial" w:hAnsi="Arial"/>
          <w:sz w:val="22"/>
          <w:szCs w:val="22"/>
        </w:rPr>
        <w:t xml:space="preserve">Language and stack: Python 3.10+, NumPy for arrays, Plotly for all in-notebook plots, ipywidgets for sliders. No heavy framework, no separate web server.</w:t>
      </w:r>
    </w:p>
    <w:p>
      <w:pPr>
        <w:pStyle w:val="ListParagraph"/>
        <w:numPr>
          <w:ilvl w:val="0"/>
          <w:numId w:val="2"/>
        </w:numPr>
        <w:spacing w:after="80"/>
      </w:pPr>
      <w:r>
        <w:rPr>
          <w:rFonts w:ascii="Arial" w:cs="Arial" w:eastAsia="Arial" w:hAnsi="Arial"/>
          <w:sz w:val="22"/>
          <w:szCs w:val="22"/>
        </w:rPr>
        <w:t xml:space="preserve">Frontend strategy (locked in): one Jupyter notebook per phase, with embedded ipywidgets sliders driving Plotly figures via the smib.plotting.scenario_slider helper. The notebook is the dashboard. A Streamlit/Dash wrapper is a possible Tier-1 add-on after Phase 5 once the parameter surface is fully known; we will not build it earlier because doing so before the model library exists is the classic over-engineering trap.</w:t>
      </w:r>
    </w:p>
    <w:p>
      <w:pPr>
        <w:pStyle w:val="ListParagraph"/>
        <w:numPr>
          <w:ilvl w:val="0"/>
          <w:numId w:val="2"/>
        </w:numPr>
        <w:spacing w:after="80"/>
      </w:pPr>
      <w:r>
        <w:rPr>
          <w:rFonts w:ascii="Arial" w:cs="Arial" w:eastAsia="Arial" w:hAnsi="Arial"/>
          <w:sz w:val="22"/>
          <w:szCs w:val="22"/>
        </w:rPr>
        <w:t xml:space="preserve">Integrator: implicit trapezoidal with fixed-point corrector and fixed step size. Chosen because (a) it is A-stable for stiff machine+AVR systems, (b) it is what PSS/E uses, so when results disagree we know it is the model, not the integrator.</w:t>
      </w:r>
    </w:p>
    <w:p>
      <w:pPr>
        <w:pStyle w:val="ListParagraph"/>
        <w:numPr>
          <w:ilvl w:val="0"/>
          <w:numId w:val="2"/>
        </w:numPr>
        <w:spacing w:after="80"/>
      </w:pPr>
      <w:r>
        <w:rPr>
          <w:rFonts w:ascii="Arial" w:cs="Arial" w:eastAsia="Arial" w:hAnsi="Arial"/>
          <w:sz w:val="22"/>
          <w:szCs w:val="22"/>
        </w:rPr>
        <w:t xml:space="preserve">Network coupling: partitioned scheme. Machine differential equations live in each rotor's rotating dq frame; the algebraic network V = Y·I lives in the stationary system synchronous DQ frame. A rotation operator X_machine = X_global · exp(-j·delta) bridges the two each timestep. For linear machine models the Norton-augmented Ybus closes the algebraic loop in one matrix solve per step (no inner iteration). Simultaneous Newton is the upgrade path for non-linear loops (IBR current limits, AVR ceiling on long faults) and lands when needed in Phase 3 or later.</w:t>
      </w:r>
    </w:p>
    <w:p>
      <w:pPr>
        <w:pStyle w:val="ListParagraph"/>
        <w:numPr>
          <w:ilvl w:val="0"/>
          <w:numId w:val="2"/>
        </w:numPr>
        <w:spacing w:after="80"/>
      </w:pPr>
      <w:r>
        <w:rPr>
          <w:rFonts w:ascii="Arial" w:cs="Arial" w:eastAsia="Arial" w:hAnsi="Arial"/>
          <w:sz w:val="22"/>
          <w:szCs w:val="22"/>
        </w:rPr>
        <w:t xml:space="preserve">Reference frame: single global synchronous DQ for the network, one rotating dq frame per synchronous machine, one PLL frame per IBR. The rotation between frames is the single largest source of initialisation bugs in DIY simulators, so it has its own foundations document (docs/network_machine_interface.md) and test.</w:t>
      </w:r>
    </w:p>
    <w:p>
      <w:pPr>
        <w:pStyle w:val="ListParagraph"/>
        <w:numPr>
          <w:ilvl w:val="0"/>
          <w:numId w:val="2"/>
        </w:numPr>
        <w:spacing w:after="80"/>
      </w:pPr>
      <w:r>
        <w:rPr>
          <w:rFonts w:ascii="Arial" w:cs="Arial" w:eastAsia="Arial" w:hAnsi="Arial"/>
          <w:sz w:val="22"/>
          <w:szCs w:val="22"/>
        </w:rPr>
        <w:t xml:space="preserve">Two reference foundations documents in docs/: genrou_physical_foundations.md (what each parameter physically represents — Xd/X'd/X"d hierarchy, T'do/T"do as L/R of rotor windings, etc.) and network_machine_interface.md (how the simulator stitches per-machine dq dynamics to the network DQ algebraic solve, with Norton augmentation and rotation operators). Read these before any model-specific code.</w:t>
      </w:r>
    </w:p>
    <w:p>
      <w:pPr>
        <w:pStyle w:val="ListParagraph"/>
        <w:numPr>
          <w:ilvl w:val="0"/>
          <w:numId w:val="2"/>
        </w:numPr>
        <w:spacing w:after="80"/>
      </w:pPr>
      <w:r>
        <w:rPr>
          <w:rFonts w:ascii="Arial" w:cs="Arial" w:eastAsia="Arial" w:hAnsi="Arial"/>
          <w:sz w:val="22"/>
          <w:szCs w:val="22"/>
        </w:rPr>
        <w:t xml:space="preserve">State representation: named dict per model, flattened to a NumPy array only at the integrator boundary. A reader debugging the notebook sees genrou.state["Eqpp"], not x[14].</w:t>
      </w:r>
    </w:p>
    <w:p>
      <w:pPr>
        <w:pStyle w:val="ListParagraph"/>
        <w:numPr>
          <w:ilvl w:val="0"/>
          <w:numId w:val="2"/>
        </w:numPr>
        <w:spacing w:after="80"/>
      </w:pPr>
      <w:r>
        <w:rPr>
          <w:rFonts w:ascii="Arial" w:cs="Arial" w:eastAsia="Arial" w:hAnsi="Arial"/>
          <w:sz w:val="22"/>
          <w:szCs w:val="22"/>
        </w:rPr>
        <w:t xml:space="preserve">Model interface: four methods — initialise, derivatives, current_injection, algebraic_output. Every model in the library subclasses the same base and gets the same correctness-floor test battery.</w:t>
      </w:r>
    </w:p>
    <w:p>
      <w:pPr>
        <w:pStyle w:val="ListParagraph"/>
        <w:numPr>
          <w:ilvl w:val="0"/>
          <w:numId w:val="2"/>
        </w:numPr>
        <w:spacing w:after="80"/>
      </w:pPr>
      <w:r>
        <w:rPr>
          <w:rFonts w:ascii="Arial" w:cs="Arial" w:eastAsia="Arial" w:hAnsi="Arial"/>
          <w:sz w:val="22"/>
          <w:szCs w:val="22"/>
        </w:rPr>
        <w:t xml:space="preserve">Package layout is flat. One file per concern (powerflow, solver, network, scenarios, plotting) and one file per model. No subpackages beyond smib/models/.</w:t>
      </w:r>
    </w:p>
    <w:p>
      <w:pPr>
        <w:pStyle w:val="Heading1"/>
        <w:spacing w:after="160" w:before="280"/>
      </w:pPr>
      <w:r>
        <w:rPr>
          <w:rFonts w:ascii="Arial" w:cs="Arial" w:eastAsia="Arial" w:hAnsi="Arial"/>
          <w:b/>
          <w:bCs/>
          <w:sz w:val="32"/>
          <w:szCs w:val="32"/>
        </w:rPr>
        <w:t xml:space="preserve">3. Standard plots and the ride-through validation rule</w:t>
      </w:r>
    </w:p>
    <w:p>
      <w:pPr>
        <w:pStyle w:val="Heading3"/>
        <w:spacing w:after="100" w:before="200"/>
      </w:pPr>
      <w:r>
        <w:rPr>
          <w:rFonts w:ascii="Arial" w:cs="Arial" w:eastAsia="Arial" w:hAnsi="Arial"/>
          <w:b/>
          <w:bCs/>
          <w:sz w:val="24"/>
          <w:szCs w:val="24"/>
        </w:rPr>
        <w:t xml:space="preserve">3.1 The canonical five traces (always)</w:t>
      </w:r>
    </w:p>
    <w:p>
      <w:pPr>
        <w:spacing w:after="120"/>
      </w:pPr>
      <w:r>
        <w:rPr>
          <w:rFonts w:ascii="Arial" w:cs="Arial" w:eastAsia="Arial" w:hAnsi="Arial"/>
          <w:b w:val="false"/>
          <w:bCs w:val="false"/>
          <w:i w:val="false"/>
          <w:iCs w:val="false"/>
          <w:sz w:val="22"/>
          <w:szCs w:val="22"/>
        </w:rPr>
        <w:t xml:space="preserve">Every simulation in every phase plots the same five canonical traces, regardless of which technology is being assessed: active power P at the terminal (pu), reactive power Q at the terminal (pu), terminal voltage magnitude |V| (pu), current d-axis component Id (pu, in the device’s own dq frame), and current q-axis component Iq (pu, device dq frame). These five are the quantities every power-systems engineer reads first and they make results comparable across technologies. Technology-specific traces are added alongside as supplementary panels.</w:t>
      </w:r>
    </w:p>
    <w:p>
      <w:pPr>
        <w:pStyle w:val="Heading3"/>
        <w:spacing w:after="100" w:before="200"/>
      </w:pPr>
      <w:r>
        <w:rPr>
          <w:rFonts w:ascii="Arial" w:cs="Arial" w:eastAsia="Arial" w:hAnsi="Arial"/>
          <w:b/>
          <w:bCs/>
          <w:sz w:val="24"/>
          <w:szCs w:val="24"/>
        </w:rPr>
        <w:t xml:space="preserve">3.2 Technology-specific supplementary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68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Supplementary traces alongside the canonical five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GENCLS / GENROU + AVR + PSS + Governor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delta, omega, Efd, field current If, Pm, flux linkages E′q / E′d / psi″d / psi″q</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Grid-following IBR (REGC + REEC + REPC)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PLL angle error, Iqinj command, LVPL output, ride-through flag, current-limit flag, Pqflag state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Grid-forming IBR (REGFM)</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Internal EMF magnitude and angle, internal frequency from P-f droop, Qref tracking error, current-limit activation flag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SVC (SVSMO3)</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Susceptance B, slope-characteristic operating point, thyristor firing angle if modelled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STATCOM (CSTATT)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Iq command vs delivered Iq, saturation flag, DC-link voltage if modelled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Synchronous condenser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Efd, field current vs OEL thermal integrator, OEL/UEL/SCL active flags</w:t>
            </w:r>
          </w:p>
        </w:tc>
      </w:tr>
    </w:tbl>
    <w:p>
      <w:pPr>
        <w:pStyle w:val="Heading3"/>
        <w:spacing w:after="100" w:before="200"/>
      </w:pPr>
      <w:r>
        <w:rPr>
          <w:rFonts w:ascii="Arial" w:cs="Arial" w:eastAsia="Arial" w:hAnsi="Arial"/>
          <w:b/>
          <w:bCs/>
          <w:sz w:val="24"/>
          <w:szCs w:val="24"/>
        </w:rPr>
        <w:t xml:space="preserve">3.3 The undervoltage validation rule (non-negotiable)</w:t>
      </w:r>
    </w:p>
    <w:p>
      <w:pPr>
        <w:spacing w:after="120"/>
      </w:pPr>
      <w:r>
        <w:rPr>
          <w:rFonts w:ascii="Arial" w:cs="Arial" w:eastAsia="Arial" w:hAnsi="Arial"/>
          <w:b w:val="false"/>
          <w:bCs w:val="false"/>
          <w:i w:val="false"/>
          <w:iCs w:val="false"/>
          <w:sz w:val="22"/>
          <w:szCs w:val="22"/>
        </w:rPr>
        <w:t xml:space="preserve">For any undervoltage event — a voltage step on the infinite bus, a fault clearing into depressed voltage, or any other scenario sustaining |V| below nominal — Q and Iq must be increasing in the direction that injects more reactive power into the grid during the LV window. If Q or Iq moves the other way, something is wrong and the scenario cannot be trusted. This rule is a more sensitive canary than the flat-line test: it catches sign errors, reference-frame mismatches, flag inversion bugs, and anti-windup failures on the current limit, all of which can look acceptable on a cursory plot.</w:t>
      </w:r>
    </w:p>
    <w:p>
      <w:pPr>
        <w:spacing w:after="120"/>
      </w:pPr>
      <w:r>
        <w:rPr>
          <w:rFonts w:ascii="Arial" w:cs="Arial" w:eastAsia="Arial" w:hAnsi="Arial"/>
          <w:b w:val="false"/>
          <w:bCs w:val="false"/>
          <w:i w:val="false"/>
          <w:iCs w:val="false"/>
          <w:sz w:val="22"/>
          <w:szCs w:val="22"/>
        </w:rPr>
        <w:t xml:space="preserve">How each technology is expected to produce the required Q and Iq rise:</w:t>
      </w:r>
    </w:p>
    <w:p>
      <w:pPr>
        <w:pStyle w:val="ListParagraph"/>
        <w:numPr>
          <w:ilvl w:val="0"/>
          <w:numId w:val="2"/>
        </w:numPr>
        <w:spacing w:after="80"/>
      </w:pPr>
      <w:r>
        <w:rPr>
          <w:rFonts w:ascii="Arial" w:cs="Arial" w:eastAsia="Arial" w:hAnsi="Arial"/>
          <w:sz w:val="22"/>
          <w:szCs w:val="22"/>
        </w:rPr>
        <w:t xml:space="preserve">Synchronous machine — the AVR drives Efd upward toward its ceiling, pulling Eq up, which raises Q injection until the OEL eventually takes over. If Q does not rise, check AVR sign, Vref, and ceiling parameters.</w:t>
      </w:r>
    </w:p>
    <w:p>
      <w:pPr>
        <w:pStyle w:val="ListParagraph"/>
        <w:numPr>
          <w:ilvl w:val="0"/>
          <w:numId w:val="2"/>
        </w:numPr>
        <w:spacing w:after="80"/>
      </w:pPr>
      <w:r>
        <w:rPr>
          <w:rFonts w:ascii="Arial" w:cs="Arial" w:eastAsia="Arial" w:hAnsi="Arial"/>
          <w:sz w:val="22"/>
          <w:szCs w:val="22"/>
        </w:rPr>
        <w:t xml:space="preserve">Grid-following inverter — the LVRT logic activates and Iqinj is commanded. If Q does not rise, check the LV entry threshold, the flag hysteresis, and (for P-priority strategies) whether the current limiter has starved Iq in favour of Ip.</w:t>
      </w:r>
    </w:p>
    <w:p>
      <w:pPr>
        <w:pStyle w:val="ListParagraph"/>
        <w:numPr>
          <w:ilvl w:val="0"/>
          <w:numId w:val="2"/>
        </w:numPr>
        <w:spacing w:after="80"/>
      </w:pPr>
      <w:r>
        <w:rPr>
          <w:rFonts w:ascii="Arial" w:cs="Arial" w:eastAsia="Arial" w:hAnsi="Arial"/>
          <w:sz w:val="22"/>
          <w:szCs w:val="22"/>
        </w:rPr>
        <w:t xml:space="preserve">Grid-forming inverter — the Q-V droop responds to the depression and the voltage setpoint is held, pushing more Q through the internal impedance. If Q does not rise, Qref or droop gain is wrong, or the current limit has already pinned.</w:t>
      </w:r>
    </w:p>
    <w:p>
      <w:pPr>
        <w:pStyle w:val="ListParagraph"/>
        <w:numPr>
          <w:ilvl w:val="0"/>
          <w:numId w:val="2"/>
        </w:numPr>
        <w:spacing w:after="80"/>
      </w:pPr>
      <w:r>
        <w:rPr>
          <w:rFonts w:ascii="Arial" w:cs="Arial" w:eastAsia="Arial" w:hAnsi="Arial"/>
          <w:sz w:val="22"/>
          <w:szCs w:val="22"/>
        </w:rPr>
        <w:t xml:space="preserve">SVC — Q rises with the droop but is capped by Q = V² · B; expect a smaller rise than a STATCOM on the same disturbance. If Q is not rising at all, the susceptance is saturated at Bmin or the slope is inverted.</w:t>
      </w:r>
    </w:p>
    <w:p>
      <w:pPr>
        <w:pStyle w:val="ListParagraph"/>
        <w:numPr>
          <w:ilvl w:val="0"/>
          <w:numId w:val="2"/>
        </w:numPr>
        <w:spacing w:after="80"/>
      </w:pPr>
      <w:r>
        <w:rPr>
          <w:rFonts w:ascii="Arial" w:cs="Arial" w:eastAsia="Arial" w:hAnsi="Arial"/>
          <w:sz w:val="22"/>
          <w:szCs w:val="22"/>
        </w:rPr>
        <w:t xml:space="preserve">STATCOM — Q rises roughly linearly in V because the capability is constant current; the rise should be sharper than an SVC on the same event. If not, the Iq command has hit Imax.</w:t>
      </w:r>
    </w:p>
    <w:p>
      <w:pPr>
        <w:pStyle w:val="ListParagraph"/>
        <w:numPr>
          <w:ilvl w:val="0"/>
          <w:numId w:val="2"/>
        </w:numPr>
        <w:spacing w:after="80"/>
      </w:pPr>
      <w:r>
        <w:rPr>
          <w:rFonts w:ascii="Arial" w:cs="Arial" w:eastAsia="Arial" w:hAnsi="Arial"/>
          <w:sz w:val="22"/>
          <w:szCs w:val="22"/>
        </w:rPr>
        <w:t xml:space="preserve">Synchronous condenser — AVR action pushes Q up until the OEL takeover clamps it. Plot the OEL thermal integrator to see the takeover moment.</w:t>
      </w:r>
    </w:p>
    <w:p>
      <w:pPr>
        <w:pStyle w:val="Heading3"/>
        <w:spacing w:after="100" w:before="200"/>
      </w:pPr>
      <w:r>
        <w:rPr>
          <w:rFonts w:ascii="Arial" w:cs="Arial" w:eastAsia="Arial" w:hAnsi="Arial"/>
          <w:b/>
          <w:bCs/>
          <w:sz w:val="24"/>
          <w:szCs w:val="24"/>
        </w:rPr>
        <w:t xml:space="preserve">3.4 Overvoltage (the mirror rule)</w:t>
      </w:r>
    </w:p>
    <w:p>
      <w:pPr>
        <w:spacing w:after="120"/>
      </w:pPr>
      <w:r>
        <w:rPr>
          <w:rFonts w:ascii="Arial" w:cs="Arial" w:eastAsia="Arial" w:hAnsi="Arial"/>
          <w:b w:val="false"/>
          <w:bCs w:val="false"/>
          <w:i w:val="false"/>
          <w:iCs w:val="false"/>
          <w:sz w:val="22"/>
          <w:szCs w:val="22"/>
        </w:rPr>
        <w:t xml:space="preserve">For an overvoltage event, Q and Iq must be decreasing — the device should be absorbing reactive. For grid-following IBRs in HVRT this means Iqinj flips sign into absorb mode. The same failure modes apply in reverse: if Q does not fall (or rises further) during an HV event, the model is wrong.</w:t>
      </w:r>
    </w:p>
    <w:p>
      <w:pPr>
        <w:pStyle w:val="Heading3"/>
        <w:spacing w:after="100" w:before="200"/>
      </w:pPr>
      <w:r>
        <w:rPr>
          <w:rFonts w:ascii="Arial" w:cs="Arial" w:eastAsia="Arial" w:hAnsi="Arial"/>
          <w:b/>
          <w:bCs/>
          <w:sz w:val="24"/>
          <w:szCs w:val="24"/>
        </w:rPr>
        <w:t xml:space="preserve">3.5 Implementation</w:t>
      </w:r>
    </w:p>
    <w:p>
      <w:pPr>
        <w:spacing w:after="120"/>
      </w:pPr>
      <w:r>
        <w:rPr>
          <w:rFonts w:ascii="Arial" w:cs="Arial" w:eastAsia="Arial" w:hAnsi="Arial"/>
          <w:b w:val="false"/>
          <w:bCs w:val="false"/>
          <w:i w:val="false"/>
          <w:iCs w:val="false"/>
          <w:sz w:val="22"/>
          <w:szCs w:val="22"/>
        </w:rPr>
        <w:t xml:space="preserve">A small helper, validate_ride_through(t, V, Q, Iq, event_window, kind="LV"), lives alongside the plotting module. It asserts the sign-of-slope criterion over the disturbance window and prints PASS or FAIL with the offending timestamps. Every ride-through notebook must call it at the end of the scenario and print the result. A failing scenario does not get committed as a reference trace until either the model or the expectation is corrected.</w:t>
      </w:r>
    </w:p>
    <w:p>
      <w:pPr>
        <w:pStyle w:val="Heading3"/>
        <w:spacing w:after="100" w:before="200"/>
      </w:pPr>
      <w:r>
        <w:rPr>
          <w:rFonts w:ascii="Arial" w:cs="Arial" w:eastAsia="Arial" w:hAnsi="Arial"/>
          <w:b/>
          <w:bCs/>
          <w:sz w:val="24"/>
          <w:szCs w:val="24"/>
        </w:rPr>
        <w:t xml:space="preserve">3.6 Notebook pedagogy rules (non-negotiable)</w:t>
      </w:r>
    </w:p>
    <w:p>
      <w:pPr>
        <w:spacing w:after="120"/>
      </w:pPr>
      <w:r>
        <w:rPr>
          <w:rFonts w:ascii="Arial" w:cs="Arial" w:eastAsia="Arial" w:hAnsi="Arial"/>
          <w:b w:val="false"/>
          <w:bCs w:val="false"/>
          <w:i w:val="false"/>
          <w:iCs w:val="false"/>
          <w:sz w:val="22"/>
          <w:szCs w:val="22"/>
        </w:rPr>
        <w:t xml:space="preserve">The primary metric for the project is pedagogical clarity. A notebook that just calls library functions is a script, not a teaching artefact. Every phase notebook must hand-hold the colleague through the math, not just invoke black boxes. The four rules below apply to every phase — GENCLS, GENROU + ST1A + PSS1A + TGOV1, IBR, GFM, SVC/STATCOM/SynCon, scenario browser, small-signal — and must be baked in from the start of each new notebook rather than retrofitted after review.</w:t>
      </w:r>
    </w:p>
    <w:p>
      <w:pPr>
        <w:pStyle w:val="ListParagraph"/>
        <w:numPr>
          <w:ilvl w:val="0"/>
          <w:numId w:val="2"/>
        </w:numPr>
        <w:spacing w:after="80"/>
      </w:pPr>
      <w:r>
        <w:rPr>
          <w:rFonts w:ascii="Arial" w:cs="Arial" w:eastAsia="Arial" w:hAnsi="Arial"/>
          <w:sz w:val="22"/>
          <w:szCs w:val="22"/>
        </w:rPr>
        <w:t xml:space="preserve">Show the equations before the call. For every library function the notebook invokes (two_bus_pf, model.initialise, run_smib_*, ...), the cell above it derives or restates the governing equation in LaTeX, motivates the inputs, and explains what the output means physically.</w:t>
      </w:r>
    </w:p>
    <w:p>
      <w:pPr>
        <w:pStyle w:val="ListParagraph"/>
        <w:numPr>
          <w:ilvl w:val="0"/>
          <w:numId w:val="2"/>
        </w:numPr>
        <w:spacing w:after="80"/>
      </w:pPr>
      <w:r>
        <w:rPr>
          <w:rFonts w:ascii="Arial" w:cs="Arial" w:eastAsia="Arial" w:hAnsi="Arial"/>
          <w:sz w:val="22"/>
          <w:szCs w:val="22"/>
        </w:rPr>
        <w:t xml:space="preserve">Hand-hold iterative algorithms step-by-step. When the notebook uses Newton-Raphson, fixed-point, bisection, FFT, or any iterative procedure, expose each iteration explicitly — print the state, the mismatch or residual, and the Jacobian or update direction at every step. Do not hide the loop inside a black-box call. For NR power flow this means calling two_bus_pf with verbose=True so the iteration table prints inline.</w:t>
      </w:r>
    </w:p>
    <w:p>
      <w:pPr>
        <w:pStyle w:val="ListParagraph"/>
        <w:numPr>
          <w:ilvl w:val="0"/>
          <w:numId w:val="2"/>
        </w:numPr>
        <w:spacing w:after="80"/>
      </w:pPr>
      <w:r>
        <w:rPr>
          <w:rFonts w:ascii="Arial" w:cs="Arial" w:eastAsia="Arial" w:hAnsi="Arial"/>
          <w:sz w:val="22"/>
          <w:szCs w:val="22"/>
        </w:rPr>
        <w:t xml:space="preserve">Link state equations explicitly to every plot. After every dynamics plot include a markdown cell that walks through what each trace shows in terms of the state equations. For GENCLS this means tying delta(t) and slip(t) back to 2H · d(slip)/dt = Pm − Pe − D · slip and d(delta)/dt = omega0 · slip — what term dominates during the fault, what term dominates after clearing, why the oscillation has the period it does, why damping looks the way it does. Annotate plots with vertical markers (fault on, fault clear, first peak) and shaded regions where useful.</w:t>
      </w:r>
    </w:p>
    <w:p>
      <w:pPr>
        <w:pStyle w:val="ListParagraph"/>
        <w:numPr>
          <w:ilvl w:val="0"/>
          <w:numId w:val="2"/>
        </w:numPr>
        <w:spacing w:after="80"/>
      </w:pPr>
      <w:r>
        <w:rPr>
          <w:rFonts w:ascii="Arial" w:cs="Arial" w:eastAsia="Arial" w:hAnsi="Arial"/>
          <w:sz w:val="22"/>
          <w:szCs w:val="22"/>
        </w:rPr>
        <w:t xml:space="preserve">Cross-check encapsulated methods against hand calculation. When model.initialise() (or any black box) is called, the cell above must do the same calculation step-by-step, then the cell below must print BOTH the manual values and the encapsulated values side-by-side so the colleague can verify they match.</w:t>
      </w:r>
    </w:p>
    <w:p>
      <w:pPr>
        <w:pStyle w:val="ListParagraph"/>
        <w:numPr>
          <w:ilvl w:val="0"/>
          <w:numId w:val="2"/>
        </w:numPr>
        <w:spacing w:after="80"/>
      </w:pPr>
      <w:r>
        <w:rPr>
          <w:rFonts w:ascii="Arial" w:cs="Arial" w:eastAsia="Arial" w:hAnsi="Arial"/>
          <w:sz w:val="22"/>
          <w:szCs w:val="22"/>
        </w:rPr>
        <w:t xml:space="preserve">Render a single-line diagram after every load flow. Every phase notebook calls smib.plotting.plot_sld() immediately after the PF converges, drawing a PSSE-style SLD with each bus labelled by |V| and angle, the line by its impedance, P/Q flows with arrows showing direction, and the appropriate generator/slack symbols. The SLD makes the operating point readable at a glance so colleagues never have to mentally reconstruct topology from a wall of code.</w:t>
      </w:r>
    </w:p>
    <w:p>
      <w:pPr>
        <w:pStyle w:val="ListParagraph"/>
        <w:numPr>
          <w:ilvl w:val="0"/>
          <w:numId w:val="2"/>
        </w:numPr>
        <w:spacing w:after="80"/>
      </w:pPr>
      <w:r>
        <w:rPr>
          <w:rFonts w:ascii="Arial" w:cs="Arial" w:eastAsia="Arial" w:hAnsi="Arial"/>
          <w:sz w:val="22"/>
          <w:szCs w:val="22"/>
        </w:rPr>
        <w:t xml:space="preserve">Derive the algebraic power-transfer equations early and refer back to them. For SMIB with a synchronous machine these are the canonical pair: P_e = (|E′|·|V|/X_tot)·sinδ and Q_e = (|E′|² − |E′|·|V|·cosδ)/X_tot, derived from S = V·I* with I = (E′ − V)/(jX_tot). Plot the P-δ curve with the operating point and the unstable equilibrium (π − δ_0) marked. Compute the synchronising coefficient Ks, the maximum power P_e^max, the two equilibria, and use the equal-area criterion to predict CCT analytically. Then compare the analytic CCT to the simulator’s bracket — agreement to a few percent confirms the swing equation, the network, the fault application, and the integrator are internally consistent. For IBR and GFM phases, derive the equivalent algebraic relations (capability curves, droop lines) in the same style.</w:t>
      </w:r>
    </w:p>
    <w:p>
      <w:pPr>
        <w:pStyle w:val="ListParagraph"/>
        <w:numPr>
          <w:ilvl w:val="0"/>
          <w:numId w:val="2"/>
        </w:numPr>
        <w:spacing w:after="80"/>
      </w:pPr>
      <w:r>
        <w:rPr>
          <w:rFonts w:ascii="Arial" w:cs="Arial" w:eastAsia="Arial" w:hAnsi="Arial"/>
          <w:sz w:val="22"/>
          <w:szCs w:val="22"/>
        </w:rPr>
        <w:t xml:space="preserve">Include a solver-flow visualisation in every phase notebook. Add an inline SVG flowchart showing where the integrator evaluates model.derivatives() and where the trapezoidal rule adds those derivatives back into the state vector. Use the colour scheme from Phase 1 §10: orange = compute dx/dt, green = update state, blue = solve algebraic network, neutral = housekeeping. The flowchart must NOT reference Python file/line numbers — it should read as physics + numerics, not source-code archaeology. For Phase 2 onward, refresh the diagram so it shows the additional model derivatives() calls (GENROU, ST1A, PSS1A, TGOV1, IBR controllers) and how each model’s outputs feed the others within the same timestep. The point of the diagram is to make the link derivatives → trapezoidal rule → state changes explicit and visual, so colleagues never have to read the integrator source to understand what is happening per step.</w:t>
      </w:r>
    </w:p>
    <w:p>
      <w:pPr>
        <w:pStyle w:val="ListParagraph"/>
        <w:numPr>
          <w:ilvl w:val="0"/>
          <w:numId w:val="2"/>
        </w:numPr>
        <w:spacing w:after="80"/>
      </w:pPr>
      <w:r>
        <w:rPr>
          <w:rFonts w:ascii="Arial" w:cs="Arial" w:eastAsia="Arial" w:hAnsi="Arial"/>
          <w:sz w:val="22"/>
          <w:szCs w:val="22"/>
        </w:rPr>
        <w:t xml:space="preserve">Ship a PSSE benchmark for every phase. Each phase delivers a psse/phaseN/ folder with (a) a .dyr dynamics file in PSSE syntax, (b) a psspy automation script run_phaseN_fault.py driving the same disturbance the smib notebook simulates, and (c) a README with GUI + psspy instructions and a table of smib reference numbers (V from PF, |E'|, peak swing, mid-fault P/Q, CCT). Expected agreement: ~3 % on all canonical traces with matched step size (smib h = 2 ms, PSSE DELT = 0.002). Purposes: (i) correctness floor — disagreement between smib and PSSE points at exactly which model/init/integrator detail to debug; (ii) pedagogical confidence — colleagues trust PSSE, so smib reproducing it lets them trust smib too, then use smib as a transparent way to understand what PSSE is doing under the hood. See psse/phase1/ as the template.</w:t>
      </w:r>
    </w:p>
    <w:p>
      <w:pPr>
        <w:pStyle w:val="ListParagraph"/>
        <w:numPr>
          <w:ilvl w:val="0"/>
          <w:numId w:val="2"/>
        </w:numPr>
        <w:spacing w:after="80"/>
      </w:pPr>
      <w:r>
        <w:t>Plan an open-source equation-based companion benchmark for Phase 3 onward (Dynawo). Once Phase 3 IBR models land, add a sibling dynawo/phase3/ folder using the same template as psse/phaseN/: one input deck (.iidm/.par/.dyd), one run script, one README with smib reference numbers. Dynawo (RTE + AIA) is Modelica-based, so its IBR libraries are readable — making it the natural complement to PSSE when REGC_A/REEC_A/REPC_A/REGFM_A1 start mattering and PSSE alone is unsatisfying. Use it for three things: (i) independent tie-breaker if smib and PSSE disagree on an IBR case; (ii) read-the-equations cross-check on IBR limit logic that PSSE hides; (iii) credible reference for colleagues without a PSSE license. Do not retrofit Dynawo for Phase 1/2 — smib + PSSE is the right correctness floor for classical machines. VeraGrid (née GridCal) is intentionally left out of the benchmark stack: excellent for bulk-system planning workflows, but its transient-stability solver is less mature and its DAE is not exposed the way Modelica's is, so it adds neither correctness floor nor pedagogical transparency beyond smib + PSSE + Dynawo. Revisit only if smib outgrows SMIB into multi-bus territory (Phase 5+).</w:t>
      </w:r>
    </w:p>
    <w:p>
      <w:pPr>
        <w:spacing w:after="120"/>
      </w:pPr>
      <w:r>
        <w:rPr>
          <w:rFonts w:ascii="Arial" w:cs="Arial" w:eastAsia="Arial" w:hAnsi="Arial"/>
          <w:b w:val="false"/>
          <w:bCs w:val="false"/>
          <w:i w:val="false"/>
          <w:iCs w:val="false"/>
          <w:sz w:val="22"/>
          <w:szCs w:val="22"/>
        </w:rPr>
        <w:t xml:space="preserve">Phase 1 (GENCLS) is the reference implementation of these rules: the NR iterations print as a tabular trace with quadratic convergence visible; the initialisation derives I_term, E', delta_0, Pm step by step before calling gencls.initialise(); the fault plot has annotated time markers and is followed by a four-phase walkthrough mapping each canonical trace to a term in the swing equation; and the post-fault swing period is computed analytically and FFT-measured side-by-side. Use that notebook as the template when starting Phase 2.</w:t>
      </w:r>
    </w:p>
    <w:p>
      <w:pPr>
        <w:pStyle w:val="Heading1"/>
        <w:spacing w:after="160" w:before="280"/>
      </w:pPr>
      <w:r>
        <w:rPr>
          <w:rFonts w:ascii="Arial" w:cs="Arial" w:eastAsia="Arial" w:hAnsi="Arial"/>
          <w:b/>
          <w:bCs/>
          <w:sz w:val="32"/>
          <w:szCs w:val="32"/>
        </w:rPr>
        <w:t xml:space="preserve">4. Build roadmap</w:t>
      </w:r>
    </w:p>
    <w:p>
      <w:pPr>
        <w:spacing w:after="120"/>
      </w:pPr>
      <w:r>
        <w:rPr>
          <w:rFonts w:ascii="Arial" w:cs="Arial" w:eastAsia="Arial" w:hAnsi="Arial"/>
          <w:b w:val="false"/>
          <w:bCs w:val="false"/>
          <w:i w:val="false"/>
          <w:iCs w:val="false"/>
          <w:sz w:val="22"/>
          <w:szCs w:val="22"/>
        </w:rPr>
        <w:t xml:space="preserve">Sequential build. Each phase adds one conceptual layer, one new set of models, and one new class of tests. The artefact at each phase is a Jupyter notebook that reads as a teaching document, importing from the clean smib package. A phase is not done until the correctness-floor protocol passes and the notebook walks a reader through the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34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Models added</w:t>
            </w:r>
          </w:p>
        </w:tc>
        <w:tc>
          <w:tcPr>
            <w:tcW w:type="dxa" w:w="234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Concepts taught</w:t>
            </w:r>
          </w:p>
        </w:tc>
        <w:tc>
          <w:tcPr>
            <w:tcW w:type="dxa" w:w="234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Key tests</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 Scaffold</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None (infrastructure only)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Newton–Raphson PF, Ybus, trapezoidal integrator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PF converges, network round-trip, linear-decay integrator check</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GENCLS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Classical machine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Swing equation, equal-area, first-swing stability, inertia H, mechanical damping D</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Flat-line, fault clearing time study, P–δ curve</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 GENROU + ST1A + PSS1A + TGOV1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Sub-transient machine, AVR, PSS, governor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Constant flux linkage, sub-transient/transient time scales, AVR ceiling, PSS damping, droop</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Voltage step response, fault with/without PSS, ringdown, mode identification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IBR generic</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REGC_A, REEC_A, REPC_A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PLL as 2nd-order system, current limiting with P/Q priority, LVRT/HVRT, weak-grid SCR sweep</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Voltage step, LV ride-through, HV ride-through, weak-grid stability edge</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IBR grid-forming</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REGFM_A1 (droop GFM)</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Virtual synchronous behaviour, droop vs VSM, why GFM survives low SCR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Same Phase 3 battery, side-by-side with Phase 3</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 Reactive support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SVC (SVSMO3), STATCOM (CSTATT), SynCon (GENROU + ESST4B + OEL/UEL/SCL)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Thyristor vs VSC Q support, slope characteristic, Q=V²B trap of SVC, limiter hand-off on SynCon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LV recovery voltage comparison, OEL/UEL excursion</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 Scenario browser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Interactive parameter sweeps in Jupyter with ipywidgets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Useability only</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 Small-signal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Numerical linearisation, eigenvalues, participation factors, Prony mode identification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Eigenvalues of Phase 2 match textbook (Kundur local mode ≈ 1–2 Hz, damping ratio change with PSS)</w:t>
            </w:r>
          </w:p>
        </w:tc>
      </w:tr>
    </w:tbl>
    <w:p>
      <w:pPr>
        <w:pStyle w:val="Heading3"/>
        <w:spacing w:after="100" w:before="200"/>
      </w:pPr>
      <w:r>
        <w:rPr>
          <w:rFonts w:ascii="Arial" w:cs="Arial" w:eastAsia="Arial" w:hAnsi="Arial"/>
          <w:b/>
          <w:bCs/>
          <w:sz w:val="24"/>
          <w:szCs w:val="24"/>
        </w:rPr>
        <w:t xml:space="preserve">Current project status</w:t>
      </w:r>
    </w:p>
    <w:p>
      <w:pPr>
        <w:spacing w:after="120"/>
      </w:pPr>
      <w:r>
        <w:rPr>
          <w:rFonts w:ascii="Arial" w:cs="Arial" w:eastAsia="Arial" w:hAnsi="Arial"/>
          <w:b w:val="false"/>
          <w:bCs w:val="false"/>
          <w:i w:val="false"/>
          <w:iCs w:val="false"/>
          <w:sz w:val="22"/>
          <w:szCs w:val="22"/>
        </w:rPr>
        <w:t>Updated as phases land.  As of the latest build, Phase 1 is fully shipped, and Phase 2 is COMPLETE through all four sub-increments: 2.0 GENROU bare, 2.1 + ST1A AVR, 2.2 + PSS1A, and 2.3 + TGOV1 (model + tests + notebook + PSSE benchmark each).  The classical synchronous plant stack is done.  Phase 2.3 headlines: droop steady state exact (measured R = 0.0500 vs design 0.05; a -0.2 Hz grid event via the infinite-bus angle ramp settles rotor slip at -0.004 pu and lifts Pm by +0.080 pu = -dw/R), valve non-windup limit verified (pins at Vmax, releases cleanly on recovery), and CCT moves only +6 ms (326 to 333 ms) in the helpful direction — the bounded result the time-scale argument predicts.  The full test suite stands at 33/33.  Next: Phase 3 (generic IBR — REGC_A + REEC_A + REPC_A on the existing MHI-anchored PLL), including the Dynawo companion benchmark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12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What "done" means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 Scaffold</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Repo skeleton, solver, network, PF, scenarios, plotting, base tests.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GENCLS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Model + 5 tests + colleague-facing notebook + PSSE phase1 benchmark.</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2.0. GENROU bare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DONE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Model + simulator (2x2 saliency-aware) + 5-test battery + colleague-facing notebook + foundations doc with d-axis equivalent-circuit SVGs + PSSE phase2_0 benchmark all landed. Headline (deep inductive fault Z_f = j*0.10): GENROU CCT 240 ms vs GENCLS 293 ms — the rotor flux sag costs ~18 % of CCT, which is what the AVR is for in 2.1. Bolted-fault CCT retained only as the analytic-EAC consistency check (191 ms sim vs 187 ms analytic = 2.4 % match).</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2.1. + ST1A AVR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 FLIGHT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ST1A model implemented (2-state simplified form, Tr + Ka + lead-lag); multi-model simulator harness run_smib_genrou_avr() verified with flat-line drift 7e-16 over 10 s and AVR-on smoke test (Efd ramps to ceiling, Eqp stays up, Q rises further). Pending: test battery and Phase 2.1 notebook with AVR-on/AVR-off overlays.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2.2. + PSS1A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Single-input stabiliser; headline plot is "with vs without PSS" on a fault.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2.3. + TGOV1</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Steam governor with droop; primary frequency response on a load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IBR generic (REGC + REEC + REPC)</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PLL anchored on MHI PSCAD doc; weak-grid SCR sweep.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IBR grid-forming (REGFM)</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Side-by-side with Phase 3 on the same fault battery.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 Reactive support (SVSMO3, CSTATT, SynCon)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Q=V*B trap of SVC, linear-current STATCOM, OEL/UEL on SynCon.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6. Scenario browser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Dedicated ipywidgets explorer over the full library.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 Small-signal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Numerical eigenvalues + Prony, run last by design.</w:t>
            </w:r>
          </w:p>
        </w:tc>
      </w:tr>
    </w:tbl>
    <w:p>
      <w:pPr>
        <w:spacing w:after="120"/>
      </w:pPr>
      <w:r>
        <w:rPr>
          <w:rFonts w:ascii="Arial" w:cs="Arial" w:eastAsia="Arial" w:hAnsi="Arial"/>
          <w:b w:val="false"/>
          <w:bCs w:val="false"/>
          <w:i w:val="false"/>
          <w:iCs w:val="false"/>
          <w:sz w:val="22"/>
          <w:szCs w:val="22"/>
        </w:rPr>
        <w:t xml:space="preserve">Phase 2.0 inner status: smib/models/genrou.py implements the 4-state two-axis transient model (delta, omega, E'q, E'd) — sub-transient is deferred to a Phase 2.0b upgrade once the AVR/PSS/Governor stack is wired and we can validate first-cycle fault current against PSSE.  Init passes self-consistency at machine epsilon; flat-line drift over 5 s is &lt; 4e-14 deg.  The accompanying physical foundations doc covers every parameter (Xd / X'd / X"d hierarchy, T'd0 / T"d0 as L/R of rotor windings, leakage Xl, saturation A and B coefficients, Kundur Table 4.2 values).  The gencls.py dq sign convention was migrated to standard PSSE/Kundur during this phase (q-axis on real, d-axis 90 deg behind) so GENCLS and GENROU now speak the same language; all 8 Phase 1 tests still pass after the migration.  One follow-up flagged: the Phase 1 notebook narrative in section 8.1 still uses the old "Iq surges" wording — physics unchanged, label only — and will be refreshed before the next Phase 1 polish pass.</w:t>
      </w:r>
    </w:p>
    <w:p>
      <w:r>
        <w:br w:type="page"/>
      </w:r>
    </w:p>
    <w:p>
      <w:pPr>
        <w:pStyle w:val="Heading1"/>
        <w:spacing w:after="160" w:before="280"/>
      </w:pPr>
      <w:r>
        <w:rPr>
          <w:rFonts w:ascii="Arial" w:cs="Arial" w:eastAsia="Arial" w:hAnsi="Arial"/>
          <w:b/>
          <w:bCs/>
          <w:sz w:val="32"/>
          <w:szCs w:val="32"/>
        </w:rPr>
        <w:t xml:space="preserve">5. Phase deep dives</w:t>
      </w:r>
    </w:p>
    <w:p>
      <w:pPr>
        <w:pStyle w:val="Heading2"/>
        <w:spacing w:after="120" w:before="240"/>
      </w:pPr>
      <w:r>
        <w:rPr>
          <w:rFonts w:ascii="Arial" w:cs="Arial" w:eastAsia="Arial" w:hAnsi="Arial"/>
          <w:b/>
          <w:bCs/>
          <w:sz w:val="28"/>
          <w:szCs w:val="28"/>
        </w:rPr>
        <w:t xml:space="preserve">5.1 Phase 1 — GENCLS (swing equation on SMIB) — DONE</w:t>
      </w:r>
    </w:p>
    <w:p>
      <w:pPr>
        <w:pStyle w:val="Heading3"/>
        <w:spacing w:after="100" w:before="200"/>
      </w:pPr>
      <w:r>
        <w:rPr>
          <w:rFonts w:ascii="Arial" w:cs="Arial" w:eastAsia="Arial" w:hAnsi="Arial"/>
          <w:b/>
          <w:bCs/>
          <w:sz w:val="24"/>
          <w:szCs w:val="24"/>
        </w:rPr>
        <w:t xml:space="preserve">Status: complete</w:t>
      </w:r>
    </w:p>
    <w:p>
      <w:pPr>
        <w:spacing w:after="120"/>
      </w:pPr>
      <w:r>
        <w:rPr>
          <w:rFonts w:ascii="Arial" w:cs="Arial" w:eastAsia="Arial" w:hAnsi="Arial"/>
          <w:b w:val="false"/>
          <w:bCs w:val="false"/>
          <w:i w:val="false"/>
          <w:iCs w:val="false"/>
          <w:sz w:val="22"/>
          <w:szCs w:val="22"/>
        </w:rPr>
        <w:t xml:space="preserve">Phase 1 is in flight as of the current build. Deliverables landed in the smib/ tree: smib/models/gencls.py (the model), smib/simulator.py (Norton-augmented network solve + time loop), tests/test_gencls.py (5 tests), notebooks/phase1_gencls.ipynb (the colleague-facing artefact with embedded Plotly + ipywidgets sliders).</w:t>
      </w:r>
    </w:p>
    <w:p>
      <w:pPr>
        <w:spacing w:after="120"/>
      </w:pPr>
      <w:r>
        <w:rPr>
          <w:rFonts w:ascii="Arial" w:cs="Arial" w:eastAsia="Arial" w:hAnsi="Arial"/>
          <w:b w:val="false"/>
          <w:bCs w:val="false"/>
          <w:i w:val="false"/>
          <w:iCs w:val="false"/>
          <w:sz w:val="22"/>
          <w:szCs w:val="22"/>
        </w:rPr>
        <w:t xml:space="preserve">Test results: all 5 GENCLS tests pass — flat-line drift over 10 s is exactly zero (machine epsilon), the analytic natural-frequency check matches simulation within 5%, and the critical clearing time bracket converged to 191 ms on the canonical operating point (P=0.8, Q=0.2, X_line=0.5, H=4, X'd=0.30, no damping). Mean trapezoidal corrector iterations during the 100 ms fault recovery: 2.6 per step, well below the limiter.</w:t>
      </w:r>
    </w:p>
    <w:p>
      <w:pPr>
        <w:pStyle w:val="Heading3"/>
        <w:spacing w:after="100" w:before="200"/>
      </w:pPr>
      <w:r>
        <w:rPr>
          <w:rFonts w:ascii="Arial" w:cs="Arial" w:eastAsia="Arial" w:hAnsi="Arial"/>
          <w:b/>
          <w:bCs/>
          <w:sz w:val="24"/>
          <w:szCs w:val="24"/>
        </w:rPr>
        <w:t xml:space="preserve">What it is</w:t>
      </w:r>
    </w:p>
    <w:p>
      <w:pPr>
        <w:spacing w:after="120"/>
      </w:pPr>
      <w:r>
        <w:rPr>
          <w:rFonts w:ascii="Arial" w:cs="Arial" w:eastAsia="Arial" w:hAnsi="Arial"/>
          <w:b w:val="false"/>
          <w:bCs w:val="false"/>
          <w:i w:val="false"/>
          <w:iCs w:val="false"/>
          <w:sz w:val="22"/>
          <w:szCs w:val="22"/>
        </w:rPr>
        <w:t xml:space="preserve">The classical machine: a constant-magnitude EMF E' behind transient reactance X'd. Two states: rotor angle δ and rotor speed ω. This is the simplest dynamic model in the library and the cleanest way to teach first-swing transient stability.</w:t>
      </w:r>
    </w:p>
    <w:p>
      <w:pPr>
        <w:pStyle w:val="Heading3"/>
        <w:spacing w:after="100" w:before="200"/>
      </w:pPr>
      <w:r>
        <w:rPr>
          <w:rFonts w:ascii="Arial" w:cs="Arial" w:eastAsia="Arial" w:hAnsi="Arial"/>
          <w:b/>
          <w:bCs/>
          <w:sz w:val="24"/>
          <w:szCs w:val="24"/>
        </w:rPr>
        <w:t xml:space="preserve">Governing equations</w:t>
      </w:r>
    </w:p>
    <w:p>
      <w:pPr>
        <w:shd w:fill="F2F2F2" w:val="clear"/>
        <w:spacing w:after="120"/>
      </w:pPr>
      <w:r>
        <w:rPr>
          <w:rFonts w:ascii="Courier New" w:cs="Courier New" w:eastAsia="Courier New" w:hAnsi="Courier New"/>
          <w:sz w:val="20"/>
          <w:szCs w:val="20"/>
        </w:rPr>
        <w:t xml:space="preserve">d(delta)/dt = ws * (omega - 1)</w:t>
      </w:r>
    </w:p>
    <w:p>
      <w:pPr>
        <w:shd w:fill="F2F2F2" w:val="clear"/>
        <w:spacing w:after="120"/>
      </w:pPr>
      <w:r>
        <w:rPr>
          <w:rFonts w:ascii="Courier New" w:cs="Courier New" w:eastAsia="Courier New" w:hAnsi="Courier New"/>
          <w:sz w:val="20"/>
          <w:szCs w:val="20"/>
        </w:rPr>
        <w:t xml:space="preserve">d(omega)/dt = (1/(2*H)) * ( Pm - Pe - D*(omega - 1) )</w:t>
      </w:r>
    </w:p>
    <w:p>
      <w:pPr>
        <w:shd w:fill="F2F2F2" w:val="clear"/>
        <w:spacing w:after="120"/>
      </w:pPr>
      <w:r>
        <w:rPr>
          <w:rFonts w:ascii="Courier New" w:cs="Courier New" w:eastAsia="Courier New" w:hAnsi="Courier New"/>
          <w:sz w:val="20"/>
          <w:szCs w:val="20"/>
        </w:rPr>
        <w:t xml:space="preserve">Pe = Re{ E' * conj(Iterm) }   where   E' = |E'| angle(delta)</w:t>
      </w:r>
    </w:p>
    <w:p>
      <w:pPr>
        <w:spacing w:after="120"/>
      </w:pPr>
      <w:r>
        <w:rPr>
          <w:rFonts w:ascii="Arial" w:cs="Arial" w:eastAsia="Arial" w:hAnsi="Arial"/>
          <w:b w:val="false"/>
          <w:bCs w:val="false"/>
          <w:i w:val="false"/>
          <w:iCs w:val="false"/>
          <w:sz w:val="22"/>
          <w:szCs w:val="22"/>
        </w:rPr>
        <w:t xml:space="preserve">E' magnitude is held constant during the disturbance — that is what "classical" means. The terminal current is solved algebraically from the network equations each step. H is inertia constant in seconds on machine base; D is a mechanical damping coefficient in pu torque per pu speed.</w:t>
      </w:r>
    </w:p>
    <w:p>
      <w:pPr>
        <w:pStyle w:val="Heading3"/>
        <w:spacing w:after="100" w:before="200"/>
      </w:pPr>
      <w:r>
        <w:rPr>
          <w:rFonts w:ascii="Arial" w:cs="Arial" w:eastAsia="Arial" w:hAnsi="Arial"/>
          <w:b/>
          <w:bCs/>
          <w:sz w:val="24"/>
          <w:szCs w:val="24"/>
        </w:rPr>
        <w:t xml:space="preserve">Initialisation</w:t>
      </w:r>
    </w:p>
    <w:p>
      <w:pPr>
        <w:spacing w:after="120"/>
      </w:pPr>
      <w:r>
        <w:rPr>
          <w:rFonts w:ascii="Arial" w:cs="Arial" w:eastAsia="Arial" w:hAnsi="Arial"/>
          <w:b w:val="false"/>
          <w:bCs w:val="false"/>
          <w:i w:val="false"/>
          <w:iCs w:val="false"/>
          <w:sz w:val="22"/>
          <w:szCs w:val="22"/>
        </w:rPr>
        <w:t xml:space="preserve">From power flow we have V_t (complex terminal voltage) and S_t = P + jQ. The internal EMF phasor is E' = V_t + jX'd · I, with I = conj(S/V). Then |E'| and the initial δ₀ = arg(E') both fall out. Pm = P (setpoint equals electrical power at steady state, with D=0 or ω=1). Write these to the state dict, call derivatives(), and assert every entry is ≤ 1e-8. If it is not, the δ-reference is wrong.</w:t>
      </w:r>
    </w:p>
    <w:p>
      <w:pPr>
        <w:pStyle w:val="Heading3"/>
        <w:spacing w:after="100" w:before="200"/>
      </w:pPr>
      <w:r>
        <w:rPr>
          <w:rFonts w:ascii="Arial" w:cs="Arial" w:eastAsia="Arial" w:hAnsi="Arial"/>
          <w:b/>
          <w:bCs/>
          <w:sz w:val="24"/>
          <w:szCs w:val="24"/>
        </w:rPr>
        <w:t xml:space="preserve">Pedagogical demonstrations</w:t>
      </w:r>
    </w:p>
    <w:p>
      <w:pPr>
        <w:pStyle w:val="ListParagraph"/>
        <w:numPr>
          <w:ilvl w:val="0"/>
          <w:numId w:val="2"/>
        </w:numPr>
        <w:spacing w:after="80"/>
      </w:pPr>
      <w:r>
        <w:rPr>
          <w:rFonts w:ascii="Arial" w:cs="Arial" w:eastAsia="Arial" w:hAnsi="Arial"/>
          <w:sz w:val="22"/>
          <w:szCs w:val="22"/>
        </w:rPr>
        <w:t xml:space="preserve">P–δ curve plotted directly from the equation P_e = (|E'||V_∞|/X_total) sin(δ). Overlay the operating point.</w:t>
      </w:r>
    </w:p>
    <w:p>
      <w:pPr>
        <w:pStyle w:val="ListParagraph"/>
        <w:numPr>
          <w:ilvl w:val="0"/>
          <w:numId w:val="2"/>
        </w:numPr>
        <w:spacing w:after="80"/>
      </w:pPr>
      <w:r>
        <w:rPr>
          <w:rFonts w:ascii="Arial" w:cs="Arial" w:eastAsia="Arial" w:hAnsi="Arial"/>
          <w:sz w:val="22"/>
          <w:szCs w:val="22"/>
        </w:rPr>
        <w:t xml:space="preserve">Equal-area criterion: apply a 3-phase fault for a given clearing time, plot δ(t), shade the accelerating and decelerating areas on the P–δ plane.</w:t>
      </w:r>
    </w:p>
    <w:p>
      <w:pPr>
        <w:pStyle w:val="ListParagraph"/>
        <w:numPr>
          <w:ilvl w:val="0"/>
          <w:numId w:val="2"/>
        </w:numPr>
        <w:spacing w:after="80"/>
      </w:pPr>
      <w:r>
        <w:rPr>
          <w:rFonts w:ascii="Arial" w:cs="Arial" w:eastAsia="Arial" w:hAnsi="Arial"/>
          <w:sz w:val="22"/>
          <w:szCs w:val="22"/>
        </w:rPr>
        <w:t xml:space="preserve">Critical clearing time sweep: bisect on fault duration until the system just loses synchronism. Compare with the analytical equal-area result.</w:t>
      </w:r>
    </w:p>
    <w:p>
      <w:pPr>
        <w:pStyle w:val="Heading3"/>
        <w:spacing w:after="100" w:before="200"/>
      </w:pPr>
      <w:r>
        <w:rPr>
          <w:rFonts w:ascii="Arial" w:cs="Arial" w:eastAsia="Arial" w:hAnsi="Arial"/>
          <w:b/>
          <w:bCs/>
          <w:sz w:val="24"/>
          <w:szCs w:val="24"/>
        </w:rPr>
        <w:t xml:space="preserve">Pitfalls</w:t>
      </w:r>
    </w:p>
    <w:p>
      <w:pPr>
        <w:pStyle w:val="ListParagraph"/>
        <w:numPr>
          <w:ilvl w:val="0"/>
          <w:numId w:val="2"/>
        </w:numPr>
        <w:spacing w:after="80"/>
      </w:pPr>
      <w:r>
        <w:rPr>
          <w:rFonts w:ascii="Arial" w:cs="Arial" w:eastAsia="Arial" w:hAnsi="Arial"/>
          <w:sz w:val="22"/>
          <w:szCs w:val="22"/>
        </w:rPr>
        <w:t xml:space="preserve">Reference angle: δ is with respect to the global DQ frame. If the infinite bus is the angle reference, V_∞ is on the real axis. Do not forget to subtract V_∞'s angle if you chose a different reference.</w:t>
      </w:r>
    </w:p>
    <w:p>
      <w:pPr>
        <w:pStyle w:val="ListParagraph"/>
        <w:numPr>
          <w:ilvl w:val="0"/>
          <w:numId w:val="2"/>
        </w:numPr>
        <w:spacing w:after="80"/>
      </w:pPr>
      <w:r>
        <w:rPr>
          <w:rFonts w:ascii="Arial" w:cs="Arial" w:eastAsia="Arial" w:hAnsi="Arial"/>
          <w:sz w:val="22"/>
          <w:szCs w:val="22"/>
        </w:rPr>
        <w:t xml:space="preserve">Pu frequency: ω is in pu of ws. Getting this wrong shifts all time constants by 2π·f.</w:t>
      </w:r>
    </w:p>
    <w:p>
      <w:pPr>
        <w:pStyle w:val="ListParagraph"/>
        <w:numPr>
          <w:ilvl w:val="0"/>
          <w:numId w:val="2"/>
        </w:numPr>
        <w:spacing w:after="80"/>
      </w:pPr>
      <w:r>
        <w:rPr>
          <w:rFonts w:ascii="Arial" w:cs="Arial" w:eastAsia="Arial" w:hAnsi="Arial"/>
          <w:sz w:val="22"/>
          <w:szCs w:val="22"/>
        </w:rPr>
        <w:t xml:space="preserve">D is not zero in practice. Zero D gives undamped ringing — fine pedagogically but flagged so colleagues do not think the simulator is broken.</w:t>
      </w:r>
    </w:p>
    <w:p>
      <w:pPr>
        <w:pStyle w:val="Heading3"/>
        <w:spacing w:after="100" w:before="200"/>
      </w:pPr>
      <w:r>
        <w:rPr>
          <w:rFonts w:ascii="Arial" w:cs="Arial" w:eastAsia="Arial" w:hAnsi="Arial"/>
          <w:b/>
          <w:bCs/>
          <w:sz w:val="24"/>
          <w:szCs w:val="24"/>
        </w:rPr>
        <w:t xml:space="preserve">Exit criteria</w:t>
      </w:r>
    </w:p>
    <w:p>
      <w:pPr>
        <w:pStyle w:val="ListParagraph"/>
        <w:numPr>
          <w:ilvl w:val="0"/>
          <w:numId w:val="2"/>
        </w:numPr>
        <w:spacing w:after="80"/>
      </w:pPr>
      <w:r>
        <w:rPr>
          <w:rFonts w:ascii="Arial" w:cs="Arial" w:eastAsia="Arial" w:hAnsi="Arial"/>
          <w:sz w:val="22"/>
          <w:szCs w:val="22"/>
        </w:rPr>
        <w:t xml:space="preserve">Flat-line test passes to 1e-5 pu over 10 s.</w:t>
      </w:r>
    </w:p>
    <w:p>
      <w:pPr>
        <w:pStyle w:val="ListParagraph"/>
        <w:numPr>
          <w:ilvl w:val="0"/>
          <w:numId w:val="2"/>
        </w:numPr>
        <w:spacing w:after="80"/>
      </w:pPr>
      <w:r>
        <w:rPr>
          <w:rFonts w:ascii="Arial" w:cs="Arial" w:eastAsia="Arial" w:hAnsi="Arial"/>
          <w:sz w:val="22"/>
          <w:szCs w:val="22"/>
        </w:rPr>
        <w:t xml:space="preserve">Numerical critical clearing time matches equal-area analytical result to within 5 ms.</w:t>
      </w:r>
    </w:p>
    <w:p>
      <w:pPr>
        <w:pStyle w:val="ListParagraph"/>
        <w:numPr>
          <w:ilvl w:val="0"/>
          <w:numId w:val="2"/>
        </w:numPr>
        <w:spacing w:after="80"/>
      </w:pPr>
      <w:r>
        <w:rPr>
          <w:rFonts w:ascii="Arial" w:cs="Arial" w:eastAsia="Arial" w:hAnsi="Arial"/>
          <w:sz w:val="22"/>
          <w:szCs w:val="22"/>
        </w:rPr>
        <w:t xml:space="preserve">Step-halving: run with h and h/2, result unchanged to 1e-3.</w:t>
      </w:r>
    </w:p>
    <w:p>
      <w:r>
        <w:br w:type="page"/>
      </w:r>
    </w:p>
    <w:p>
      <w:pPr>
        <w:pStyle w:val="Heading2"/>
        <w:spacing w:after="120" w:before="240"/>
      </w:pPr>
      <w:r>
        <w:rPr>
          <w:rFonts w:ascii="Arial" w:cs="Arial" w:eastAsia="Arial" w:hAnsi="Arial"/>
          <w:b/>
          <w:bCs/>
          <w:sz w:val="28"/>
          <w:szCs w:val="28"/>
        </w:rPr>
        <w:t xml:space="preserve">5.2 Phase 2 — GENROU + ST1A + PSS1A + TGOV1 (the main pain point)</w:t>
      </w:r>
    </w:p>
    <w:p>
      <w:pPr>
        <w:pStyle w:val="Heading3"/>
        <w:spacing w:after="100" w:before="200"/>
      </w:pPr>
      <w:r>
        <w:rPr>
          <w:rFonts w:ascii="Arial" w:cs="Arial" w:eastAsia="Arial" w:hAnsi="Arial"/>
          <w:b/>
          <w:bCs/>
          <w:sz w:val="24"/>
          <w:szCs w:val="24"/>
        </w:rPr>
        <w:t xml:space="preserve">What it is</w:t>
      </w:r>
    </w:p>
    <w:p>
      <w:pPr>
        <w:spacing w:after="120"/>
      </w:pPr>
      <w:r>
        <w:rPr>
          <w:rFonts w:ascii="Arial" w:cs="Arial" w:eastAsia="Arial" w:hAnsi="Arial"/>
          <w:b w:val="false"/>
          <w:bCs w:val="false"/>
          <w:i w:val="false"/>
          <w:iCs w:val="false"/>
          <w:sz w:val="22"/>
          <w:szCs w:val="22"/>
        </w:rPr>
        <w:t xml:space="preserve">A full classical synchronous plant stack: a round-rotor generator with sub-transient detail and saturation, a potential-source static exciter with high gain (representative of most modern generation), a single-input PSS providing damping on the local mode, and a simple steam turbine governor providing primary frequency response. This is the first place where all the real power-systems intuition comes from, and it is also the first place where the initialisation will fight you.</w:t>
      </w:r>
    </w:p>
    <w:p>
      <w:pPr>
        <w:pStyle w:val="Heading3"/>
        <w:spacing w:after="100" w:before="200"/>
      </w:pPr>
      <w:r>
        <w:rPr>
          <w:rFonts w:ascii="Arial" w:cs="Arial" w:eastAsia="Arial" w:hAnsi="Arial"/>
          <w:b/>
          <w:bCs/>
          <w:sz w:val="24"/>
          <w:szCs w:val="24"/>
        </w:rPr>
        <w:t xml:space="preserve">GENROU — what is happening inside</w:t>
      </w:r>
    </w:p>
    <w:p>
      <w:pPr>
        <w:spacing w:after="120"/>
      </w:pPr>
      <w:r>
        <w:rPr>
          <w:rFonts w:ascii="Arial" w:cs="Arial" w:eastAsia="Arial" w:hAnsi="Arial"/>
          <w:b w:val="false"/>
          <w:bCs w:val="false"/>
          <w:i w:val="false"/>
          <w:iCs w:val="false"/>
          <w:sz w:val="22"/>
          <w:szCs w:val="22"/>
        </w:rPr>
        <w:t xml:space="preserve">Round-rotor machine with d- and q-axis transient and sub-transient fluxes. Six electrical states (E'q, E'd, ψ"d, ψ"q) plus the two mechanical states (δ, ω), and a saturation curve that couples the d-axis fluxes back through a nonlinear Sd(|Eq+…|) term. The constant flux linkage theorem is the educational core here: rotor flux linkages cannot change instantaneously because they are integrators. What that means operationally is that during the first few cycles of a fault, E'q holds approximately constant while Ed', ψ"d, ψ"q move on sub-transient time constants. Colleagues should see this on a plot — set up a fault, overlay all four on the same axes, and the time-scale separation is visible.</w:t>
      </w:r>
    </w:p>
    <w:p>
      <w:pPr>
        <w:spacing w:after="120"/>
      </w:pPr>
      <w:r>
        <w:rPr>
          <w:rFonts w:ascii="Arial" w:cs="Arial" w:eastAsia="Arial" w:hAnsi="Arial"/>
          <w:b w:val="false"/>
          <w:bCs w:val="false"/>
          <w:i w:val="false"/>
          <w:iCs w:val="false"/>
          <w:sz w:val="22"/>
          <w:szCs w:val="22"/>
        </w:rPr>
        <w:t xml:space="preserve">Saturation is implemented as the Se(x) lookup with two points (S1.0, S1.2) at 1.0 and 1.2 pu air-gap flux, fitted to a quadratic or exponential curve depending on the variant. For GENROU specifically we use quadratic Se — this matches PSS/E. For GENSAL (salient pole) the same structure with no q-axis sub-transient applies; we will add GENSAL later if needed.</w:t>
      </w:r>
    </w:p>
    <w:p>
      <w:pPr>
        <w:pStyle w:val="Heading3"/>
        <w:spacing w:after="100" w:before="200"/>
      </w:pPr>
      <w:r>
        <w:rPr>
          <w:rFonts w:ascii="Arial" w:cs="Arial" w:eastAsia="Arial" w:hAnsi="Arial"/>
          <w:b/>
          <w:bCs/>
          <w:sz w:val="24"/>
          <w:szCs w:val="24"/>
        </w:rPr>
        <w:t xml:space="preserve">ST1A — static exciter</w:t>
      </w:r>
    </w:p>
    <w:p>
      <w:pPr>
        <w:spacing w:after="120"/>
      </w:pPr>
      <w:r>
        <w:rPr>
          <w:rFonts w:ascii="Arial" w:cs="Arial" w:eastAsia="Arial" w:hAnsi="Arial"/>
          <w:b w:val="false"/>
          <w:bCs w:val="false"/>
          <w:i w:val="false"/>
          <w:iCs w:val="false"/>
          <w:sz w:val="22"/>
          <w:szCs w:val="22"/>
        </w:rPr>
        <w:t xml:space="preserve">A potential-source, thyristor-bridge exciter: terminal voltage is sensed, compared with Vref, the error goes through a high-gain PI with a lead-lag transducer and an over-excitation ceiling. Characteristic time constants: Tr (sensing) ~ 10–20 ms; Ta, Tb, Tc (regulator) ~ 0.1–1 s; KA ~ 200–400 (very high). Output is Efd into the generator field.</w:t>
      </w:r>
    </w:p>
    <w:p>
      <w:pPr>
        <w:spacing w:after="120"/>
      </w:pPr>
      <w:r>
        <w:rPr>
          <w:rFonts w:ascii="Arial" w:cs="Arial" w:eastAsia="Arial" w:hAnsi="Arial"/>
          <w:b w:val="false"/>
          <w:bCs w:val="false"/>
          <w:i w:val="false"/>
          <w:iCs w:val="false"/>
          <w:sz w:val="22"/>
          <w:szCs w:val="22"/>
        </w:rPr>
        <w:t xml:space="preserve">The pedagogical point of ST1A is that its high gain is both the source of good voltage regulation and the cause of rotor mode destabilisation — it pushes damping negative on the local mode. The PSS exists precisely to put it back.</w:t>
      </w:r>
    </w:p>
    <w:p>
      <w:pPr>
        <w:pStyle w:val="Heading3"/>
        <w:spacing w:after="100" w:before="200"/>
      </w:pPr>
      <w:r>
        <w:rPr>
          <w:rFonts w:ascii="Arial" w:cs="Arial" w:eastAsia="Arial" w:hAnsi="Arial"/>
          <w:b/>
          <w:bCs/>
          <w:sz w:val="24"/>
          <w:szCs w:val="24"/>
        </w:rPr>
        <w:t xml:space="preserve">PSS1A — single-input stabiliser</w:t>
      </w:r>
    </w:p>
    <w:p>
      <w:pPr>
        <w:spacing w:after="120"/>
      </w:pPr>
      <w:r>
        <w:rPr>
          <w:rFonts w:ascii="Arial" w:cs="Arial" w:eastAsia="Arial" w:hAnsi="Arial"/>
          <w:b w:val="false"/>
          <w:bCs w:val="false"/>
          <w:i w:val="false"/>
          <w:iCs w:val="false"/>
          <w:sz w:val="22"/>
          <w:szCs w:val="22"/>
        </w:rPr>
        <w:t xml:space="preserve">Input is normally rotor speed deviation (dω). A washout (Tw ~ 10 s) removes DC; two lead-lag blocks (T1/T2, T3/T4) provide the phase compensation so the PSS output adds a torque in phase with speed, i.e., damping torque; a gain Ks sets the magnitude; a limiter clamps the output (typically ±0.05 pu Vref). PSS1A sums its output into Vref on the AVR.</w:t>
      </w:r>
    </w:p>
    <w:p>
      <w:pPr>
        <w:spacing w:after="120"/>
      </w:pPr>
      <w:r>
        <w:rPr>
          <w:rFonts w:ascii="Arial" w:cs="Arial" w:eastAsia="Arial" w:hAnsi="Arial"/>
          <w:b w:val="false"/>
          <w:bCs w:val="false"/>
          <w:i w:val="false"/>
          <w:iCs w:val="false"/>
          <w:sz w:val="22"/>
          <w:szCs w:val="22"/>
        </w:rPr>
        <w:t xml:space="preserve">Demonstrating the PSS is the highlight of Phase 2. Run the same voltage step with and without PSS; plot δ, ω, and Vt. Without PSS you see a slowly damped or un-damped local mode at 1–2 Hz. Switch PSS on, same disturbance, the oscillation kills in 1–2 cycles. This is the "a-ha" moment.</w:t>
      </w:r>
    </w:p>
    <w:p>
      <w:pPr>
        <w:pStyle w:val="Heading3"/>
        <w:spacing w:after="100" w:before="200"/>
      </w:pPr>
      <w:r>
        <w:rPr>
          <w:rFonts w:ascii="Arial" w:cs="Arial" w:eastAsia="Arial" w:hAnsi="Arial"/>
          <w:b/>
          <w:bCs/>
          <w:sz w:val="24"/>
          <w:szCs w:val="24"/>
        </w:rPr>
        <w:t xml:space="preserve">TGOV1 — simplest steam governor</w:t>
      </w:r>
    </w:p>
    <w:p>
      <w:pPr>
        <w:spacing w:after="120"/>
      </w:pPr>
      <w:r>
        <w:rPr>
          <w:rFonts w:ascii="Arial" w:cs="Arial" w:eastAsia="Arial" w:hAnsi="Arial"/>
          <w:b w:val="false"/>
          <w:bCs w:val="false"/>
          <w:i w:val="false"/>
          <w:iCs w:val="false"/>
          <w:sz w:val="22"/>
          <w:szCs w:val="22"/>
        </w:rPr>
        <w:t xml:space="preserve">Droop R (~ 5%), single lead (T1) and reheat (T2, T3) time constants, valve limit Vmax/Vmin. Input: rotor speed deviation. Output: mechanical power Pm into the shaft. Droop maps a frequency deviation to a power change: ΔP = –Δω / R in pu.</w:t>
      </w:r>
    </w:p>
    <w:p>
      <w:pPr>
        <w:spacing w:after="120"/>
      </w:pPr>
      <w:r>
        <w:rPr>
          <w:rFonts w:ascii="Arial" w:cs="Arial" w:eastAsia="Arial" w:hAnsi="Arial"/>
          <w:b w:val="false"/>
          <w:bCs w:val="false"/>
          <w:i w:val="false"/>
          <w:iCs w:val="false"/>
          <w:sz w:val="22"/>
          <w:szCs w:val="22"/>
        </w:rPr>
        <w:t xml:space="preserve">The demonstration for TGOV1 is a frequency step (we apply it by raising the total system load slightly via an infinite-bus angle ramp, or on N-bus cases by dropping a load). Colleagues see Pm rise with a first-order time constant on the order of the reheat, and the droop line is recoverable by plotting ΔP vs Δω in steady state.</w:t>
      </w:r>
    </w:p>
    <w:p>
      <w:pPr>
        <w:pStyle w:val="Heading3"/>
        <w:spacing w:after="100" w:before="200"/>
      </w:pPr>
      <w:r>
        <w:rPr>
          <w:rFonts w:ascii="Arial" w:cs="Arial" w:eastAsia="Arial" w:hAnsi="Arial"/>
          <w:b/>
          <w:bCs/>
          <w:sz w:val="24"/>
          <w:szCs w:val="24"/>
        </w:rPr>
        <w:t xml:space="preserve">Initialisation — the pain</w:t>
      </w:r>
    </w:p>
    <w:p>
      <w:pPr>
        <w:spacing w:after="120"/>
      </w:pPr>
      <w:r>
        <w:rPr>
          <w:rFonts w:ascii="Arial" w:cs="Arial" w:eastAsia="Arial" w:hAnsi="Arial"/>
          <w:b w:val="false"/>
          <w:bCs w:val="false"/>
          <w:i w:val="false"/>
          <w:iCs w:val="false"/>
          <w:sz w:val="22"/>
          <w:szCs w:val="22"/>
        </w:rPr>
        <w:t xml:space="preserve">This is where weeks of debugging typically live. The protocol must be disciplined:</w:t>
      </w:r>
    </w:p>
    <w:p>
      <w:pPr>
        <w:pStyle w:val="ListParagraph"/>
        <w:numPr>
          <w:ilvl w:val="0"/>
          <w:numId w:val="2"/>
        </w:numPr>
        <w:spacing w:after="80"/>
      </w:pPr>
      <w:r>
        <w:rPr>
          <w:rFonts w:ascii="Arial" w:cs="Arial" w:eastAsia="Arial" w:hAnsi="Arial"/>
          <w:sz w:val="22"/>
          <w:szCs w:val="22"/>
        </w:rPr>
        <w:t xml:space="preserve">Solve PF. Gives V_t and S_t.</w:t>
      </w:r>
    </w:p>
    <w:p>
      <w:pPr>
        <w:pStyle w:val="ListParagraph"/>
        <w:numPr>
          <w:ilvl w:val="0"/>
          <w:numId w:val="2"/>
        </w:numPr>
        <w:spacing w:after="80"/>
      </w:pPr>
      <w:r>
        <w:rPr>
          <w:rFonts w:ascii="Arial" w:cs="Arial" w:eastAsia="Arial" w:hAnsi="Arial"/>
          <w:sz w:val="22"/>
          <w:szCs w:val="22"/>
        </w:rPr>
        <w:t xml:space="preserve">Compute terminal current I_t = conj(S_t/V_t).</w:t>
      </w:r>
    </w:p>
    <w:p>
      <w:pPr>
        <w:pStyle w:val="ListParagraph"/>
        <w:numPr>
          <w:ilvl w:val="0"/>
          <w:numId w:val="2"/>
        </w:numPr>
        <w:spacing w:after="80"/>
      </w:pPr>
      <w:r>
        <w:rPr>
          <w:rFonts w:ascii="Arial" w:cs="Arial" w:eastAsia="Arial" w:hAnsi="Arial"/>
          <w:sz w:val="22"/>
          <w:szCs w:val="22"/>
        </w:rPr>
        <w:t xml:space="preserve">Back-calculate internal rotor angle δ from the phasor behind Xq (not X'd — Xq — because at steady state the internal voltage Eq is aligned with the q-axis regardless of sub-transient state).</w:t>
      </w:r>
    </w:p>
    <w:p>
      <w:pPr>
        <w:pStyle w:val="ListParagraph"/>
        <w:numPr>
          <w:ilvl w:val="0"/>
          <w:numId w:val="2"/>
        </w:numPr>
        <w:spacing w:after="80"/>
      </w:pPr>
      <w:r>
        <w:rPr>
          <w:rFonts w:ascii="Arial" w:cs="Arial" w:eastAsia="Arial" w:hAnsi="Arial"/>
          <w:sz w:val="22"/>
          <w:szCs w:val="22"/>
        </w:rPr>
        <w:t xml:space="preserve">Rotate V_t and I_t into dq using δ: Vd, Vq, Id, Iq.</w:t>
      </w:r>
    </w:p>
    <w:p>
      <w:pPr>
        <w:pStyle w:val="ListParagraph"/>
        <w:numPr>
          <w:ilvl w:val="0"/>
          <w:numId w:val="2"/>
        </w:numPr>
        <w:spacing w:after="80"/>
      </w:pPr>
      <w:r>
        <w:rPr>
          <w:rFonts w:ascii="Arial" w:cs="Arial" w:eastAsia="Arial" w:hAnsi="Arial"/>
          <w:sz w:val="22"/>
          <w:szCs w:val="22"/>
        </w:rPr>
        <w:t xml:space="preserve">Solve the steady-state flux equations algebraically for E'q, E'd, ψ"d, ψ"q. These come straight out of the Park equations with all time derivatives set to zero.</w:t>
      </w:r>
    </w:p>
    <w:p>
      <w:pPr>
        <w:pStyle w:val="ListParagraph"/>
        <w:numPr>
          <w:ilvl w:val="0"/>
          <w:numId w:val="2"/>
        </w:numPr>
        <w:spacing w:after="80"/>
      </w:pPr>
      <w:r>
        <w:rPr>
          <w:rFonts w:ascii="Arial" w:cs="Arial" w:eastAsia="Arial" w:hAnsi="Arial"/>
          <w:sz w:val="22"/>
          <w:szCs w:val="22"/>
        </w:rPr>
        <w:t xml:space="preserve">Compute Efd = Eq + (Xd − X'd) Id (plus saturation term). This is the steady-state field voltage. AVR: set Vref so that the AVR PI loop output equals this Efd with zero error. PSS: all states zero (PSS is a high-pass/washout — steady state is zero output).</w:t>
      </w:r>
    </w:p>
    <w:p>
      <w:pPr>
        <w:pStyle w:val="ListParagraph"/>
        <w:numPr>
          <w:ilvl w:val="0"/>
          <w:numId w:val="2"/>
        </w:numPr>
        <w:spacing w:after="80"/>
      </w:pPr>
      <w:r>
        <w:rPr>
          <w:rFonts w:ascii="Arial" w:cs="Arial" w:eastAsia="Arial" w:hAnsi="Arial"/>
          <w:sz w:val="22"/>
          <w:szCs w:val="22"/>
        </w:rPr>
        <w:t xml:space="preserve">Governor: set Pref so that the valve position gives mechanical power equal to the electrical power at steady state. All governor states zero (no frequency error).</w:t>
      </w:r>
    </w:p>
    <w:p>
      <w:pPr>
        <w:pStyle w:val="ListParagraph"/>
        <w:numPr>
          <w:ilvl w:val="0"/>
          <w:numId w:val="2"/>
        </w:numPr>
        <w:spacing w:after="80"/>
      </w:pPr>
      <w:r>
        <w:rPr>
          <w:rFonts w:ascii="Arial" w:cs="Arial" w:eastAsia="Arial" w:hAnsi="Arial"/>
          <w:sz w:val="22"/>
          <w:szCs w:val="22"/>
        </w:rPr>
        <w:t xml:space="preserve">Now call derivatives() on every model. Every single value must be &lt; 1e-8. If not, the bug is in one of the above steps — start from the top.</w:t>
      </w:r>
    </w:p>
    <w:p>
      <w:pPr>
        <w:pStyle w:val="Heading3"/>
        <w:spacing w:after="100" w:before="200"/>
      </w:pPr>
      <w:r>
        <w:rPr>
          <w:rFonts w:ascii="Arial" w:cs="Arial" w:eastAsia="Arial" w:hAnsi="Arial"/>
          <w:b/>
          <w:bCs/>
          <w:sz w:val="24"/>
          <w:szCs w:val="24"/>
        </w:rPr>
        <w:t xml:space="preserve">Typical bugs we will hit</w:t>
      </w:r>
    </w:p>
    <w:p>
      <w:pPr>
        <w:pStyle w:val="ListParagraph"/>
        <w:numPr>
          <w:ilvl w:val="0"/>
          <w:numId w:val="2"/>
        </w:numPr>
        <w:spacing w:after="80"/>
      </w:pPr>
      <w:r>
        <w:rPr>
          <w:rFonts w:ascii="Arial" w:cs="Arial" w:eastAsia="Arial" w:hAnsi="Arial"/>
          <w:sz w:val="22"/>
          <w:szCs w:val="22"/>
        </w:rPr>
        <w:t xml:space="preserve">Saturation initialisation: Se(|Ψ|) at initialisation must use the same argument as at runtime. A common bug is computing Ψ with one sign convention at init and another at runtime.</w:t>
      </w:r>
    </w:p>
    <w:p>
      <w:pPr>
        <w:pStyle w:val="ListParagraph"/>
        <w:numPr>
          <w:ilvl w:val="0"/>
          <w:numId w:val="2"/>
        </w:numPr>
        <w:spacing w:after="80"/>
      </w:pPr>
      <w:r>
        <w:rPr>
          <w:rFonts w:ascii="Arial" w:cs="Arial" w:eastAsia="Arial" w:hAnsi="Arial"/>
          <w:sz w:val="22"/>
          <w:szCs w:val="22"/>
        </w:rPr>
        <w:t xml:space="preserve">δ reference to global DQ vs to infinite bus: drift of constant ω_s (or a cos/sin sign flip) is the most common form.</w:t>
      </w:r>
    </w:p>
    <w:p>
      <w:pPr>
        <w:pStyle w:val="ListParagraph"/>
        <w:numPr>
          <w:ilvl w:val="0"/>
          <w:numId w:val="2"/>
        </w:numPr>
        <w:spacing w:after="80"/>
      </w:pPr>
      <w:r>
        <w:rPr>
          <w:rFonts w:ascii="Arial" w:cs="Arial" w:eastAsia="Arial" w:hAnsi="Arial"/>
          <w:sz w:val="22"/>
          <w:szCs w:val="22"/>
        </w:rPr>
        <w:t xml:space="preserve">AVR Vref computed with or without the LDC (line drop compensation) term — must match the runtime behaviour.</w:t>
      </w:r>
    </w:p>
    <w:p>
      <w:pPr>
        <w:pStyle w:val="ListParagraph"/>
        <w:numPr>
          <w:ilvl w:val="0"/>
          <w:numId w:val="2"/>
        </w:numPr>
        <w:spacing w:after="80"/>
      </w:pPr>
      <w:r>
        <w:rPr>
          <w:rFonts w:ascii="Arial" w:cs="Arial" w:eastAsia="Arial" w:hAnsi="Arial"/>
          <w:sz w:val="22"/>
          <w:szCs w:val="22"/>
        </w:rPr>
        <w:t xml:space="preserve">PSS washout — if Tw is finite, the washout state must be set such that PSS output is zero at t=0. The only consistent setting is Vs = 0 and washout_state = 0.</w:t>
      </w:r>
    </w:p>
    <w:p>
      <w:pPr>
        <w:pStyle w:val="ListParagraph"/>
        <w:numPr>
          <w:ilvl w:val="0"/>
          <w:numId w:val="2"/>
        </w:numPr>
        <w:spacing w:after="80"/>
      </w:pPr>
      <w:r>
        <w:rPr>
          <w:rFonts w:ascii="Arial" w:cs="Arial" w:eastAsia="Arial" w:hAnsi="Arial"/>
          <w:sz w:val="22"/>
          <w:szCs w:val="22"/>
        </w:rPr>
        <w:t xml:space="preserve">Governor Pref — if the droop is referenced to Pref_pu, not to valve position, a missing multiplicative 1/R can put everything out by a factor of 20.</w:t>
      </w:r>
    </w:p>
    <w:p>
      <w:pPr>
        <w:pStyle w:val="Heading3"/>
        <w:spacing w:after="100" w:before="200"/>
      </w:pPr>
      <w:r>
        <w:rPr>
          <w:rFonts w:ascii="Arial" w:cs="Arial" w:eastAsia="Arial" w:hAnsi="Arial"/>
          <w:b/>
          <w:bCs/>
          <w:sz w:val="24"/>
          <w:szCs w:val="24"/>
        </w:rPr>
        <w:t xml:space="preserve">Demonstrations baked into the notebook</w:t>
      </w:r>
    </w:p>
    <w:p>
      <w:pPr>
        <w:pStyle w:val="ListParagraph"/>
        <w:numPr>
          <w:ilvl w:val="0"/>
          <w:numId w:val="2"/>
        </w:numPr>
        <w:spacing w:after="80"/>
      </w:pPr>
      <w:r>
        <w:rPr>
          <w:rFonts w:ascii="Arial" w:cs="Arial" w:eastAsia="Arial" w:hAnsi="Arial"/>
          <w:sz w:val="22"/>
          <w:szCs w:val="22"/>
        </w:rPr>
        <w:t xml:space="preserve">Flux plot during fault: E'q, E'd, ψ"d, ψ"q overlaid, showing time-scale separation. Teaches constant flux linkage.</w:t>
      </w:r>
    </w:p>
    <w:p>
      <w:pPr>
        <w:pStyle w:val="ListParagraph"/>
        <w:numPr>
          <w:ilvl w:val="0"/>
          <w:numId w:val="2"/>
        </w:numPr>
        <w:spacing w:after="80"/>
      </w:pPr>
      <w:r>
        <w:rPr>
          <w:rFonts w:ascii="Arial" w:cs="Arial" w:eastAsia="Arial" w:hAnsi="Arial"/>
          <w:sz w:val="22"/>
          <w:szCs w:val="22"/>
        </w:rPr>
        <w:t xml:space="preserve">Voltage step without PSS, then with PSS. Eigenvalue comparison.</w:t>
      </w:r>
    </w:p>
    <w:p>
      <w:pPr>
        <w:pStyle w:val="ListParagraph"/>
        <w:numPr>
          <w:ilvl w:val="0"/>
          <w:numId w:val="2"/>
        </w:numPr>
        <w:spacing w:after="80"/>
      </w:pPr>
      <w:r>
        <w:rPr>
          <w:rFonts w:ascii="Arial" w:cs="Arial" w:eastAsia="Arial" w:hAnsi="Arial"/>
          <w:sz w:val="22"/>
          <w:szCs w:val="22"/>
        </w:rPr>
        <w:t xml:space="preserve">AVR saturation/ceiling hit during a close-in fault.</w:t>
      </w:r>
    </w:p>
    <w:p>
      <w:pPr>
        <w:pStyle w:val="ListParagraph"/>
        <w:numPr>
          <w:ilvl w:val="0"/>
          <w:numId w:val="2"/>
        </w:numPr>
        <w:spacing w:after="80"/>
      </w:pPr>
      <w:r>
        <w:rPr>
          <w:rFonts w:ascii="Arial" w:cs="Arial" w:eastAsia="Arial" w:hAnsi="Arial"/>
          <w:sz w:val="22"/>
          <w:szCs w:val="22"/>
        </w:rPr>
        <w:t xml:space="preserve">Governor droop recovery on a small load step.</w:t>
      </w:r>
    </w:p>
    <w:p>
      <w:pPr>
        <w:pStyle w:val="Heading3"/>
        <w:spacing w:after="100" w:before="200"/>
      </w:pPr>
      <w:r>
        <w:rPr>
          <w:rFonts w:ascii="Arial" w:cs="Arial" w:eastAsia="Arial" w:hAnsi="Arial"/>
          <w:b/>
          <w:bCs/>
          <w:sz w:val="24"/>
          <w:szCs w:val="24"/>
        </w:rPr>
        <w:t xml:space="preserve">Exit criteria</w:t>
      </w:r>
    </w:p>
    <w:p>
      <w:pPr>
        <w:pStyle w:val="ListParagraph"/>
        <w:numPr>
          <w:ilvl w:val="0"/>
          <w:numId w:val="2"/>
        </w:numPr>
        <w:spacing w:after="80"/>
      </w:pPr>
      <w:r>
        <w:rPr>
          <w:rFonts w:ascii="Arial" w:cs="Arial" w:eastAsia="Arial" w:hAnsi="Arial"/>
          <w:sz w:val="22"/>
          <w:szCs w:val="22"/>
        </w:rPr>
        <w:t xml:space="preserve">Flat-line &lt; 1e-5 over 10 s on the full stack.</w:t>
      </w:r>
    </w:p>
    <w:p>
      <w:pPr>
        <w:pStyle w:val="ListParagraph"/>
        <w:numPr>
          <w:ilvl w:val="0"/>
          <w:numId w:val="2"/>
        </w:numPr>
        <w:spacing w:after="80"/>
      </w:pPr>
      <w:r>
        <w:rPr>
          <w:rFonts w:ascii="Arial" w:cs="Arial" w:eastAsia="Arial" w:hAnsi="Arial"/>
          <w:sz w:val="22"/>
          <w:szCs w:val="22"/>
        </w:rPr>
        <w:t xml:space="preserve">Small-signal voltage step (1%) matches a hand-derived transfer function Vt/Vref within 2% in magnitude and 5° in phase for the first 5 s.</w:t>
      </w:r>
    </w:p>
    <w:p>
      <w:pPr>
        <w:pStyle w:val="ListParagraph"/>
        <w:numPr>
          <w:ilvl w:val="0"/>
          <w:numId w:val="2"/>
        </w:numPr>
        <w:spacing w:after="80"/>
      </w:pPr>
      <w:r>
        <w:rPr>
          <w:rFonts w:ascii="Arial" w:cs="Arial" w:eastAsia="Arial" w:hAnsi="Arial"/>
          <w:sz w:val="22"/>
          <w:szCs w:val="22"/>
        </w:rPr>
        <w:t xml:space="preserve">PSSE regression on one curated case within defined tolerance (± 2% on δ, ± 1° on angle, ± 0.01 pu on Vt).</w:t>
      </w:r>
    </w:p>
    <w:p>
      <w:r>
        <w:br w:type="page"/>
      </w:r>
    </w:p>
    <w:p>
      <w:pPr>
        <w:pStyle w:val="Heading2"/>
        <w:spacing w:after="120" w:before="240"/>
      </w:pPr>
      <w:r>
        <w:rPr>
          <w:rFonts w:ascii="Arial" w:cs="Arial" w:eastAsia="Arial" w:hAnsi="Arial"/>
          <w:b/>
          <w:bCs/>
          <w:sz w:val="28"/>
          <w:szCs w:val="28"/>
        </w:rPr>
        <w:t xml:space="preserve">5.3 Phase 3 — Generic IBR (REGC_A + REEC_A + REPC_A)</w:t>
      </w:r>
    </w:p>
    <w:p>
      <w:pPr>
        <w:pStyle w:val="Heading3"/>
        <w:spacing w:after="100" w:before="200"/>
      </w:pPr>
      <w:r>
        <w:rPr>
          <w:rFonts w:ascii="Arial" w:cs="Arial" w:eastAsia="Arial" w:hAnsi="Arial"/>
          <w:b/>
          <w:bCs/>
          <w:sz w:val="24"/>
          <w:szCs w:val="24"/>
        </w:rPr>
        <w:t xml:space="preserve">Why IBR is a different beast</w:t>
      </w:r>
    </w:p>
    <w:p>
      <w:pPr>
        <w:spacing w:after="120"/>
      </w:pPr>
      <w:r>
        <w:rPr>
          <w:rFonts w:ascii="Arial" w:cs="Arial" w:eastAsia="Arial" w:hAnsi="Arial"/>
          <w:b w:val="false"/>
          <w:bCs w:val="false"/>
          <w:i w:val="false"/>
          <w:iCs w:val="false"/>
          <w:sz w:val="22"/>
          <w:szCs w:val="22"/>
        </w:rPr>
        <w:t xml:space="preserve">A grid-following inverter is not a machine. There is no rotor, no swing equation, no constant flux linkage. It is a controlled current source whose phase reference comes from a Phase-Locked Loop (PLL) tracking the grid voltage. Two things about this have no analogue in synchronous machines and therefore must be taught explicitly: the PLL is a second-order dynamic system whose bandwidth interacts with the line impedance; and when current limits bind, the device abandons its small-signal behaviour and enters a priority-based saturation regime that is both discontinuous and history-dependent.</w:t>
      </w:r>
    </w:p>
    <w:p>
      <w:pPr>
        <w:pStyle w:val="Heading3"/>
        <w:spacing w:after="100" w:before="200"/>
      </w:pPr>
      <w:r>
        <w:rPr>
          <w:rFonts w:ascii="Arial" w:cs="Arial" w:eastAsia="Arial" w:hAnsi="Arial"/>
          <w:b/>
          <w:bCs/>
          <w:sz w:val="24"/>
          <w:szCs w:val="24"/>
        </w:rPr>
        <w:t xml:space="preserve">The three-layer WECC structure</w:t>
      </w:r>
    </w:p>
    <w:p>
      <w:pPr>
        <w:spacing w:after="120"/>
      </w:pPr>
      <w:r>
        <w:rPr>
          <w:rFonts w:ascii="Arial" w:cs="Arial" w:eastAsia="Arial" w:hAnsi="Arial"/>
          <w:b w:val="false"/>
          <w:bCs w:val="false"/>
          <w:i w:val="false"/>
          <w:iCs w:val="false"/>
          <w:sz w:val="22"/>
          <w:szCs w:val="22"/>
        </w:rPr>
        <w:t xml:space="preserve">REGC_A is the generator/converter layer: takes dq current commands, applies a small filter, applies current limits (implemented as a disk in the Ipd-Iqd plane with active- or reactive-priority logic), outputs a current phasor onto the grid.</w:t>
      </w:r>
    </w:p>
    <w:p>
      <w:pPr>
        <w:spacing w:after="120"/>
      </w:pPr>
      <w:r>
        <w:rPr>
          <w:rFonts w:ascii="Arial" w:cs="Arial" w:eastAsia="Arial" w:hAnsi="Arial"/>
          <w:b w:val="false"/>
          <w:bCs w:val="false"/>
          <w:i w:val="false"/>
          <w:iCs w:val="false"/>
          <w:sz w:val="22"/>
          <w:szCs w:val="22"/>
        </w:rPr>
        <w:t xml:space="preserve">REEC_A is the electrical control: takes a voltage reference or a reactive power reference, runs a Q-V outer loop, produces an Iq command. It also runs an active-power loop producing an Ip command from a Pref. The LVRT/HVRT ride-through logic lives here — when terminal voltage falls below a threshold, the inverter switches to Iqinj (reactive current support) mode and may freeze active power depending on flag settings.</w:t>
      </w:r>
    </w:p>
    <w:p>
      <w:pPr>
        <w:spacing w:after="120"/>
      </w:pPr>
      <w:r>
        <w:rPr>
          <w:rFonts w:ascii="Arial" w:cs="Arial" w:eastAsia="Arial" w:hAnsi="Arial"/>
          <w:b w:val="false"/>
          <w:bCs w:val="false"/>
          <w:i w:val="false"/>
          <w:iCs w:val="false"/>
          <w:sz w:val="22"/>
          <w:szCs w:val="22"/>
        </w:rPr>
        <w:t xml:space="preserve">REPC_A is the plant controller: slow outer loop running at the POI, setting Vref or Qref for REEC_A based on point-of-interconnection voltage. On REPC_A the controller runs PI at ~1 s time constant with freq-droop optional.</w:t>
      </w:r>
    </w:p>
    <w:p>
      <w:pPr>
        <w:pStyle w:val="Heading3"/>
        <w:spacing w:after="100" w:before="200"/>
      </w:pPr>
      <w:r>
        <w:rPr>
          <w:rFonts w:ascii="Arial" w:cs="Arial" w:eastAsia="Arial" w:hAnsi="Arial"/>
          <w:b/>
          <w:bCs/>
          <w:sz w:val="24"/>
          <w:szCs w:val="24"/>
        </w:rPr>
        <w:t xml:space="preserve">The PLL (anchored to MHI PSCAD v5.0)</w:t>
      </w:r>
    </w:p>
    <w:p>
      <w:pPr>
        <w:spacing w:after="120"/>
      </w:pPr>
      <w:r>
        <w:rPr>
          <w:rFonts w:ascii="Arial" w:cs="Arial" w:eastAsia="Arial" w:hAnsi="Arial"/>
          <w:b w:val="false"/>
          <w:bCs w:val="false"/>
          <w:i w:val="false"/>
          <w:iCs w:val="false"/>
          <w:sz w:val="22"/>
          <w:szCs w:val="22"/>
        </w:rPr>
        <w:t xml:space="preserve">We use the Manitoba Hydro International (MHI) PSCAD v5.0 PLL component as the reference implementation, rather than a generic textbook SRF-PLL. Source: "Phase Locked Loop (PLL) Component, For PSCAD Version 5.0", F. S. Wasylik, 30 Jan 2020, shipped as phase_locked_loop_pll.pdf in the workspace. This is the closest publicly documented PLL to what industrial transient stability tools use, and grounding the design here removes an otherwise-vague design choice.</w:t>
      </w:r>
    </w:p>
    <w:p>
      <w:pPr>
        <w:spacing w:after="120"/>
      </w:pPr>
      <w:r>
        <w:rPr>
          <w:rFonts w:ascii="Arial" w:cs="Arial" w:eastAsia="Arial" w:hAnsi="Arial"/>
          <w:b w:val="false"/>
          <w:bCs w:val="false"/>
          <w:i w:val="false"/>
          <w:iCs w:val="false"/>
          <w:sz w:val="22"/>
          <w:szCs w:val="22"/>
        </w:rPr>
        <w:t xml:space="preserve">MHI block diagram (Figure 1 of the cited document): Va,Vb,Vc → Park(θ) → Vd, Vq → ATAN2(Vd, Vq) → φ_err → subtract offset angle → PI(Kp, Ki/s) → Δω → add ω₀ → frequency limiter → 1/s → θ. Three properties of this structure are load-bearing and each is a common bug in DIY PLLs.</w:t>
      </w:r>
    </w:p>
    <w:p>
      <w:pPr>
        <w:pStyle w:val="ListParagraph"/>
        <w:numPr>
          <w:ilvl w:val="0"/>
          <w:numId w:val="2"/>
        </w:numPr>
        <w:spacing w:after="80"/>
      </w:pPr>
      <w:r>
        <w:rPr>
          <w:rFonts w:ascii="Arial" w:cs="Arial" w:eastAsia="Arial" w:hAnsi="Arial"/>
          <w:sz w:val="22"/>
          <w:szCs w:val="22"/>
        </w:rPr>
        <w:t xml:space="preserve">Phase detector is atan2(Vd, Vq), not a normalised Vq. This is linear over the full ±π range, so large-angle step tests (MHI Example 1 applies a 90° step) converge. A sin-detector saturates near ±π/2 and loop gain collapses there.</w:t>
      </w:r>
    </w:p>
    <w:p>
      <w:pPr>
        <w:pStyle w:val="ListParagraph"/>
        <w:numPr>
          <w:ilvl w:val="0"/>
          <w:numId w:val="2"/>
        </w:numPr>
        <w:spacing w:after="80"/>
      </w:pPr>
      <w:r>
        <w:rPr>
          <w:rFonts w:ascii="Arial" w:cs="Arial" w:eastAsia="Arial" w:hAnsi="Arial"/>
          <w:sz w:val="22"/>
          <w:szCs w:val="22"/>
        </w:rPr>
        <w:t xml:space="preserve">Axis convention in MHI is SWAPPED from the usual IEEE/PSSE form. In MHI's eq (1), Vq is cosine-aligned (top row) and Vd is sine-aligned (bottom row). atan2(Vd, Vq) then returns angle(V) − θ directly and goes to zero at lock. Every comment and plot label in our implementation follows MHI so the axes are consistent end-to-end.</w:t>
      </w:r>
    </w:p>
    <w:p>
      <w:pPr>
        <w:pStyle w:val="ListParagraph"/>
        <w:numPr>
          <w:ilvl w:val="0"/>
          <w:numId w:val="2"/>
        </w:numPr>
        <w:spacing w:after="80"/>
      </w:pPr>
      <w:r>
        <w:rPr>
          <w:rFonts w:ascii="Arial" w:cs="Arial" w:eastAsia="Arial" w:hAnsi="Arial"/>
          <w:sz w:val="22"/>
          <w:szCs w:val="22"/>
        </w:rPr>
        <w:t xml:space="preserve">Base frequency ω₀ is added downstream of the PI, and a frequency limiter sits between the PI output and the integrator. The PI computes Δω (a deviation), not absolute frequency. The limiter is the correct place for conditional-integration anti-windup — freeze the integrator when the limiter saturates in the same sign as φ_err.</w:t>
      </w:r>
    </w:p>
    <w:p>
      <w:pPr>
        <w:pStyle w:val="Heading3"/>
        <w:spacing w:after="100" w:before="200"/>
      </w:pPr>
      <w:r>
        <w:rPr>
          <w:rFonts w:ascii="Arial" w:cs="Arial" w:eastAsia="Arial" w:hAnsi="Arial"/>
          <w:b/>
          <w:bCs/>
          <w:sz w:val="24"/>
          <w:szCs w:val="24"/>
        </w:rPr>
        <w:t xml:space="preserve">Phasor-domain collapse</w:t>
      </w:r>
    </w:p>
    <w:p>
      <w:pPr>
        <w:spacing w:after="120"/>
      </w:pPr>
      <w:r>
        <w:rPr>
          <w:rFonts w:ascii="Arial" w:cs="Arial" w:eastAsia="Arial" w:hAnsi="Arial"/>
          <w:b w:val="false"/>
          <w:bCs w:val="false"/>
          <w:i w:val="false"/>
          <w:iCs w:val="false"/>
          <w:sz w:val="22"/>
          <w:szCs w:val="22"/>
        </w:rPr>
        <w:t xml:space="preserve">Our simulator does not carry abc time-domain signals; we have a complex terminal phasor V_terminal in the global synchronous DQ frame. The Park + atan2 chain collapses to a single line:</w:t>
      </w:r>
    </w:p>
    <w:p>
      <w:pPr>
        <w:shd w:fill="F2F2F2" w:val="clear"/>
        <w:spacing w:after="120"/>
      </w:pPr>
      <w:r>
        <w:rPr>
          <w:rFonts w:ascii="Courier New" w:cs="Courier New" w:eastAsia="Courier New" w:hAnsi="Courier New"/>
          <w:sz w:val="20"/>
          <w:szCs w:val="20"/>
        </w:rPr>
        <w:t xml:space="preserve">phi_err = wrap(angle(V_terminal) - theta_pll - offset_angle)   # wrap to (-pi, pi]</w:t>
      </w:r>
    </w:p>
    <w:p>
      <w:pPr>
        <w:spacing w:after="120"/>
      </w:pPr>
      <w:r>
        <w:rPr>
          <w:rFonts w:ascii="Arial" w:cs="Arial" w:eastAsia="Arial" w:hAnsi="Arial"/>
          <w:b w:val="false"/>
          <w:bCs w:val="false"/>
          <w:i w:val="false"/>
          <w:iCs w:val="false"/>
          <w:sz w:val="22"/>
          <w:szCs w:val="22"/>
        </w:rPr>
        <w:t xml:space="preserve">Proof: with V_local = V_terminal · exp(−jθ_pll), Vq = |V|cos(Δ) and Vd = |V|sin(Δ) where Δ = angle(V_terminal) − θ_pll. atan2(Vd, Vq) = Δ. The magnitude |V| cancels — the detector is inherently scale-invariant, which removes the need for a hand-rolled /|V| guard during deep faults.</w:t>
      </w:r>
    </w:p>
    <w:p>
      <w:pPr>
        <w:pStyle w:val="Heading3"/>
        <w:spacing w:after="100" w:before="200"/>
      </w:pPr>
      <w:r>
        <w:rPr>
          <w:rFonts w:ascii="Arial" w:cs="Arial" w:eastAsia="Arial" w:hAnsi="Arial"/>
          <w:b/>
          <w:bCs/>
          <w:sz w:val="24"/>
          <w:szCs w:val="24"/>
        </w:rPr>
        <w:t xml:space="preserve">Parameter presets</w:t>
      </w:r>
    </w:p>
    <w:p>
      <w:pPr>
        <w:spacing w:after="120"/>
      </w:pPr>
      <w:r>
        <w:rPr>
          <w:rFonts w:ascii="Arial" w:cs="Arial" w:eastAsia="Arial" w:hAnsi="Arial"/>
          <w:b w:val="false"/>
          <w:bCs w:val="false"/>
          <w:i w:val="false"/>
          <w:iCs w:val="false"/>
          <w:sz w:val="22"/>
          <w:szCs w:val="22"/>
        </w:rPr>
        <w:t xml:space="preserve">Two presets are exposed in smib/models/pll.py. Notebooks switch between them with a single string argument; the SCR sweep demo makes the trade-off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Kp [rad/s/rad]</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Ki [rad/s²/rad]</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ωn [rad/s]</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rFonts w:ascii="Arial" w:cs="Arial" w:eastAsia="Arial" w:hAnsi="Arial"/>
                <w:b/>
                <w:bCs/>
                <w:sz w:val="20"/>
                <w:szCs w:val="20"/>
              </w:rPr>
              <w:t xml:space="preserve">ζ</w:t>
            </w:r>
          </w:p>
        </w:tc>
      </w:tr>
      <w:tr>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bulk_AC</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MHI Table 1 Model 1, converted deg→rad</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5.24</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17.45</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4.18</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0.63</w:t>
            </w:r>
          </w:p>
        </w:tc>
      </w:tr>
      <w:tr>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ibr_fast</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Textbook IBR vendor (ωn = 2π·30, ζ = 1/√2)</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266.6</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35530</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188</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0.707</w:t>
            </w:r>
          </w:p>
        </w:tc>
      </w:tr>
    </w:tbl>
    <w:p>
      <w:pPr>
        <w:spacing w:after="120"/>
      </w:pPr>
      <w:r>
        <w:rPr>
          <w:rFonts w:ascii="Arial" w:cs="Arial" w:eastAsia="Arial" w:hAnsi="Arial"/>
          <w:b w:val="false"/>
          <w:bCs w:val="false"/>
          <w:i w:val="false"/>
          <w:iCs w:val="false"/>
          <w:sz w:val="22"/>
          <w:szCs w:val="22"/>
        </w:rPr>
        <w:t xml:space="preserve">MHI Table 1 publishes two parameter sets (Model 1: Kp=300, Ki=1000; Model 2: Kp=30, Ki=3000) in what appear to be degree-input units — the phase-error plots in Example 3 show a ±40 scale, too wide for radians. We divide by (180/π) to convert to radian-input units consistent with our np.angle output. Model 1 becomes our bulk_AC preset. Model 2 is extremely under-damped (ζ ≈ 0.036) and we do not copy it wholesale; instead we offer a cleanly-tuned fast PLL as the comparison point.</w:t>
      </w:r>
    </w:p>
    <w:p>
      <w:pPr>
        <w:pStyle w:val="Heading3"/>
        <w:spacing w:after="100" w:before="200"/>
      </w:pPr>
      <w:r>
        <w:rPr>
          <w:rFonts w:ascii="Arial" w:cs="Arial" w:eastAsia="Arial" w:hAnsi="Arial"/>
          <w:b/>
          <w:bCs/>
          <w:sz w:val="24"/>
          <w:szCs w:val="24"/>
        </w:rPr>
        <w:t xml:space="preserve">Demonstrations</w:t>
      </w:r>
    </w:p>
    <w:p>
      <w:pPr>
        <w:pStyle w:val="ListParagraph"/>
        <w:numPr>
          <w:ilvl w:val="0"/>
          <w:numId w:val="2"/>
        </w:numPr>
        <w:spacing w:after="80"/>
      </w:pPr>
      <w:r>
        <w:rPr>
          <w:rFonts w:ascii="Arial" w:cs="Arial" w:eastAsia="Arial" w:hAnsi="Arial"/>
          <w:sz w:val="22"/>
          <w:szCs w:val="22"/>
        </w:rPr>
        <w:t xml:space="preserve">Small voltage step → observe second-order response, confirm measured ωn and ζ match the preset values.</w:t>
      </w:r>
    </w:p>
    <w:p>
      <w:pPr>
        <w:pStyle w:val="ListParagraph"/>
        <w:numPr>
          <w:ilvl w:val="0"/>
          <w:numId w:val="2"/>
        </w:numPr>
        <w:spacing w:after="80"/>
      </w:pPr>
      <w:r>
        <w:rPr>
          <w:rFonts w:ascii="Arial" w:cs="Arial" w:eastAsia="Arial" w:hAnsi="Arial"/>
          <w:sz w:val="22"/>
          <w:szCs w:val="22"/>
        </w:rPr>
        <w:t xml:space="preserve">Three-phase fault with 80% voltage dip → show θ_pll error, anti-windup keeping x_I bounded, recovery without overshoot.</w:t>
      </w:r>
    </w:p>
    <w:p>
      <w:pPr>
        <w:pStyle w:val="ListParagraph"/>
        <w:numPr>
          <w:ilvl w:val="0"/>
          <w:numId w:val="2"/>
        </w:numPr>
        <w:spacing w:after="80"/>
      </w:pPr>
      <w:r>
        <w:rPr>
          <w:rFonts w:ascii="Arial" w:cs="Arial" w:eastAsia="Arial" w:hAnsi="Arial"/>
          <w:sz w:val="22"/>
          <w:szCs w:val="22"/>
        </w:rPr>
        <w:t xml:space="preserve">SCR sweep from 10 down to 1.5 with ibr_fast → instability onset. Re-run with bulk_AC → instability disappears. That overlay is the headline plot of Phase 3.</w:t>
      </w:r>
    </w:p>
    <w:p>
      <w:pPr>
        <w:pStyle w:val="ListParagraph"/>
        <w:numPr>
          <w:ilvl w:val="0"/>
          <w:numId w:val="2"/>
        </w:numPr>
        <w:spacing w:after="80"/>
      </w:pPr>
      <w:r>
        <w:t>Deliverables additionally include a dynawo/phase3/ folder mirroring the psse/phase3/ template. The Dynawo run is the open-source, equation-based half of the Phase 3 correctness floor — if smib, PSSE, and Dynawo all agree on the SCR sweep instability onset within tolerance, the IBR stack is trusted. If two agree and one diverges, the diverger is the bug.</w:t>
      </w:r>
    </w:p>
    <w:p>
      <w:pPr>
        <w:pStyle w:val="Heading3"/>
        <w:spacing w:after="100" w:before="200"/>
      </w:pPr>
      <w:r>
        <w:rPr>
          <w:rFonts w:ascii="Arial" w:cs="Arial" w:eastAsia="Arial" w:hAnsi="Arial"/>
          <w:b/>
          <w:bCs/>
          <w:sz w:val="24"/>
          <w:szCs w:val="24"/>
        </w:rPr>
        <w:t xml:space="preserve">RMS caveat</w:t>
      </w:r>
    </w:p>
    <w:p>
      <w:pPr>
        <w:spacing w:after="120"/>
      </w:pPr>
      <w:r>
        <w:rPr>
          <w:rFonts w:ascii="Arial" w:cs="Arial" w:eastAsia="Arial" w:hAnsi="Arial"/>
          <w:b w:val="false"/>
          <w:bCs w:val="false"/>
          <w:i w:val="false"/>
          <w:iCs w:val="false"/>
          <w:sz w:val="22"/>
          <w:szCs w:val="22"/>
        </w:rPr>
        <w:t xml:space="preserve">MHI Example 3 (Table 1 parameter comparison) shows a 120 Hz ripple on tracked frequency during a single-line-to-ground fault, caused by the negative-sequence content of an unbalanced fault on abc. Positive-sequence phasor simulation does not represent negative sequence, so our PLL traces will look cleaner than PSCAD EMT traces of the same case. Every PLL notebook must state this limitation explicitly at the top. It is a limitation of RMS, not a modelling bug.</w:t>
      </w:r>
    </w:p>
    <w:p>
      <w:pPr>
        <w:spacing w:after="120"/>
      </w:pPr>
      <w:r>
        <w:rPr>
          <w:rFonts w:ascii="Arial" w:cs="Arial" w:eastAsia="Arial" w:hAnsi="Arial"/>
          <w:b w:val="false"/>
          <w:bCs w:val="false"/>
          <w:i w:val="false"/>
          <w:iCs w:val="false"/>
          <w:sz w:val="22"/>
          <w:szCs w:val="22"/>
        </w:rPr>
        <w:t xml:space="preserve">Demonstration (cross-reference): fix all IBR parameters, sweep the grid Xeq from strong (SCR=10) to weak (SCR=1.5), show PLL oscillation taking over and the system collapsing. That is the "why IBRs fall over at low SCR" plot.</w:t>
      </w:r>
    </w:p>
    <w:p>
      <w:pPr>
        <w:pStyle w:val="Heading3"/>
        <w:spacing w:after="100" w:before="200"/>
      </w:pPr>
      <w:r>
        <w:rPr>
          <w:rFonts w:ascii="Arial" w:cs="Arial" w:eastAsia="Arial" w:hAnsi="Arial"/>
          <w:b/>
          <w:bCs/>
          <w:sz w:val="24"/>
          <w:szCs w:val="24"/>
        </w:rPr>
        <w:t xml:space="preserve">Current limiting</w:t>
      </w:r>
    </w:p>
    <w:p>
      <w:pPr>
        <w:spacing w:after="120"/>
      </w:pPr>
      <w:r>
        <w:rPr>
          <w:rFonts w:ascii="Arial" w:cs="Arial" w:eastAsia="Arial" w:hAnsi="Arial"/>
          <w:b w:val="false"/>
          <w:bCs w:val="false"/>
          <w:i w:val="false"/>
          <w:iCs w:val="false"/>
          <w:sz w:val="22"/>
          <w:szCs w:val="22"/>
        </w:rPr>
        <w:t xml:space="preserve">Two canonical priorities: P-priority (give active power first, reduce reactive if total current exceeds Imax), Q-priority (give reactive first, reduce active). Grid codes increasingly require Q-priority during LVRT to maximise voltage support. The priority flag is a single parameter, but its consequence is large: during a severe LV, a P-priority inverter stops injecting Q when you most need it, and a Q-priority inverter stops injecting P — both outcomes are "correct" depending on the code regime.</w:t>
      </w:r>
    </w:p>
    <w:p>
      <w:pPr>
        <w:spacing w:after="120"/>
      </w:pPr>
      <w:r>
        <w:rPr>
          <w:rFonts w:ascii="Arial" w:cs="Arial" w:eastAsia="Arial" w:hAnsi="Arial"/>
          <w:b w:val="false"/>
          <w:bCs w:val="false"/>
          <w:i w:val="false"/>
          <w:iCs w:val="false"/>
          <w:sz w:val="22"/>
          <w:szCs w:val="22"/>
        </w:rPr>
        <w:t xml:space="preserve">The limiter is a hard saturation and therefore introduces a discontinuity; the controller states behind it can wind up if the limit binds. Anti-windup must clamp the integrator the moment the limit is active.</w:t>
      </w:r>
    </w:p>
    <w:p>
      <w:pPr>
        <w:pStyle w:val="Heading3"/>
        <w:spacing w:after="100" w:before="200"/>
      </w:pPr>
      <w:r>
        <w:rPr>
          <w:rFonts w:ascii="Arial" w:cs="Arial" w:eastAsia="Arial" w:hAnsi="Arial"/>
          <w:b/>
          <w:bCs/>
          <w:sz w:val="24"/>
          <w:szCs w:val="24"/>
        </w:rPr>
        <w:t xml:space="preserve">Initialisation</w:t>
      </w:r>
    </w:p>
    <w:p>
      <w:pPr>
        <w:spacing w:after="120"/>
      </w:pPr>
      <w:r>
        <w:rPr>
          <w:rFonts w:ascii="Arial" w:cs="Arial" w:eastAsia="Arial" w:hAnsi="Arial"/>
          <w:b w:val="false"/>
          <w:bCs w:val="false"/>
          <w:i w:val="false"/>
          <w:iCs w:val="false"/>
          <w:sz w:val="22"/>
          <w:szCs w:val="22"/>
        </w:rPr>
        <w:t xml:space="preserve">Simpler than a synchronous machine but has its own trap. At steady state, dq from the PLL aligns with grid voltage, so Vd = |V|, Vq = 0. Ip and Iq come from P and Q commands divided by |V|. All PLL states are zero (no angle error at steady state). All Q-V and P-loop integrators are set so their outputs equal the commanded currents. Plant controller states match the POI voltage exactly. Then assert derivatives ≈ 0.</w:t>
      </w:r>
    </w:p>
    <w:p>
      <w:pPr>
        <w:spacing w:after="120"/>
      </w:pPr>
      <w:r>
        <w:rPr>
          <w:rFonts w:ascii="Arial" w:cs="Arial" w:eastAsia="Arial" w:hAnsi="Arial"/>
          <w:b w:val="false"/>
          <w:bCs w:val="false"/>
          <w:i w:val="false"/>
          <w:iCs w:val="false"/>
          <w:sz w:val="22"/>
          <w:szCs w:val="22"/>
        </w:rPr>
        <w:t xml:space="preserve">The trap: if you initialise the inverter frame from the PLL angle before the PLL has tracked the grid, the first few steps will have a finite Vq and the PLL integrator will ramp — you see a slow drift in current injection that you cannot explain. Fix: initialise PLL angle directly from the known grid voltage phasor, do not bootstrap it.</w:t>
      </w:r>
    </w:p>
    <w:p>
      <w:pPr>
        <w:pStyle w:val="Heading3"/>
        <w:spacing w:after="100" w:before="200"/>
      </w:pPr>
      <w:r>
        <w:rPr>
          <w:rFonts w:ascii="Arial" w:cs="Arial" w:eastAsia="Arial" w:hAnsi="Arial"/>
          <w:b/>
          <w:bCs/>
          <w:sz w:val="24"/>
          <w:szCs w:val="24"/>
        </w:rPr>
        <w:t xml:space="preserve">Demonstrations</w:t>
      </w:r>
    </w:p>
    <w:p>
      <w:pPr>
        <w:pStyle w:val="ListParagraph"/>
        <w:numPr>
          <w:ilvl w:val="0"/>
          <w:numId w:val="2"/>
        </w:numPr>
        <w:spacing w:after="80"/>
      </w:pPr>
      <w:r>
        <w:rPr>
          <w:rFonts w:ascii="Arial" w:cs="Arial" w:eastAsia="Arial" w:hAnsi="Arial"/>
          <w:sz w:val="22"/>
          <w:szCs w:val="22"/>
        </w:rPr>
        <w:t xml:space="preserve">Voltage step on infinite bus, P vs Q priority side-by-side — two Iq traces, one collapses, one doesn't.</w:t>
      </w:r>
    </w:p>
    <w:p>
      <w:pPr>
        <w:pStyle w:val="ListParagraph"/>
        <w:numPr>
          <w:ilvl w:val="0"/>
          <w:numId w:val="2"/>
        </w:numPr>
        <w:spacing w:after="80"/>
      </w:pPr>
      <w:r>
        <w:rPr>
          <w:rFonts w:ascii="Arial" w:cs="Arial" w:eastAsia="Arial" w:hAnsi="Arial"/>
          <w:sz w:val="22"/>
          <w:szCs w:val="22"/>
        </w:rPr>
        <w:t xml:space="preserve">LV ride-through with Iqinj logic. Show the moment the ride-through flag flips.</w:t>
      </w:r>
    </w:p>
    <w:p>
      <w:pPr>
        <w:pStyle w:val="ListParagraph"/>
        <w:numPr>
          <w:ilvl w:val="0"/>
          <w:numId w:val="2"/>
        </w:numPr>
        <w:spacing w:after="80"/>
      </w:pPr>
      <w:r>
        <w:rPr>
          <w:rFonts w:ascii="Arial" w:cs="Arial" w:eastAsia="Arial" w:hAnsi="Arial"/>
          <w:sz w:val="22"/>
          <w:szCs w:val="22"/>
        </w:rPr>
        <w:t xml:space="preserve">SCR sweep, collapse point identified.</w:t>
      </w:r>
    </w:p>
    <w:p>
      <w:pPr>
        <w:pStyle w:val="ListParagraph"/>
        <w:numPr>
          <w:ilvl w:val="0"/>
          <w:numId w:val="2"/>
        </w:numPr>
        <w:spacing w:after="80"/>
      </w:pPr>
      <w:r>
        <w:rPr>
          <w:rFonts w:ascii="Arial" w:cs="Arial" w:eastAsia="Arial" w:hAnsi="Arial"/>
          <w:sz w:val="22"/>
          <w:szCs w:val="22"/>
        </w:rPr>
        <w:t xml:space="preserve">REPC POI voltage regulation vs REEC local voltage regulation — illustrates why plant-level control matters.</w:t>
      </w:r>
    </w:p>
    <w:p>
      <w:pPr>
        <w:pStyle w:val="Heading3"/>
        <w:spacing w:after="100" w:before="200"/>
      </w:pPr>
      <w:r>
        <w:rPr>
          <w:rFonts w:ascii="Arial" w:cs="Arial" w:eastAsia="Arial" w:hAnsi="Arial"/>
          <w:b/>
          <w:bCs/>
          <w:sz w:val="24"/>
          <w:szCs w:val="24"/>
        </w:rPr>
        <w:t xml:space="preserve">Pitfalls</w:t>
      </w:r>
    </w:p>
    <w:p>
      <w:pPr>
        <w:pStyle w:val="ListParagraph"/>
        <w:numPr>
          <w:ilvl w:val="0"/>
          <w:numId w:val="2"/>
        </w:numPr>
        <w:spacing w:after="80"/>
      </w:pPr>
      <w:r>
        <w:rPr>
          <w:rFonts w:ascii="Arial" w:cs="Arial" w:eastAsia="Arial" w:hAnsi="Arial"/>
          <w:sz w:val="22"/>
          <w:szCs w:val="22"/>
        </w:rPr>
        <w:t xml:space="preserve">Ride-through flag hysteresis: grid codes specify entry and exit thresholds and timers. Without hysteresis you get flag chattering around the threshold during a marginal LV — stalls everything.</w:t>
      </w:r>
    </w:p>
    <w:p>
      <w:pPr>
        <w:pStyle w:val="ListParagraph"/>
        <w:numPr>
          <w:ilvl w:val="0"/>
          <w:numId w:val="2"/>
        </w:numPr>
        <w:spacing w:after="80"/>
      </w:pPr>
      <w:r>
        <w:rPr>
          <w:rFonts w:ascii="Arial" w:cs="Arial" w:eastAsia="Arial" w:hAnsi="Arial"/>
          <w:sz w:val="22"/>
          <w:szCs w:val="22"/>
        </w:rPr>
        <w:t xml:space="preserve">Anti-windup on current limits: without it, recovery from a long LV is dominated by the integrator unwinding rather than the underlying dynamics.</w:t>
      </w:r>
    </w:p>
    <w:p>
      <w:pPr>
        <w:pStyle w:val="ListParagraph"/>
        <w:numPr>
          <w:ilvl w:val="0"/>
          <w:numId w:val="2"/>
        </w:numPr>
        <w:spacing w:after="80"/>
      </w:pPr>
      <w:r>
        <w:rPr>
          <w:rFonts w:ascii="Arial" w:cs="Arial" w:eastAsia="Arial" w:hAnsi="Arial"/>
          <w:sz w:val="22"/>
          <w:szCs w:val="22"/>
        </w:rPr>
        <w:t xml:space="preserve">Frame alignment: the IBR runs on its PLL's dq; the grid runs on the global DQ; the delta between them is the PLL tracking error. Keep this explicit and plot it.</w:t>
      </w:r>
    </w:p>
    <w:p>
      <w:r>
        <w:br w:type="page"/>
      </w:r>
    </w:p>
    <w:p>
      <w:pPr>
        <w:pStyle w:val="Heading2"/>
        <w:spacing w:after="120" w:before="240"/>
      </w:pPr>
      <w:r>
        <w:rPr>
          <w:rFonts w:ascii="Arial" w:cs="Arial" w:eastAsia="Arial" w:hAnsi="Arial"/>
          <w:b/>
          <w:bCs/>
          <w:sz w:val="28"/>
          <w:szCs w:val="28"/>
        </w:rPr>
        <w:t xml:space="preserve">5.4 Phase 4 — Grid-forming inverter (REGFM_A1)</w:t>
      </w:r>
    </w:p>
    <w:p>
      <w:pPr>
        <w:pStyle w:val="Heading3"/>
        <w:spacing w:after="100" w:before="200"/>
      </w:pPr>
      <w:r>
        <w:rPr>
          <w:rFonts w:ascii="Arial" w:cs="Arial" w:eastAsia="Arial" w:hAnsi="Arial"/>
          <w:b/>
          <w:bCs/>
          <w:sz w:val="24"/>
          <w:szCs w:val="24"/>
        </w:rPr>
        <w:t xml:space="preserve">The fundamental shift</w:t>
      </w:r>
    </w:p>
    <w:p>
      <w:pPr>
        <w:spacing w:after="120"/>
      </w:pPr>
      <w:r>
        <w:rPr>
          <w:rFonts w:ascii="Arial" w:cs="Arial" w:eastAsia="Arial" w:hAnsi="Arial"/>
          <w:b w:val="false"/>
          <w:bCs w:val="false"/>
          <w:i w:val="false"/>
          <w:iCs w:val="false"/>
          <w:sz w:val="22"/>
          <w:szCs w:val="22"/>
        </w:rPr>
        <w:t xml:space="preserve">A grid-forming (GFM) inverter does not lock onto the grid — it asserts a voltage phasor of its own and responds to power imbalances by changing that phasor. Mathematically the distinction is clean: a grid-following device has voltage as input and current as output (current source), while a grid-forming device has current as input (essentially) and voltage as output (voltage source behind an impedance). Operationally the consequence is that GFM retains stability even when the grid is so weak that a PLL would tumble.</w:t>
      </w:r>
    </w:p>
    <w:p>
      <w:pPr>
        <w:pStyle w:val="Heading3"/>
        <w:spacing w:after="100" w:before="200"/>
      </w:pPr>
      <w:r>
        <w:rPr>
          <w:rFonts w:ascii="Arial" w:cs="Arial" w:eastAsia="Arial" w:hAnsi="Arial"/>
          <w:b/>
          <w:bCs/>
          <w:sz w:val="24"/>
          <w:szCs w:val="24"/>
        </w:rPr>
        <w:t xml:space="preserve">Droop-based vs VSM-based GFM</w:t>
      </w:r>
    </w:p>
    <w:p>
      <w:pPr>
        <w:spacing w:after="120"/>
      </w:pPr>
      <w:r>
        <w:rPr>
          <w:rFonts w:ascii="Arial" w:cs="Arial" w:eastAsia="Arial" w:hAnsi="Arial"/>
          <w:b w:val="false"/>
          <w:bCs w:val="false"/>
          <w:i w:val="false"/>
          <w:iCs w:val="false"/>
          <w:sz w:val="22"/>
          <w:szCs w:val="22"/>
        </w:rPr>
        <w:t xml:space="preserve">REGFM_A1 is the droop variant. The converter computes its own frequency from a P-f droop (Δf = –kP · (P – Pref)) and its own voltage magnitude from a Q-V droop (ΔV = –kQ · (Q – Qref)). It integrates its frequency to produce its phase, sets its terminal voltage accordingly, and the actual current comes out of the algebraic network solve given that voltage and the network impedance. VSM (virtual synchronous machine, REGFM_B1 or EPRI variants) adds a synthetic inertia term so that the GFM behaves more like a round-rotor machine on fast time scales.</w:t>
      </w:r>
    </w:p>
    <w:p>
      <w:pPr>
        <w:pStyle w:val="Heading3"/>
        <w:spacing w:after="100" w:before="200"/>
      </w:pPr>
      <w:r>
        <w:rPr>
          <w:rFonts w:ascii="Arial" w:cs="Arial" w:eastAsia="Arial" w:hAnsi="Arial"/>
          <w:b/>
          <w:bCs/>
          <w:sz w:val="24"/>
          <w:szCs w:val="24"/>
        </w:rPr>
        <w:t xml:space="preserve">Demonstration — the punchline</w:t>
      </w:r>
    </w:p>
    <w:p>
      <w:pPr>
        <w:spacing w:after="120"/>
      </w:pPr>
      <w:r>
        <w:rPr>
          <w:rFonts w:ascii="Arial" w:cs="Arial" w:eastAsia="Arial" w:hAnsi="Arial"/>
          <w:b w:val="false"/>
          <w:bCs w:val="false"/>
          <w:i w:val="false"/>
          <w:iCs w:val="false"/>
          <w:sz w:val="22"/>
          <w:szCs w:val="22"/>
        </w:rPr>
        <w:t xml:space="preserve">Take the Phase 3 SCR sweep. Run it on REGC_A + REEC_A + REPC_A — system collapses at SCR ≈ 1.5. Swap in REGFM_A1 with equivalent rating — system is stable at SCR = 1.0 and below. Plot overlay. This is the reason grid-forming is a thing, and it needs to be visible on one chart in the notebook.</w:t>
      </w:r>
    </w:p>
    <w:p>
      <w:pPr>
        <w:pStyle w:val="Heading3"/>
        <w:spacing w:after="100" w:before="200"/>
      </w:pPr>
      <w:r>
        <w:rPr>
          <w:rFonts w:ascii="Arial" w:cs="Arial" w:eastAsia="Arial" w:hAnsi="Arial"/>
          <w:b/>
          <w:bCs/>
          <w:sz w:val="24"/>
          <w:szCs w:val="24"/>
        </w:rPr>
        <w:t xml:space="preserve">Initialisation and pitfalls</w:t>
      </w:r>
    </w:p>
    <w:p>
      <w:pPr>
        <w:spacing w:after="120"/>
      </w:pPr>
      <w:r>
        <w:rPr>
          <w:rFonts w:ascii="Arial" w:cs="Arial" w:eastAsia="Arial" w:hAnsi="Arial"/>
          <w:b w:val="false"/>
          <w:bCs w:val="false"/>
          <w:i w:val="false"/>
          <w:iCs w:val="false"/>
          <w:sz w:val="22"/>
          <w:szCs w:val="22"/>
        </w:rPr>
        <w:t xml:space="preserve">Droop reference: the P-f and Q-V droops must be initialised so that at steady state, frequency = 1 pu and voltage = Vref, which means Pref and Qref must equal the delivered P and Q at the operating point. Current limiting on a GFM is subtler than on a GFL because a voltage source enforcing a current limit is effectively switching into a current source, which changes the device character during the limit; REGFM_A1 handles this via its current-limit logic flags, and we will expose those flags in the notebook so colleagues can see the behavioural switch.</w:t>
      </w:r>
    </w:p>
    <w:p>
      <w:r>
        <w:br w:type="page"/>
      </w:r>
    </w:p>
    <w:p>
      <w:pPr>
        <w:pStyle w:val="Heading2"/>
        <w:spacing w:after="120" w:before="240"/>
      </w:pPr>
      <w:r>
        <w:rPr>
          <w:rFonts w:ascii="Arial" w:cs="Arial" w:eastAsia="Arial" w:hAnsi="Arial"/>
          <w:b/>
          <w:bCs/>
          <w:sz w:val="28"/>
          <w:szCs w:val="28"/>
        </w:rPr>
        <w:t xml:space="preserve">5.5 Phase 5 — Reactive support devices (SVC, STATCOM, SynCon)</w:t>
      </w:r>
    </w:p>
    <w:p>
      <w:pPr>
        <w:pStyle w:val="Heading3"/>
        <w:spacing w:after="100" w:before="200"/>
      </w:pPr>
      <w:r>
        <w:rPr>
          <w:rFonts w:ascii="Arial" w:cs="Arial" w:eastAsia="Arial" w:hAnsi="Arial"/>
          <w:b/>
          <w:bCs/>
          <w:sz w:val="24"/>
          <w:szCs w:val="24"/>
        </w:rPr>
        <w:t xml:space="preserve">Why these are one phase</w:t>
      </w:r>
    </w:p>
    <w:p>
      <w:pPr>
        <w:spacing w:after="120"/>
      </w:pPr>
      <w:r>
        <w:rPr>
          <w:rFonts w:ascii="Arial" w:cs="Arial" w:eastAsia="Arial" w:hAnsi="Arial"/>
          <w:b w:val="false"/>
          <w:bCs w:val="false"/>
          <w:i w:val="false"/>
          <w:iCs w:val="false"/>
          <w:sz w:val="22"/>
          <w:szCs w:val="22"/>
        </w:rPr>
        <w:t xml:space="preserve">They are the three canonical ways to inject Q at a bus for voltage support, and the educational point is that each one fails in a different way. On the same SMIB case with the same LV event, the three behave very differently in the first half-second of recovery. We build all three so colleagues see this side by side.</w:t>
      </w:r>
    </w:p>
    <w:p>
      <w:pPr>
        <w:pStyle w:val="Heading3"/>
        <w:spacing w:after="100" w:before="200"/>
      </w:pPr>
      <w:r>
        <w:rPr>
          <w:rFonts w:ascii="Arial" w:cs="Arial" w:eastAsia="Arial" w:hAnsi="Arial"/>
          <w:b/>
          <w:bCs/>
          <w:sz w:val="24"/>
          <w:szCs w:val="24"/>
        </w:rPr>
        <w:t xml:space="preserve">SVC (SVSMO3)</w:t>
      </w:r>
    </w:p>
    <w:p>
      <w:pPr>
        <w:spacing w:after="120"/>
      </w:pPr>
      <w:r>
        <w:rPr>
          <w:rFonts w:ascii="Arial" w:cs="Arial" w:eastAsia="Arial" w:hAnsi="Arial"/>
          <w:b w:val="false"/>
          <w:bCs w:val="false"/>
          <w:i w:val="false"/>
          <w:iCs w:val="false"/>
          <w:sz w:val="22"/>
          <w:szCs w:val="22"/>
        </w:rPr>
        <w:t xml:space="preserve">A thyristor-controlled reactor (TCR) in parallel with a thyristor-switched capacitor (TSC). The controller varies the effective shunt susceptance B to hold voltage on a droop characteristic: V_ref – slope · Q = V_pu, with saturation at Bmax and Bmin. The killer equation is Q = V² · B — the available reactive support is proportional to voltage squared, so when voltage drops during an LV event, SVC Q-capability drops with it. Precisely when you need the most support, the device can deliver the least. Demonstrating this on a plot — terminal V and Q output during a 0.4 pu LV — is the defining teaching moment for SVC.</w:t>
      </w:r>
    </w:p>
    <w:p>
      <w:pPr>
        <w:pStyle w:val="Heading3"/>
        <w:spacing w:after="100" w:before="200"/>
      </w:pPr>
      <w:r>
        <w:rPr>
          <w:rFonts w:ascii="Arial" w:cs="Arial" w:eastAsia="Arial" w:hAnsi="Arial"/>
          <w:b/>
          <w:bCs/>
          <w:sz w:val="24"/>
          <w:szCs w:val="24"/>
        </w:rPr>
        <w:t xml:space="preserve">STATCOM (CSTATT / VSC)</w:t>
      </w:r>
    </w:p>
    <w:p>
      <w:pPr>
        <w:spacing w:after="120"/>
      </w:pPr>
      <w:r>
        <w:rPr>
          <w:rFonts w:ascii="Arial" w:cs="Arial" w:eastAsia="Arial" w:hAnsi="Arial"/>
          <w:b w:val="false"/>
          <w:bCs w:val="false"/>
          <w:i w:val="false"/>
          <w:iCs w:val="false"/>
          <w:sz w:val="22"/>
          <w:szCs w:val="22"/>
        </w:rPr>
        <w:t xml:space="preserve">A voltage-source converter controlling current injection, not admittance. Rated current is independent of terminal voltage, so Q_max = V · I_max — linear in voltage, not quadratic. Same LV event, same comparison plot, the STATCOM holds its Q output far better than the SVC. That is the reason STATCOMs are specified for deep LV support.</w:t>
      </w:r>
    </w:p>
    <w:p>
      <w:pPr>
        <w:pStyle w:val="Heading3"/>
        <w:spacing w:after="100" w:before="200"/>
      </w:pPr>
      <w:r>
        <w:rPr>
          <w:rFonts w:ascii="Arial" w:cs="Arial" w:eastAsia="Arial" w:hAnsi="Arial"/>
          <w:b/>
          <w:bCs/>
          <w:sz w:val="24"/>
          <w:szCs w:val="24"/>
        </w:rPr>
        <w:t xml:space="preserve">Synchronous condenser (GENROU + ESST4B + OEL/UEL/SCL, no governor)</w:t>
      </w:r>
    </w:p>
    <w:p>
      <w:pPr>
        <w:spacing w:after="120"/>
      </w:pPr>
      <w:r>
        <w:rPr>
          <w:rFonts w:ascii="Arial" w:cs="Arial" w:eastAsia="Arial" w:hAnsi="Arial"/>
          <w:b w:val="false"/>
          <w:bCs w:val="false"/>
          <w:i w:val="false"/>
          <w:iCs w:val="false"/>
          <w:sz w:val="22"/>
          <w:szCs w:val="22"/>
        </w:rPr>
        <w:t xml:space="preserve">A synchronous machine with no prime mover. Mechanical power is zero, inertia and short-circuit contribution are real. SynCons provide three things that an SVC and STATCOM cannot: rotational inertia, high fault current contribution (useful for protection coordination), and a genuine synchronous reference voltage. Because they are often run at the edges of their reactive capability (the whole point), the limiter interaction (OEL, UEL, SCL) is where most SynCon bugs live in real studies. Our notebook demonstrates an OEL takeover: the machine holds Q at a high output, the OEL integrates its thermal limit, eventually the OEL reaches its threshold and hands over control from the AVR's voltage loop to the OEL's field-current loop — and the terminal voltage steps down as a result. This hand-over is famously subtle to implement without creating a discontinuity in the AVR state; IEEE 421.5 Annex H documents the required smoothing.</w:t>
      </w:r>
    </w:p>
    <w:p>
      <w:pPr>
        <w:pStyle w:val="Heading3"/>
        <w:spacing w:after="100" w:before="200"/>
      </w:pPr>
      <w:r>
        <w:rPr>
          <w:rFonts w:ascii="Arial" w:cs="Arial" w:eastAsia="Arial" w:hAnsi="Arial"/>
          <w:b/>
          <w:bCs/>
          <w:sz w:val="24"/>
          <w:szCs w:val="24"/>
        </w:rPr>
        <w:t xml:space="preserve">Demonstrations</w:t>
      </w:r>
    </w:p>
    <w:p>
      <w:pPr>
        <w:pStyle w:val="ListParagraph"/>
        <w:numPr>
          <w:ilvl w:val="0"/>
          <w:numId w:val="2"/>
        </w:numPr>
        <w:spacing w:after="80"/>
      </w:pPr>
      <w:r>
        <w:rPr>
          <w:rFonts w:ascii="Arial" w:cs="Arial" w:eastAsia="Arial" w:hAnsi="Arial"/>
          <w:sz w:val="22"/>
          <w:szCs w:val="22"/>
        </w:rPr>
        <w:t xml:space="preserve">Same 0.4 pu LV event on SMIB with SVC, STATCOM, SynCon respectively — overlay V and Q.</w:t>
      </w:r>
    </w:p>
    <w:p>
      <w:pPr>
        <w:pStyle w:val="ListParagraph"/>
        <w:numPr>
          <w:ilvl w:val="0"/>
          <w:numId w:val="2"/>
        </w:numPr>
        <w:spacing w:after="80"/>
      </w:pPr>
      <w:r>
        <w:rPr>
          <w:rFonts w:ascii="Arial" w:cs="Arial" w:eastAsia="Arial" w:hAnsi="Arial"/>
          <w:sz w:val="22"/>
          <w:szCs w:val="22"/>
        </w:rPr>
        <w:t xml:space="preserve">OEL hand-over on SynCon: slow ramp up of Qref until OEL activates, plot field current and Efd showing the takeover.</w:t>
      </w:r>
    </w:p>
    <w:p>
      <w:pPr>
        <w:pStyle w:val="ListParagraph"/>
        <w:numPr>
          <w:ilvl w:val="0"/>
          <w:numId w:val="2"/>
        </w:numPr>
        <w:spacing w:after="80"/>
      </w:pPr>
      <w:r>
        <w:rPr>
          <w:rFonts w:ascii="Arial" w:cs="Arial" w:eastAsia="Arial" w:hAnsi="Arial"/>
          <w:sz w:val="22"/>
          <w:szCs w:val="22"/>
        </w:rPr>
        <w:t xml:space="preserve">SynCon inertia contribution to a frequency event, compared with a matched STATCOM (no inertia).</w:t>
      </w:r>
    </w:p>
    <w:p>
      <w:r>
        <w:br w:type="page"/>
      </w:r>
    </w:p>
    <w:p>
      <w:pPr>
        <w:pStyle w:val="Heading2"/>
        <w:spacing w:after="120" w:before="240"/>
      </w:pPr>
      <w:r>
        <w:rPr>
          <w:rFonts w:ascii="Arial" w:cs="Arial" w:eastAsia="Arial" w:hAnsi="Arial"/>
          <w:b/>
          <w:bCs/>
          <w:sz w:val="28"/>
          <w:szCs w:val="28"/>
        </w:rPr>
        <w:t xml:space="preserve">5.6 Phase 6 — Scenario browser (ipywidgets in Jupyter)</w:t>
      </w:r>
    </w:p>
    <w:p>
      <w:pPr>
        <w:spacing w:after="120"/>
      </w:pPr>
      <w:r>
        <w:rPr>
          <w:rFonts w:ascii="Arial" w:cs="Arial" w:eastAsia="Arial" w:hAnsi="Arial"/>
          <w:b w:val="false"/>
          <w:bCs w:val="false"/>
          <w:i w:val="false"/>
          <w:iCs w:val="false"/>
          <w:sz w:val="22"/>
          <w:szCs w:val="22"/>
        </w:rPr>
        <w:t xml:space="preserve">An interactive notebook where colleagues can drag sliders for fault duration, line reactance, AVR gain, PSS gain, SCR, and see the response update live. This is the Simulink-lite deliverable. ipywidgets is enough — Streamlit and Dash are reserved for later if a more polished web frontend is wanted. No new physics here; it is a UI over the existing simulator.</w:t>
      </w:r>
    </w:p>
    <w:p>
      <w:pPr>
        <w:spacing w:after="120"/>
      </w:pPr>
      <w:r>
        <w:rPr>
          <w:rFonts w:ascii="Arial" w:cs="Arial" w:eastAsia="Arial" w:hAnsi="Arial"/>
          <w:b w:val="false"/>
          <w:bCs w:val="false"/>
          <w:i w:val="false"/>
          <w:iCs w:val="false"/>
          <w:sz w:val="22"/>
          <w:szCs w:val="22"/>
        </w:rPr>
        <w:t xml:space="preserve">Parameters exposed: line R, line X, fault clearing time, AVR gain KA, PSS gain Ks, SCR, IBR vs GFM toggle, current-limit priority. Outputs: V, P, Q, δ, ω, fault current, with all traces on one figure.</w:t>
      </w:r>
    </w:p>
    <w:p>
      <w:pPr>
        <w:pStyle w:val="Heading2"/>
        <w:spacing w:after="120" w:before="240"/>
      </w:pPr>
      <w:r>
        <w:rPr>
          <w:rFonts w:ascii="Arial" w:cs="Arial" w:eastAsia="Arial" w:hAnsi="Arial"/>
          <w:b/>
          <w:bCs/>
          <w:sz w:val="28"/>
          <w:szCs w:val="28"/>
        </w:rPr>
        <w:t xml:space="preserve">5.7 Phase 7 — Small-signal analysis (moved to the end by design)</w:t>
      </w:r>
    </w:p>
    <w:p>
      <w:pPr>
        <w:spacing w:after="120"/>
      </w:pPr>
      <w:r>
        <w:rPr>
          <w:rFonts w:ascii="Arial" w:cs="Arial" w:eastAsia="Arial" w:hAnsi="Arial"/>
          <w:b w:val="false"/>
          <w:bCs w:val="false"/>
          <w:i w:val="false"/>
          <w:iCs w:val="false"/>
          <w:sz w:val="22"/>
          <w:szCs w:val="22"/>
        </w:rPr>
        <w:t xml:space="preserve">Once we have a working time-domain simulator and all the models tested, linearising is straightforward and teaching value is highest because we can tie every eigenvalue back to a time-domain trace the audience has already seen.</w:t>
      </w:r>
    </w:p>
    <w:p>
      <w:pPr>
        <w:pStyle w:val="Heading3"/>
        <w:spacing w:after="100" w:before="200"/>
      </w:pPr>
      <w:r>
        <w:rPr>
          <w:rFonts w:ascii="Arial" w:cs="Arial" w:eastAsia="Arial" w:hAnsi="Arial"/>
          <w:b/>
          <w:bCs/>
          <w:sz w:val="24"/>
          <w:szCs w:val="24"/>
        </w:rPr>
        <w:t xml:space="preserve">Approach</w:t>
      </w:r>
    </w:p>
    <w:p>
      <w:pPr>
        <w:spacing w:after="120"/>
      </w:pPr>
      <w:r>
        <w:rPr>
          <w:rFonts w:ascii="Arial" w:cs="Arial" w:eastAsia="Arial" w:hAnsi="Arial"/>
          <w:b w:val="false"/>
          <w:bCs w:val="false"/>
          <w:i w:val="false"/>
          <w:iCs w:val="false"/>
          <w:sz w:val="22"/>
          <w:szCs w:val="22"/>
        </w:rPr>
        <w:t xml:space="preserve">Numerical Jacobian: perturb each state by ε, recompute derivatives, build A row by row. Eigenvalues of A give the modes. Damping ratio ζ = –Re(λ)/|λ|, natural frequency f_n = |λ|/(2π). Participation factors identify which states participate in which mode — this is how we point at a specific eigenvalue and say "this is the electromechanical mode between the machine and the infinite bus" vs "this is the AVR mode."</w:t>
      </w:r>
    </w:p>
    <w:p>
      <w:pPr>
        <w:pStyle w:val="Heading3"/>
        <w:spacing w:after="100" w:before="200"/>
      </w:pPr>
      <w:r>
        <w:rPr>
          <w:rFonts w:ascii="Arial" w:cs="Arial" w:eastAsia="Arial" w:hAnsi="Arial"/>
          <w:b/>
          <w:bCs/>
          <w:sz w:val="24"/>
          <w:szCs w:val="24"/>
        </w:rPr>
        <w:t xml:space="preserve">Prony on time traces</w:t>
      </w:r>
    </w:p>
    <w:p>
      <w:pPr>
        <w:spacing w:after="120"/>
      </w:pPr>
      <w:r>
        <w:rPr>
          <w:rFonts w:ascii="Arial" w:cs="Arial" w:eastAsia="Arial" w:hAnsi="Arial"/>
          <w:b w:val="false"/>
          <w:bCs w:val="false"/>
          <w:i w:val="false"/>
          <w:iCs w:val="false"/>
          <w:sz w:val="22"/>
          <w:szCs w:val="22"/>
        </w:rPr>
        <w:t xml:space="preserve">Given a ringdown trace, Prony fits a sum of damped sinusoids by solving a linear prediction problem. Gives us frequency and damping from the simulation output even when we do not linearise. Useful for validating that the eigenvalue analysis matches what we see in the time domain.</w:t>
      </w:r>
    </w:p>
    <w:p>
      <w:pPr>
        <w:pStyle w:val="Heading3"/>
        <w:spacing w:after="100" w:before="200"/>
      </w:pPr>
      <w:r>
        <w:rPr>
          <w:rFonts w:ascii="Arial" w:cs="Arial" w:eastAsia="Arial" w:hAnsi="Arial"/>
          <w:b/>
          <w:bCs/>
          <w:sz w:val="24"/>
          <w:szCs w:val="24"/>
        </w:rPr>
        <w:t xml:space="preserve">Demonstration</w:t>
      </w:r>
    </w:p>
    <w:p>
      <w:pPr>
        <w:pStyle w:val="ListParagraph"/>
        <w:numPr>
          <w:ilvl w:val="0"/>
          <w:numId w:val="2"/>
        </w:numPr>
        <w:spacing w:after="80"/>
      </w:pPr>
      <w:r>
        <w:rPr>
          <w:rFonts w:ascii="Arial" w:cs="Arial" w:eastAsia="Arial" w:hAnsi="Arial"/>
          <w:sz w:val="22"/>
          <w:szCs w:val="22"/>
        </w:rPr>
        <w:t xml:space="preserve">Eigenvalues of Phase 2 stack with and without PSS. Show the local mode eigenvalue moving left into the negative-damping half-plane when PSS is disabled.</w:t>
      </w:r>
    </w:p>
    <w:p>
      <w:pPr>
        <w:pStyle w:val="ListParagraph"/>
        <w:numPr>
          <w:ilvl w:val="0"/>
          <w:numId w:val="2"/>
        </w:numPr>
        <w:spacing w:after="80"/>
      </w:pPr>
      <w:r>
        <w:rPr>
          <w:rFonts w:ascii="Arial" w:cs="Arial" w:eastAsia="Arial" w:hAnsi="Arial"/>
          <w:sz w:val="22"/>
          <w:szCs w:val="22"/>
        </w:rPr>
        <w:t xml:space="preserve">Participation factors on that mode — should be dominated by δ and ω.</w:t>
      </w:r>
    </w:p>
    <w:p>
      <w:pPr>
        <w:pStyle w:val="ListParagraph"/>
        <w:numPr>
          <w:ilvl w:val="0"/>
          <w:numId w:val="2"/>
        </w:numPr>
        <w:spacing w:after="80"/>
      </w:pPr>
      <w:r>
        <w:rPr>
          <w:rFonts w:ascii="Arial" w:cs="Arial" w:eastAsia="Arial" w:hAnsi="Arial"/>
          <w:sz w:val="22"/>
          <w:szCs w:val="22"/>
        </w:rPr>
        <w:t xml:space="preserve">Prony of a δ ringdown trace, compare with eigenvalue result.</w:t>
      </w:r>
    </w:p>
    <w:p>
      <w:r>
        <w:br w:type="page"/>
      </w:r>
    </w:p>
    <w:p>
      <w:pPr>
        <w:pStyle w:val="Heading1"/>
        <w:spacing w:after="160" w:before="280"/>
      </w:pPr>
      <w:r>
        <w:rPr>
          <w:rFonts w:ascii="Arial" w:cs="Arial" w:eastAsia="Arial" w:hAnsi="Arial"/>
          <w:b/>
          <w:bCs/>
          <w:sz w:val="32"/>
          <w:szCs w:val="32"/>
        </w:rPr>
        <w:t xml:space="preserve">6. Correctness floor (non-negotiable)</w:t>
      </w:r>
    </w:p>
    <w:p>
      <w:pPr>
        <w:spacing w:after="120"/>
      </w:pPr>
      <w:r>
        <w:rPr>
          <w:rFonts w:ascii="Arial" w:cs="Arial" w:eastAsia="Arial" w:hAnsi="Arial"/>
          <w:b w:val="false"/>
          <w:bCs w:val="false"/>
          <w:i w:val="false"/>
          <w:iCs w:val="false"/>
          <w:sz w:val="22"/>
          <w:szCs w:val="22"/>
        </w:rPr>
        <w:t xml:space="preserve">Every model added to the library must pass this battery before it is committed. If any step fails, the model is not ready.</w:t>
      </w:r>
    </w:p>
    <w:p>
      <w:pPr>
        <w:pStyle w:val="Heading3"/>
        <w:spacing w:after="100" w:before="200"/>
      </w:pPr>
      <w:r>
        <w:rPr>
          <w:rFonts w:ascii="Arial" w:cs="Arial" w:eastAsia="Arial" w:hAnsi="Arial"/>
          <w:b/>
          <w:bCs/>
          <w:sz w:val="24"/>
          <w:szCs w:val="24"/>
        </w:rPr>
        <w:t xml:space="preserve">6.1 The tests</w:t>
      </w:r>
    </w:p>
    <w:p>
      <w:pPr>
        <w:pStyle w:val="ListParagraph"/>
        <w:numPr>
          <w:ilvl w:val="0"/>
          <w:numId w:val="2"/>
        </w:numPr>
        <w:spacing w:after="80"/>
      </w:pPr>
      <w:r>
        <w:rPr>
          <w:rFonts w:ascii="Arial" w:cs="Arial" w:eastAsia="Arial" w:hAnsi="Arial"/>
          <w:sz w:val="22"/>
          <w:szCs w:val="22"/>
        </w:rPr>
        <w:t xml:space="preserve">Analytic init consistency. After running the initialisation routine, call derivatives() on the model. Every state derivative must be |dx/dt| &lt; 1e-8.</w:t>
      </w:r>
    </w:p>
    <w:p>
      <w:pPr>
        <w:pStyle w:val="ListParagraph"/>
        <w:numPr>
          <w:ilvl w:val="0"/>
          <w:numId w:val="2"/>
        </w:numPr>
        <w:spacing w:after="80"/>
      </w:pPr>
      <w:r>
        <w:rPr>
          <w:rFonts w:ascii="Arial" w:cs="Arial" w:eastAsia="Arial" w:hAnsi="Arial"/>
          <w:sz w:val="22"/>
          <w:szCs w:val="22"/>
        </w:rPr>
        <w:t xml:space="preserve">Flat-line. With the model in an SMIB and no disturbance applied, integrate for 10 s. Every state must stay within 1e-5 of its initial value.</w:t>
      </w:r>
    </w:p>
    <w:p>
      <w:pPr>
        <w:pStyle w:val="ListParagraph"/>
        <w:numPr>
          <w:ilvl w:val="0"/>
          <w:numId w:val="2"/>
        </w:numPr>
        <w:spacing w:after="80"/>
      </w:pPr>
      <w:r>
        <w:rPr>
          <w:rFonts w:ascii="Arial" w:cs="Arial" w:eastAsia="Arial" w:hAnsi="Arial"/>
          <w:sz w:val="22"/>
          <w:szCs w:val="22"/>
        </w:rPr>
        <w:t xml:space="preserve">Small-perturbation linearity. Apply a 1% Vref (or Pref, or Qref) step. For the first 1–2 s, the response should match the hand-derived linearised transfer function to within 2% in magnitude and 5° in phase.</w:t>
      </w:r>
    </w:p>
    <w:p>
      <w:pPr>
        <w:pStyle w:val="ListParagraph"/>
        <w:numPr>
          <w:ilvl w:val="0"/>
          <w:numId w:val="2"/>
        </w:numPr>
        <w:spacing w:after="80"/>
      </w:pPr>
      <w:r>
        <w:rPr>
          <w:rFonts w:ascii="Arial" w:cs="Arial" w:eastAsia="Arial" w:hAnsi="Arial"/>
          <w:sz w:val="22"/>
          <w:szCs w:val="22"/>
        </w:rPr>
        <w:t xml:space="preserve">Step-halving. Run the same scenario with h and h/2. Peak-deviation traces should agree to within 1e-3.</w:t>
      </w:r>
    </w:p>
    <w:p>
      <w:pPr>
        <w:pStyle w:val="ListParagraph"/>
        <w:numPr>
          <w:ilvl w:val="0"/>
          <w:numId w:val="2"/>
        </w:numPr>
        <w:spacing w:after="80"/>
      </w:pPr>
      <w:r>
        <w:rPr>
          <w:rFonts w:ascii="Arial" w:cs="Arial" w:eastAsia="Arial" w:hAnsi="Arial"/>
          <w:sz w:val="22"/>
          <w:szCs w:val="22"/>
        </w:rPr>
        <w:t xml:space="preserve">PSSE regression (where licensed PSSE output is available). Benchmark SMIB case output must agree within a defined tolerance — initial target ±2% on rotor angle, ±1° on terminal voltage angle, ±0.01 pu on terminal voltage magnitude.</w:t>
      </w:r>
    </w:p>
    <w:p>
      <w:pPr>
        <w:pStyle w:val="Heading3"/>
        <w:spacing w:after="100" w:before="200"/>
      </w:pPr>
      <w:r>
        <w:rPr>
          <w:rFonts w:ascii="Arial" w:cs="Arial" w:eastAsia="Arial" w:hAnsi="Arial"/>
          <w:b/>
          <w:bCs/>
          <w:sz w:val="24"/>
          <w:szCs w:val="24"/>
        </w:rPr>
        <w:t xml:space="preserve">6.2 When a test fails</w:t>
      </w:r>
    </w:p>
    <w:p>
      <w:pPr>
        <w:spacing w:after="120"/>
      </w:pPr>
      <w:r>
        <w:rPr>
          <w:rFonts w:ascii="Arial" w:cs="Arial" w:eastAsia="Arial" w:hAnsi="Arial"/>
          <w:b w:val="false"/>
          <w:bCs w:val="false"/>
          <w:i w:val="false"/>
          <w:iCs w:val="false"/>
          <w:sz w:val="22"/>
          <w:szCs w:val="22"/>
        </w:rPr>
        <w:t xml:space="preserve">Failure of (1) — initialisation inconsistent. Inspect the offending state. The bug is almost always in the init routine, not in the derivatives.</w:t>
      </w:r>
    </w:p>
    <w:p>
      <w:pPr>
        <w:spacing w:after="120"/>
      </w:pPr>
      <w:r>
        <w:rPr>
          <w:rFonts w:ascii="Arial" w:cs="Arial" w:eastAsia="Arial" w:hAnsi="Arial"/>
          <w:b w:val="false"/>
          <w:bCs w:val="false"/>
          <w:i w:val="false"/>
          <w:iCs w:val="false"/>
          <w:sz w:val="22"/>
          <w:szCs w:val="22"/>
        </w:rPr>
        <w:t xml:space="preserve">Failure of (2) but not (1) — drift without disturbance. Either a time constant is wrong (check pu conversion of ws), or a controller that should be at zero is at a non-zero fixed point whose input is not quite zero. Plot every state.</w:t>
      </w:r>
    </w:p>
    <w:p>
      <w:pPr>
        <w:spacing w:after="120"/>
      </w:pPr>
      <w:r>
        <w:rPr>
          <w:rFonts w:ascii="Arial" w:cs="Arial" w:eastAsia="Arial" w:hAnsi="Arial"/>
          <w:b w:val="false"/>
          <w:bCs w:val="false"/>
          <w:i w:val="false"/>
          <w:iCs w:val="false"/>
          <w:sz w:val="22"/>
          <w:szCs w:val="22"/>
        </w:rPr>
        <w:t xml:space="preserve">Failure of (3) — linearised response wrong. Most likely sign error in a feedback path, or a lead-lag block with T1/T2 swapped.</w:t>
      </w:r>
    </w:p>
    <w:p>
      <w:pPr>
        <w:spacing w:after="120"/>
      </w:pPr>
      <w:r>
        <w:rPr>
          <w:rFonts w:ascii="Arial" w:cs="Arial" w:eastAsia="Arial" w:hAnsi="Arial"/>
          <w:b w:val="false"/>
          <w:bCs w:val="false"/>
          <w:i w:val="false"/>
          <w:iCs w:val="false"/>
          <w:sz w:val="22"/>
          <w:szCs w:val="22"/>
        </w:rPr>
        <w:t xml:space="preserve">Failure of (4) — step dependence. Either the time constants are at the edge of the stability envelope of trapezoidal (unlikely for trapezoidal which is A-stable), or the algebraic loop corrector is not converging.</w:t>
      </w:r>
    </w:p>
    <w:p>
      <w:pPr>
        <w:spacing w:after="120"/>
      </w:pPr>
      <w:r>
        <w:rPr>
          <w:rFonts w:ascii="Arial" w:cs="Arial" w:eastAsia="Arial" w:hAnsi="Arial"/>
          <w:b w:val="false"/>
          <w:bCs w:val="false"/>
          <w:i w:val="false"/>
          <w:iCs w:val="false"/>
          <w:sz w:val="22"/>
          <w:szCs w:val="22"/>
        </w:rPr>
        <w:t xml:space="preserve">Failure of (5) — disagreement with PSSE. Now it matters whether PSSE or our model is right. Check saturation function implementation, limiter hand-off logic, and for IBR models the flag interpretations (REEC flags are notoriously subtle — Pqflag, Vcmpflag, PFflag each change behaviour significantly).</w:t>
      </w:r>
    </w:p>
    <w:p>
      <w:pPr>
        <w:pStyle w:val="Heading1"/>
        <w:spacing w:after="160" w:before="280"/>
      </w:pPr>
      <w:r>
        <w:rPr>
          <w:rFonts w:ascii="Arial" w:cs="Arial" w:eastAsia="Arial" w:hAnsi="Arial"/>
          <w:b/>
          <w:bCs/>
          <w:sz w:val="32"/>
          <w:szCs w:val="32"/>
        </w:rPr>
        <w:t xml:space="preserve">7. Debugging playbook — numerical vs controller instability</w:t>
      </w:r>
    </w:p>
    <w:p>
      <w:pPr>
        <w:spacing w:after="120"/>
      </w:pPr>
      <w:r>
        <w:rPr>
          <w:rFonts w:ascii="Arial" w:cs="Arial" w:eastAsia="Arial" w:hAnsi="Arial"/>
          <w:b w:val="false"/>
          <w:bCs w:val="false"/>
          <w:i w:val="false"/>
          <w:iCs w:val="false"/>
          <w:sz w:val="22"/>
          <w:szCs w:val="22"/>
        </w:rPr>
        <w:t xml:space="preserve">Drift on a plot looks the same whether it is numerical or controller. The playbook separates them.</w:t>
      </w:r>
    </w:p>
    <w:p>
      <w:pPr>
        <w:pStyle w:val="Heading3"/>
        <w:spacing w:after="100" w:before="200"/>
      </w:pPr>
      <w:r>
        <w:rPr>
          <w:rFonts w:ascii="Arial" w:cs="Arial" w:eastAsia="Arial" w:hAnsi="Arial"/>
          <w:b/>
          <w:bCs/>
          <w:sz w:val="24"/>
          <w:szCs w:val="24"/>
        </w:rPr>
        <w:t xml:space="preserve">7.1 Numerical symptoms</w:t>
      </w:r>
    </w:p>
    <w:p>
      <w:pPr>
        <w:spacing w:after="120"/>
      </w:pPr>
      <w:r>
        <w:rPr>
          <w:rFonts w:ascii="Arial" w:cs="Arial" w:eastAsia="Arial" w:hAnsi="Arial"/>
          <w:b w:val="false"/>
          <w:bCs w:val="false"/>
          <w:i w:val="false"/>
          <w:iCs w:val="false"/>
          <w:sz w:val="22"/>
          <w:szCs w:val="22"/>
        </w:rPr>
        <w:t xml:space="preserve">Oscillation at the step frequency or its sub-harmonics; divergence when h is increased; convergence when h is halved. Diagnostic: plot the algebraic mismatch residual per step — if it is not below tol, the corrector is not converging. Fix: shrink h, tighten tol, or swap the algebraic solve to simultaneous Newton.</w:t>
      </w:r>
    </w:p>
    <w:p>
      <w:pPr>
        <w:pStyle w:val="Heading3"/>
        <w:spacing w:after="100" w:before="200"/>
      </w:pPr>
      <w:r>
        <w:rPr>
          <w:rFonts w:ascii="Arial" w:cs="Arial" w:eastAsia="Arial" w:hAnsi="Arial"/>
          <w:b/>
          <w:bCs/>
          <w:sz w:val="24"/>
          <w:szCs w:val="24"/>
        </w:rPr>
        <w:t xml:space="preserve">7.2 Controller symptoms</w:t>
      </w:r>
    </w:p>
    <w:p>
      <w:pPr>
        <w:spacing w:after="120"/>
      </w:pPr>
      <w:r>
        <w:rPr>
          <w:rFonts w:ascii="Arial" w:cs="Arial" w:eastAsia="Arial" w:hAnsi="Arial"/>
          <w:b w:val="false"/>
          <w:bCs w:val="false"/>
          <w:i w:val="false"/>
          <w:iCs w:val="false"/>
          <w:sz w:val="22"/>
          <w:szCs w:val="22"/>
        </w:rPr>
        <w:t xml:space="preserve">Drift grows on a time scale matching one of the controller time constants; disappears if you reduce a specific controller gain. Diagnostic: plot every internal state of every controller on the same time axis, plus the limiter flags. The bug is usually a limiter not anti-windup-compensated, or a sign error on a feedback. For IBRs, specifically plot Iqinj, Pqflag, LVPL output, V_frz state — these are the usual culprits.</w:t>
      </w:r>
    </w:p>
    <w:p>
      <w:pPr>
        <w:pStyle w:val="Heading3"/>
        <w:spacing w:after="100" w:before="200"/>
      </w:pPr>
      <w:r>
        <w:rPr>
          <w:rFonts w:ascii="Arial" w:cs="Arial" w:eastAsia="Arial" w:hAnsi="Arial"/>
          <w:b/>
          <w:bCs/>
          <w:sz w:val="24"/>
          <w:szCs w:val="24"/>
        </w:rPr>
        <w:t xml:space="preserve">7.3 Frame-mismatch symptoms</w:t>
      </w:r>
    </w:p>
    <w:p>
      <w:pPr>
        <w:spacing w:after="120"/>
      </w:pPr>
      <w:r>
        <w:rPr>
          <w:rFonts w:ascii="Arial" w:cs="Arial" w:eastAsia="Arial" w:hAnsi="Arial"/>
          <w:b w:val="false"/>
          <w:bCs w:val="false"/>
          <w:i w:val="false"/>
          <w:iCs w:val="false"/>
          <w:sz w:val="22"/>
          <w:szCs w:val="22"/>
        </w:rPr>
        <w:t xml:space="preserve">System looks correct for a few seconds then slowly drifts at ω_s rate (or a fraction of it). This is a DQ/dq rotation error — the machine's dq is not being rotated into global DQ by the correct angle. Check the rotation matrix against the convention stated in the architecture section (global DQ synchronous, each machine rotates in with delta, each IBR rotates in with PLL angle).</w:t>
      </w:r>
    </w:p>
    <w:p>
      <w:pPr>
        <w:pStyle w:val="Heading1"/>
        <w:spacing w:after="160" w:before="280"/>
      </w:pPr>
      <w:r>
        <w:rPr>
          <w:rFonts w:ascii="Arial" w:cs="Arial" w:eastAsia="Arial" w:hAnsi="Arial"/>
          <w:b/>
          <w:bCs/>
          <w:sz w:val="32"/>
          <w:szCs w:val="32"/>
        </w:rPr>
        <w:t xml:space="preserve">8. Repo structure (today)</w:t>
      </w:r>
    </w:p>
    <w:p>
      <w:pPr>
        <w:shd w:fill="F2F2F2" w:val="clear"/>
        <w:spacing w:after="120"/>
      </w:pPr>
      <w:r>
        <w:rPr>
          <w:rFonts w:ascii="Courier New" w:cs="Courier New" w:eastAsia="Courier New" w:hAnsi="Courier New"/>
          <w:sz w:val="20"/>
          <w:szCs w:val="20"/>
        </w:rPr>
        <w:t xml:space="preserve">smib/
├── smib/
│   ├── __init__.py
│   ├── powerflow.py        Newton–Raphson 2-bus power flow
│   ├── solver.py           Implicit trapezoidal integrator
│   ├── network.py          Ybus + algebraic solve
│   ├── scenarios.py        Fault / V-step / setpoint step schedules
│   ├── plotting.py         Minimal matplotlib helper
│   └── models/
│       ├── __init__.py
│       └── base.py         Abstract Model (named-dict state)
├── notebooks/              One notebook per phase (empty today)
├── tests/
│   └── test_flatline.py    PF + network round-trip sanity tests
└── README.md</w:t>
      </w:r>
    </w:p>
    <w:p>
      <w:pPr>
        <w:spacing w:after="120"/>
      </w:pPr>
      <w:r>
        <w:rPr>
          <w:rFonts w:ascii="Arial" w:cs="Arial" w:eastAsia="Arial" w:hAnsi="Arial"/>
          <w:b w:val="false"/>
          <w:bCs w:val="false"/>
          <w:i w:val="false"/>
          <w:iCs w:val="false"/>
          <w:sz w:val="22"/>
          <w:szCs w:val="22"/>
        </w:rPr>
        <w:t xml:space="preserve">Nothing else. No CLI, no config YAMLs, no plugin registry. A phase is "done" when its notebook is a self-contained teaching document, its models live in smib/models/, and its tests live in tests/.</w:t>
      </w:r>
    </w:p>
    <w:p>
      <w:pPr>
        <w:pStyle w:val="Heading1"/>
        <w:spacing w:after="160" w:before="280"/>
      </w:pPr>
      <w:r>
        <w:rPr>
          <w:rFonts w:ascii="Arial" w:cs="Arial" w:eastAsia="Arial" w:hAnsi="Arial"/>
          <w:b/>
          <w:bCs/>
          <w:sz w:val="32"/>
          <w:szCs w:val="32"/>
        </w:rPr>
        <w:t xml:space="preserve">9. Immediate next step</w:t>
      </w:r>
    </w:p>
    <w:p>
      <w:pPr>
        <w:spacing w:after="120"/>
      </w:pPr>
      <w:r>
        <w:rPr>
          <w:rFonts w:ascii="Arial" w:cs="Arial" w:eastAsia="Arial" w:hAnsi="Arial"/>
          <w:b w:val="false"/>
          <w:bCs w:val="false"/>
          <w:i w:val="false"/>
          <w:iCs w:val="false"/>
          <w:sz w:val="22"/>
          <w:szCs w:val="22"/>
        </w:rPr>
        <w:t xml:space="preserve">Phases 1 and 2.0 are both shipped, each with model + tests + colleague-facing notebook + PSSE benchmark folder.  Phase 1 deep-fault CCT is 293 ms on GENCLS; Phase 2.0 deep-fault CCT is 240 ms on GENROU.  The 53 ms / 18 % gap is the cost of dropping the constant-flux assumption: GENROU lets E'q sag during the fault, leaving less rotor flux for post-fault recovery.  This is precisely the gap the AVR in Phase 2.1 will close (and beyond).  All 13 tests pass (8 Phase 1, 5 Phase 2.0).</w:t>
      </w:r>
    </w:p>
    <w:p>
      <w:pPr>
        <w:spacing w:after="120"/>
      </w:pPr>
      <w:r>
        <w:rPr>
          <w:rFonts w:ascii="Arial" w:cs="Arial" w:eastAsia="Arial" w:hAnsi="Arial"/>
          <w:b w:val="false"/>
          <w:bCs w:val="false"/>
          <w:i w:val="false"/>
          <w:iCs w:val="false"/>
          <w:sz w:val="22"/>
          <w:szCs w:val="22"/>
        </w:rPr>
        <w:t xml:space="preserve">Phase 2 progresses in four atomic sub-increments — 2.0 GENROU bare (DONE), 2.1 +ST1A AVR (in flight: model and multi-model simulator harness landed and smoke-tested; tests + notebook pending), 2.2 +PSS1A stabiliser, 2.3 +TGOV1 governor.  Each lands as its own notebook on top of the previous one's code.  The Phase 2.1 smoke test confirms the AVR drives E_fd to its 7.0 pu ceiling on the canonical deep fault, keeps E'q from sagging (0.94 vs GENROU-bare 0.91), and provides 0.04 pu more terminal Q during the fault — with the bigger effect manifesting in the post-fault recovery (E'q stays UP at 1.04 vs GENROU-bare 0.90).</w:t>
      </w:r>
    </w:p>
    <w:p>
      <w:pPr>
        <w:spacing w:after="120"/>
      </w:pPr>
      <w:r>
        <w:rPr>
          <w:rFonts w:ascii="Arial" w:cs="Arial" w:eastAsia="Arial" w:hAnsi="Arial"/>
          <w:b w:val="false"/>
          <w:bCs w:val="false"/>
          <w:i w:val="false"/>
          <w:iCs w:val="false"/>
          <w:sz w:val="22"/>
          <w:szCs w:val="22"/>
        </w:rPr>
        <w:t xml:space="preserve">What lands next: tests/test_st1a.py (flat-line, init self-consistency, voltage-step response, AVR-on vs AVR-off CCT comparison), notebooks/phase2_1_avr.ipynb with the AVR-on overlay, and psse/phase2_1/ with PSSE's ST1A model card.  Estimated 1-2 focused turns to close out Phase 2.1; another 2-3 turns each for 2.2 and 2.3.</w:t>
      </w:r>
    </w:p>
    <w:p>
      <w:pPr>
        <w:spacing w:after="120"/>
      </w:pPr>
      <w:r>
        <w:rPr>
          <w:rFonts w:ascii="Arial" w:cs="Arial" w:eastAsia="Arial" w:hAnsi="Arial"/>
          <w:b w:val="false"/>
          <w:bCs w:val="false"/>
          <w:i w:val="false"/>
          <w:iCs w:val="false"/>
          <w:sz w:val="22"/>
          <w:szCs w:val="22"/>
        </w:rPr>
        <w:t xml:space="preserve">Phase 2 timeline note: master plan originally budgeted 1-2 weeks for the full GENROU + AVR + PSS + Gov stack.  With the staged approach we are well ahead of that — GENROU + AVR is already wired and verified, with the trickiest single moment (GENROU initialisation, machine-epsilon flat-line) already behind us.  The remaining sub-phases are easier: PSS1A is a washout + lead-lag (~3 states) and TGOV1 is a droop + lead-lag (~2 states), both small additions to the multi-model simulator harness.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2026-05-08T14:29:49.220Z</dcterms:created>
  <dcterms:modified xsi:type="dcterms:W3CDTF">2026-05-08T14:29:49.220Z</dcterms:modified>
</cp:coreProperties>
</file>

<file path=docProps/custom.xml><?xml version="1.0" encoding="utf-8"?>
<Properties xmlns="http://schemas.openxmlformats.org/officeDocument/2006/custom-properties" xmlns:vt="http://schemas.openxmlformats.org/officeDocument/2006/docPropsVTypes"/>
</file>