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5: LOGISTIC REGRESSION CLASSIFICATION</w:t>
      </w:r>
    </w:p>
    <w:p>
      <w:r>
        <w:rPr>
          <w:b/>
        </w:rPr>
        <w:t xml:space="preserve">Project: </w:t>
      </w:r>
      <w:r>
        <w:t>One Piece Bounty Classification</w:t>
      </w:r>
    </w:p>
    <w:p>
      <w:pPr>
        <w:pStyle w:val="Heading1"/>
      </w:pPr>
      <w:r>
        <w:t>Aim</w:t>
      </w:r>
    </w:p>
    <w:p>
      <w:r>
        <w:t>To explore the One Piece bounty dataset, engineer name-based features, and review a Logistic Regression model for classifying characters into standard- and high-bounty groups.</w:t>
      </w:r>
    </w:p>
    <w:p>
      <w:pPr>
        <w:pStyle w:val="Heading1"/>
      </w:pPr>
      <w:r>
        <w:t>Apparatus / Software</w:t>
      </w:r>
    </w:p>
    <w:p>
      <w:pPr>
        <w:pStyle w:val="ListBullet"/>
      </w:pPr>
      <w:r>
        <w:t>Python 3 with Jupyter Notebook or VS Code</w:t>
      </w:r>
    </w:p>
    <w:p>
      <w:pPr>
        <w:pStyle w:val="ListBullet"/>
      </w:pPr>
      <w:r>
        <w:t>Pandas and NumPy for data handling</w:t>
      </w:r>
    </w:p>
    <w:p>
      <w:pPr>
        <w:pStyle w:val="ListBullet"/>
      </w:pPr>
      <w:r>
        <w:t>Matplotlib for charts</w:t>
      </w:r>
    </w:p>
    <w:p>
      <w:pPr>
        <w:pStyle w:val="ListBullet"/>
      </w:pPr>
      <w:r>
        <w:t>Scikit-learn for classification workflow</w:t>
      </w:r>
    </w:p>
    <w:p>
      <w:pPr>
        <w:pStyle w:val="ListBullet"/>
      </w:pPr>
      <w:r>
        <w:t>Provided CSV data and saved model file</w:t>
      </w:r>
    </w:p>
    <w:p>
      <w:pPr>
        <w:pStyle w:val="Heading1"/>
      </w:pPr>
      <w:r>
        <w:t>Procedure</w:t>
      </w:r>
    </w:p>
    <w:p>
      <w:pPr>
        <w:pStyle w:val="ListNumber"/>
      </w:pPr>
      <w:r>
        <w:t>Load and inspect the bounty CSV, checking missing and non-numeric values.</w:t>
      </w:r>
    </w:p>
    <w:p>
      <w:pPr>
        <w:pStyle w:val="ListNumber"/>
      </w:pPr>
      <w:r>
        <w:t>Prepare usable Berry bounty records and derive features from character names.</w:t>
      </w:r>
    </w:p>
    <w:p>
      <w:pPr>
        <w:pStyle w:val="ListNumber"/>
      </w:pPr>
      <w:r>
        <w:t>Apply the documented threshold of 332,500,000 Berries to form the binary target.</w:t>
      </w:r>
    </w:p>
    <w:p>
      <w:pPr>
        <w:pStyle w:val="ListNumber"/>
      </w:pPr>
      <w:r>
        <w:t>Review the StandardScaler and Logistic Regression model workflow and validation outputs.</w:t>
      </w:r>
    </w:p>
    <w:p>
      <w:pPr>
        <w:pStyle w:val="ListNumber"/>
      </w:pPr>
      <w:r>
        <w:t>Compare the reported metrics and interpret the generated figures.</w:t>
      </w:r>
    </w:p>
    <w:p>
      <w:pPr>
        <w:pStyle w:val="Heading1"/>
      </w:pPr>
      <w:r>
        <w:t>Observation</w:t>
      </w:r>
    </w:p>
    <w:p>
      <w:r>
        <w:t>The supplied report describes 165 raw records and 144 usable Berry records. The high-bounty threshold is 332,500,000 Berries, with 108 standard-bounty and 36 high-bounty records in the report. The reported held-out accuracy is 0.7241 and ROC AUC is 0.6364. Because the high-bounty class is smaller, accuracy alone is not enough; precision, recall, F1, ROC AUC, and cross-validation should also be reviewed.</w:t>
      </w:r>
    </w:p>
    <w:p>
      <w:pPr>
        <w:pStyle w:val="Heading1"/>
      </w:pPr>
      <w:r>
        <w:t>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Reported 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0.7241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0.4286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0.4286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0.4286</w:t>
            </w:r>
          </w:p>
        </w:tc>
      </w:tr>
      <w:tr>
        <w:tc>
          <w:tcPr>
            <w:tcW w:type="dxa" w:w="4320"/>
          </w:tcPr>
          <w:p>
            <w:r>
              <w:t>ROC AUC</w:t>
            </w:r>
          </w:p>
        </w:tc>
        <w:tc>
          <w:tcPr>
            <w:tcW w:type="dxa" w:w="4320"/>
          </w:tcPr>
          <w:p>
            <w:r>
              <w:t>0.6364</w:t>
            </w:r>
          </w:p>
        </w:tc>
      </w:tr>
      <w:tr>
        <w:tc>
          <w:tcPr>
            <w:tcW w:type="dxa" w:w="4320"/>
          </w:tcPr>
          <w:p>
            <w:r>
              <w:t>Average precision</w:t>
            </w:r>
          </w:p>
        </w:tc>
        <w:tc>
          <w:tcPr>
            <w:tcW w:type="dxa" w:w="4320"/>
          </w:tcPr>
          <w:p>
            <w:r>
              <w:t>0.6082</w:t>
            </w:r>
          </w:p>
        </w:tc>
      </w:tr>
      <w:tr>
        <w:tc>
          <w:tcPr>
            <w:tcW w:type="dxa" w:w="4320"/>
          </w:tcPr>
          <w:p>
            <w:r>
              <w:t>Log loss</w:t>
            </w:r>
          </w:p>
        </w:tc>
        <w:tc>
          <w:tcPr>
            <w:tcW w:type="dxa" w:w="4320"/>
          </w:tcPr>
          <w:p>
            <w:r>
              <w:t>0.5372</w:t>
            </w:r>
          </w:p>
        </w:tc>
      </w:tr>
    </w:tbl>
    <w:p>
      <w:pPr>
        <w:pStyle w:val="Heading1"/>
      </w:pPr>
      <w:r>
        <w:t>Conclusion</w:t>
      </w:r>
    </w:p>
    <w:p>
      <w:r>
        <w:t>The project demonstrates a baseline classification workflow using engineered name features and Logistic Regression. The reported results indicate moderate predictive performance, so probability thresholds and class-sensitive metrics should be considered carefully. Correlations are exploratory rather than causal evidence.</w:t>
      </w:r>
    </w:p>
    <w:p>
      <w:pPr>
        <w:pStyle w:val="Heading1"/>
      </w:pPr>
      <w:r>
        <w:t>Figures</w:t>
      </w:r>
    </w:p>
    <w:p>
      <w:r>
        <w:t>Figure 1. Distribution of numeric bounty values.</w:t>
      </w:r>
    </w:p>
    <w:p>
      <w:r>
        <w:drawing>
          <wp:inline xmlns:a="http://schemas.openxmlformats.org/drawingml/2006/main" xmlns:pic="http://schemas.openxmlformats.org/drawingml/2006/picture">
            <wp:extent cx="5303520" cy="2906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un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6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Class counts at the documented threshold.</w:t>
      </w:r>
    </w:p>
    <w:p>
      <w:r>
        <w:drawing>
          <wp:inline xmlns:a="http://schemas.openxmlformats.org/drawingml/2006/main" xmlns:pic="http://schemas.openxmlformats.org/drawingml/2006/picture">
            <wp:extent cx="5303520" cy="3752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Exploratory feature correlations.</w:t>
      </w:r>
    </w:p>
    <w:p>
      <w:r>
        <w:drawing>
          <wp:inline xmlns:a="http://schemas.openxmlformats.org/drawingml/2006/main" xmlns:pic="http://schemas.openxmlformats.org/drawingml/2006/picture">
            <wp:extent cx="5303520" cy="3499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Classification metrics from the supplied report.</w:t>
      </w:r>
    </w:p>
    <w:p>
      <w:r>
        <w:drawing>
          <wp:inline xmlns:a="http://schemas.openxmlformats.org/drawingml/2006/main" xmlns:pic="http://schemas.openxmlformats.org/drawingml/2006/picture">
            <wp:extent cx="5303520" cy="2908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ed_model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84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