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Analysis Report</w:t>
      </w:r>
    </w:p>
    <w:p>
      <w:pPr>
        <w:pStyle w:val="Heading1"/>
      </w:pPr>
      <w:r>
        <w:t>Raw data summary</w:t>
      </w:r>
    </w:p>
    <w:p>
      <w:pPr>
        <w:jc w:val="both"/>
      </w:pPr>
      <w:r>
        <w:t xml:space="preserve">The underlying data has </w:t>
      </w:r>
      <w:r>
        <w:t>1000</w:t>
      </w:r>
      <w:r>
        <w:t xml:space="preserve"> observations with </w:t>
      </w:r>
      <w:r>
        <w:t>6</w:t>
      </w:r>
      <w:r>
        <w:t xml:space="preserve"> variables. The raw data was split into training and testing data using </w:t>
      </w:r>
      <w:r>
        <w:t>0.9 partition</w:t>
      </w:r>
      <w:r>
        <w:t xml:space="preserve">, which resulted in a training data size of </w:t>
      </w:r>
      <w:r>
        <w:t>900</w:t>
      </w:r>
      <w:r>
        <w:t xml:space="preserve"> and a testing data size of </w:t>
      </w:r>
      <w:r>
        <w:t>100</w:t>
      </w:r>
      <w:r>
        <w:t xml:space="preserve">. </w:t>
      </w:r>
      <w:r>
        <w:t>GaussianProcess</w:t>
      </w:r>
      <w:r>
        <w:t xml:space="preserve"> was used as the for data analysis</w:t>
      </w:r>
      <w:r>
        <w:t xml:space="preserve"> with the training dataset.</w:t>
      </w:r>
    </w:p>
    <w:p>
      <w:pPr>
        <w:pStyle w:val="Heading1"/>
      </w:pPr>
      <w:r>
        <w:t>Data analysis summary</w:t>
      </w:r>
    </w:p>
    <w:p>
      <w:pPr>
        <w:jc w:val="both"/>
      </w:pPr>
      <w:r>
        <w:t xml:space="preserve">The goodness-of-fit measured in adj R-squared is </w:t>
      </w:r>
      <w:r>
        <w:t>0.9999950829790123</w:t>
      </w:r>
      <w:r>
        <w:t xml:space="preserve">. Based on the best model selected, the prediction error on the testing data is </w:t>
      </w:r>
      <w:r>
        <w:t>1.113575397747186</w:t>
      </w:r>
      <w:r>
        <w:t>. The residual plot is attached in the following section</w:t>
      </w:r>
    </w:p>
    <w:p>
      <w:pPr>
        <w:pStyle w:val="Heading1"/>
      </w:pPr>
      <w:r>
        <w:t>The performance measure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Performance measure index</w:t>
            </w:r>
          </w:p>
        </w:tc>
        <w:tc>
          <w:tcPr>
            <w:tcW w:type="dxa" w:w="2880"/>
          </w:tcPr>
          <w:p>
            <w:r>
              <w:t>Performance measure name</w:t>
            </w:r>
          </w:p>
        </w:tc>
        <w:tc>
          <w:tcPr>
            <w:tcW w:type="dxa" w:w="2880"/>
          </w:tcPr>
          <w:p>
            <w:r>
              <w:t>Value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goodness-of-fit</w:t>
            </w:r>
          </w:p>
        </w:tc>
        <w:tc>
          <w:tcPr>
            <w:tcW w:type="dxa" w:w="2880"/>
          </w:tcPr>
          <w:p>
            <w:r>
              <w:t>0.9999950829790123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training rmse</w:t>
            </w:r>
          </w:p>
        </w:tc>
        <w:tc>
          <w:tcPr>
            <w:tcW w:type="dxa" w:w="2880"/>
          </w:tcPr>
          <w:p>
            <w:r>
              <w:t>0.0018987047772700831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testing rmse</w:t>
            </w:r>
          </w:p>
        </w:tc>
        <w:tc>
          <w:tcPr>
            <w:tcW w:type="dxa" w:w="2880"/>
          </w:tcPr>
          <w:p>
            <w:r>
              <w:t>1.113575397747186</w:t>
            </w:r>
          </w:p>
        </w:tc>
      </w:tr>
    </w:tbl>
    <w:p>
      <w:pPr>
        <w:pStyle w:val="Heading1"/>
      </w:pPr>
      <w:r>
        <w:t>The residual plot</w:t>
      </w:r>
    </w:p>
    <w:p>
      <w:r>
        <w:drawing>
          <wp:inline xmlns:a="http://schemas.openxmlformats.org/drawingml/2006/main" xmlns:pic="http://schemas.openxmlformats.org/drawingml/2006/picture">
            <wp:extent cx="50292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sidual_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