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Raw data summary</w:t>
      </w:r>
    </w:p>
    <w:p>
      <w:pPr>
        <w:jc w:val="both"/>
      </w:pPr>
      <w:r>
        <w:t xml:space="preserve">The underlying data has </w:t>
      </w:r>
      <w:r>
        <w:t>53822</w:t>
      </w:r>
      <w:r>
        <w:t xml:space="preserve"> observations with </w:t>
      </w:r>
      <w:r>
        <w:t>391</w:t>
      </w:r>
      <w:r>
        <w:t xml:space="preserve"> variables. The raw data was split into training and testing data using </w:t>
      </w:r>
      <w:r>
        <w:t>0.9 partition</w:t>
      </w:r>
      <w:r>
        <w:t xml:space="preserve">, which resulted in a training data size of </w:t>
      </w:r>
      <w:r>
        <w:t>48439</w:t>
      </w:r>
      <w:r>
        <w:t xml:space="preserve"> and a testing data size of </w:t>
      </w:r>
      <w:r>
        <w:t>5383</w:t>
      </w:r>
      <w:r>
        <w:t xml:space="preserve">. </w:t>
      </w:r>
      <w:r>
        <w:t>Logistic regression</w:t>
      </w:r>
      <w:r>
        <w:t xml:space="preserve"> was used as the for data analysis</w:t>
      </w:r>
      <w:r>
        <w:t xml:space="preserve"> with the training dataset.</w:t>
      </w:r>
    </w:p>
    <w:p>
      <w:pPr>
        <w:pStyle w:val="Heading1"/>
      </w:pPr>
      <w:r>
        <w:t>Data analysis summary</w:t>
      </w:r>
    </w:p>
    <w:p>
      <w:pPr>
        <w:jc w:val="both"/>
      </w:pPr>
      <w:r>
        <w:t xml:space="preserve">The goodness-of-fit measured in adj R-squared is </w:t>
      </w:r>
      <w:r>
        <w:t>-0.0644373006748</w:t>
      </w:r>
      <w:r>
        <w:t xml:space="preserve">. Based on the best model selected, the prediction accuracy on the testing data is </w:t>
      </w:r>
      <w:r>
        <w:t>0.942411294817</w:t>
      </w:r>
      <w:r>
        <w:t>. The residual plot is attached in the following section</w:t>
      </w:r>
    </w:p>
    <w:p>
      <w:pPr>
        <w:pStyle w:val="Heading1"/>
      </w:pPr>
      <w:r>
        <w:t>The performance measure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Performance measure index</w:t>
            </w:r>
          </w:p>
        </w:tc>
        <w:tc>
          <w:tcPr>
            <w:tcW w:type="dxa" w:w="2880"/>
          </w:tcPr>
          <w:p>
            <w:r>
              <w:t>Performance measure 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goodness-of-fit</w:t>
            </w:r>
          </w:p>
        </w:tc>
        <w:tc>
          <w:tcPr>
            <w:tcW w:type="dxa" w:w="2880"/>
          </w:tcPr>
          <w:p>
            <w:r>
              <w:t>-0.0644373006748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training accuracy</w:t>
            </w:r>
          </w:p>
        </w:tc>
        <w:tc>
          <w:tcPr>
            <w:tcW w:type="dxa" w:w="2880"/>
          </w:tcPr>
          <w:p>
            <w:r>
              <w:t>0.947108734697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testing accuracy</w:t>
            </w:r>
          </w:p>
        </w:tc>
        <w:tc>
          <w:tcPr>
            <w:tcW w:type="dxa" w:w="2880"/>
          </w:tcPr>
          <w:p>
            <w:r>
              <w:t>0.942411294817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training type I error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training type II error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p>
      <w:pPr>
        <w:pStyle w:val="Heading1"/>
      </w:pPr>
      <w:r>
        <w:t>The residual plot</w:t>
      </w:r>
    </w:p>
    <w:p>
      <w:r>
        <w:drawing>
          <wp:inline xmlns:a="http://schemas.openxmlformats.org/drawingml/2006/main" xmlns:pic="http://schemas.openxmlformats.org/drawingml/2006/picture">
            <wp:extent cx="5029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dual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