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Analysis Report</w:t>
      </w:r>
    </w:p>
    <w:p>
      <w:pPr>
        <w:pStyle w:val="Heading1"/>
      </w:pPr>
      <w:r>
        <w:t>Raw data summary</w:t>
      </w:r>
    </w:p>
    <w:p>
      <w:pPr>
        <w:jc w:val="both"/>
      </w:pPr>
      <w:r>
        <w:t xml:space="preserve">The underlying data has </w:t>
      </w:r>
      <w:r>
        <w:t>53822</w:t>
      </w:r>
      <w:r>
        <w:t xml:space="preserve"> observations with </w:t>
      </w:r>
      <w:r>
        <w:t>391</w:t>
      </w:r>
      <w:r>
        <w:t xml:space="preserve"> variables. The raw data was split into training and testing data using </w:t>
      </w:r>
      <w:r>
        <w:t>0.9 partition</w:t>
      </w:r>
      <w:r>
        <w:t xml:space="preserve">, which resulted in a training data size of </w:t>
      </w:r>
      <w:r>
        <w:t>48439</w:t>
      </w:r>
      <w:r>
        <w:t xml:space="preserve"> and a testing data size of </w:t>
      </w:r>
      <w:r>
        <w:t>5383</w:t>
      </w:r>
      <w:r>
        <w:t xml:space="preserve">. </w:t>
      </w:r>
      <w:r>
        <w:t>Logistic regression</w:t>
      </w:r>
      <w:r>
        <w:t xml:space="preserve"> was used as the for data analysis</w:t>
      </w:r>
      <w:r>
        <w:t xml:space="preserve"> with the training dataset.</w:t>
      </w:r>
    </w:p>
    <w:p>
      <w:pPr>
        <w:pStyle w:val="Heading1"/>
      </w:pPr>
      <w:r>
        <w:t>Data analysis summary</w:t>
      </w:r>
    </w:p>
    <w:p>
      <w:pPr>
        <w:jc w:val="both"/>
      </w:pPr>
      <w:r>
        <w:t xml:space="preserve">The goodness-of-fit measured in adj R-squared is </w:t>
      </w:r>
      <w:r>
        <w:t>0.251512275651</w:t>
      </w:r>
      <w:r>
        <w:t xml:space="preserve">. Based on the best model selected, the prediction accuracy on the testing data is </w:t>
      </w:r>
      <w:r>
        <w:t>0.851012446591</w:t>
      </w:r>
      <w:r>
        <w:t>. The residual plot is attached in the following section</w:t>
      </w:r>
    </w:p>
    <w:p>
      <w:pPr>
        <w:pStyle w:val="Heading1"/>
      </w:pPr>
      <w:r>
        <w:t>The performance measure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Performance measure index</w:t>
            </w:r>
          </w:p>
        </w:tc>
        <w:tc>
          <w:tcPr>
            <w:tcW w:type="dxa" w:w="2880"/>
          </w:tcPr>
          <w:p>
            <w:r>
              <w:t>Performance measure name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goodness-of-fit</w:t>
            </w:r>
          </w:p>
        </w:tc>
        <w:tc>
          <w:tcPr>
            <w:tcW w:type="dxa" w:w="2880"/>
          </w:tcPr>
          <w:p>
            <w:r>
              <w:t>0.251512275651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training accuracy</w:t>
            </w:r>
          </w:p>
        </w:tc>
        <w:tc>
          <w:tcPr>
            <w:tcW w:type="dxa" w:w="2880"/>
          </w:tcPr>
          <w:p>
            <w:r>
              <w:t>0.854703854332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testing accuracy</w:t>
            </w:r>
          </w:p>
        </w:tc>
        <w:tc>
          <w:tcPr>
            <w:tcW w:type="dxa" w:w="2880"/>
          </w:tcPr>
          <w:p>
            <w:r>
              <w:t>0.851012446591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training type I error</w:t>
            </w:r>
          </w:p>
        </w:tc>
        <w:tc>
          <w:tcPr>
            <w:tcW w:type="dxa" w:w="2880"/>
          </w:tcPr>
          <w:p>
            <w:r>
              <w:t>0.41517166718218373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training type II error</w:t>
            </w:r>
          </w:p>
        </w:tc>
        <w:tc>
          <w:tcPr>
            <w:tcW w:type="dxa" w:w="2880"/>
          </w:tcPr>
          <w:p>
            <w:r>
              <w:t>0.04700481595178416</w:t>
            </w:r>
          </w:p>
        </w:tc>
      </w:tr>
    </w:tbl>
    <w:p>
      <w:pPr>
        <w:pStyle w:val="Heading1"/>
      </w:pPr>
      <w:r>
        <w:t>The residual plot</w:t>
      </w:r>
    </w:p>
    <w:p>
      <w:r>
        <w:drawing>
          <wp:inline xmlns:a="http://schemas.openxmlformats.org/drawingml/2006/main" xmlns:pic="http://schemas.openxmlformats.org/drawingml/2006/picture">
            <wp:extent cx="5029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dual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