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243B" w14:textId="0BDE784E" w:rsidR="00D5641D" w:rsidRDefault="2C050CB2" w:rsidP="00795B50">
      <w:pPr>
        <w:spacing w:line="360" w:lineRule="auto"/>
        <w:rPr>
          <w:rFonts w:ascii="Times New Roman" w:hAnsi="Times New Roman" w:cs="Times New Roman"/>
          <w:b/>
          <w:bCs/>
          <w:lang w:val="es-CO"/>
        </w:rPr>
      </w:pPr>
      <w:r w:rsidRPr="2C050CB2">
        <w:rPr>
          <w:rFonts w:ascii="Times New Roman" w:hAnsi="Times New Roman" w:cs="Times New Roman"/>
          <w:b/>
          <w:bCs/>
          <w:lang w:val="es-CO"/>
        </w:rPr>
        <w:t xml:space="preserve"> </w:t>
      </w:r>
      <w:r w:rsidR="004B3866">
        <w:rPr>
          <w:rFonts w:ascii="Times New Roman" w:hAnsi="Times New Roman" w:cs="Times New Roman"/>
          <w:b/>
          <w:bCs/>
          <w:lang w:val="es-CO"/>
        </w:rPr>
        <w:t xml:space="preserve">Sección 1. </w:t>
      </w:r>
      <w:r w:rsidR="00D5641D" w:rsidRPr="00F14DF1">
        <w:rPr>
          <w:rFonts w:ascii="Times New Roman" w:hAnsi="Times New Roman" w:cs="Times New Roman"/>
          <w:b/>
          <w:bCs/>
          <w:lang w:val="es-CO"/>
        </w:rPr>
        <w:t>Introducción</w:t>
      </w:r>
    </w:p>
    <w:p w14:paraId="7B692EEC"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Durante las últimas décadas, Colombia ha logrado reducir sustancialmente el déficit habitacional. Sin embargo, a pesar de este avance, muchos hogares aún no cuentan con la capacidad de adquirir una vivienda propia o de acceder a condiciones habitacionales dignas. De acuerdo con la Encuesta de Calidad de Vida (ECV, 2024), cerca de 4,9 millones de hogares viven en déficit habitacional, lo que representa el 26,8% del total nacional.</w:t>
      </w:r>
    </w:p>
    <w:p w14:paraId="06EDDD98"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En Colombia, el déficit habitacional se clasifica en dos dimensiones: cuantitativo y cualitativo. El primero hace referencia a la escasez de viviendas disponibles para la población, incluyendo casos de hacinamiento no mitigable o cohabitación forzada. El segundo alude a deficiencias en las condiciones físicas y de servicios de las viviendas, considerando factores como la calidad de los materiales, el espacio habitable, la estructura y el acceso a servicios básicos.</w:t>
      </w:r>
    </w:p>
    <w:p w14:paraId="1B37C7A1" w14:textId="58DE1863"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Esta problemática afecta principalmente a los hogares en situación de vulnerabilidad, quienes además de vivir en condiciones deficitarias, enfrentan serias dificultades para acceder a una vivienda propia. Según la ECV (2024), la tenencia de vivienda propia ha disminuido durante los últimos cinco años. Por ejemplo, el porcentaje de hogares con vivienda totalmente pagada cayó del 41,6% en 2019 al 36% en 2024, mientras que los hogares con vivienda en proceso de pago pasaron del 4,6% al 3,5% en el mismo periodo. En contraste, aumentó la proporción de hogares en arriendo o subarriendo (de 35,7% a 40,4%), así como aquellos con posesión sin título, lo cual puede estar relacionado con fenómenos de cohabitación forzada o hacinamiento.</w:t>
      </w:r>
      <w:r w:rsidR="00351239">
        <w:rPr>
          <w:rFonts w:ascii="Times New Roman" w:hAnsi="Times New Roman" w:cs="Times New Roman"/>
          <w:lang w:val="es-CO"/>
        </w:rPr>
        <w:t xml:space="preserve"> </w:t>
      </w:r>
      <w:r w:rsidRPr="003D64CE">
        <w:rPr>
          <w:rFonts w:ascii="Times New Roman" w:hAnsi="Times New Roman" w:cs="Times New Roman"/>
          <w:lang w:val="es-CO"/>
        </w:rPr>
        <w:t>Además, persisten brechas de género en las condiciones de tenencia. La jefatura masculina predomina entre los propietarios, mientras que la femenina tiene mayor representación entre los arrendatarios, lo que sugiere un patrón de mayor vulnerabilidad en los hogares con jefatura femenina en cuanto al acceso a vivienda.</w:t>
      </w:r>
    </w:p>
    <w:p w14:paraId="73E2C3AD"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Uno de los factores estructurales que agrava esta situación es la dificultad de muchos hogares para acceder a financiamiento formal, debido a sus bajos ingresos, informalidad laboral o ausencia de historial crediticio. Estas barreras restringen el acceso efectivo a políticas de subsidios como Mi Casa Ya, limitando su impacto en la reducción del déficit habitacional. Esto, a su vez, puede tener efectos negativos sobre la demanda de viviendas VIS y VIP, y por extensión, sobre el sector de la construcción, el crecimiento económico y la generación de empleo (Camacol, 2020).</w:t>
      </w:r>
    </w:p>
    <w:p w14:paraId="2299C186" w14:textId="17A776FC"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lastRenderedPageBreak/>
        <w:t xml:space="preserve">Con el objetivo de facilitar la adquisición de vivienda, en 2015 se implementó el programa de subsidio familiar de vivienda Mi Casa Ya (MCY), que otorga subvenciones monetarias para la compra de vivienda nueva de interés social (VIS) y de interés prioritario (VIP). Desde su creación, el programa ha mostrado un crecimiento sostenido. En 2016 benefició a 6.483 hogares, alcanzando un pico de 65.442 beneficiarios en 2022, </w:t>
      </w:r>
      <w:r w:rsidR="00B2400C">
        <w:rPr>
          <w:rFonts w:ascii="Times New Roman" w:hAnsi="Times New Roman" w:cs="Times New Roman"/>
          <w:lang w:val="es-CO"/>
        </w:rPr>
        <w:t xml:space="preserve">facilitando </w:t>
      </w:r>
      <w:r w:rsidRPr="003D64CE">
        <w:rPr>
          <w:rFonts w:ascii="Times New Roman" w:hAnsi="Times New Roman" w:cs="Times New Roman"/>
          <w:lang w:val="es-CO"/>
        </w:rPr>
        <w:t>el cierre financiero de muchos hogares</w:t>
      </w:r>
      <w:r w:rsidR="00B2400C">
        <w:rPr>
          <w:rFonts w:ascii="Times New Roman" w:hAnsi="Times New Roman" w:cs="Times New Roman"/>
          <w:lang w:val="es-CO"/>
        </w:rPr>
        <w:t xml:space="preserve"> e incentivando la demanda de vivienda</w:t>
      </w:r>
      <w:r w:rsidRPr="003D64CE">
        <w:rPr>
          <w:rFonts w:ascii="Times New Roman" w:hAnsi="Times New Roman" w:cs="Times New Roman"/>
          <w:lang w:val="es-CO"/>
        </w:rPr>
        <w:t>.</w:t>
      </w:r>
    </w:p>
    <w:p w14:paraId="04D7B38E"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No obstante, los cambios introducidos en 2023 en los criterios de acceso —que priorizaron municipios de categorías 5 y 6, zonas rurales y hogares con menores ingresos— redujeron el número de beneficiarios a 51.019 en 2023 y 50.218 en 2024. A pesar de la nueva focalización, el requisito de demostrar capacidad de endeudamiento se mantuvo, limitando el acceso al crédito hipotecario entre los hogares más vulnerables (Acosta, 2024).</w:t>
      </w:r>
    </w:p>
    <w:p w14:paraId="1B936CD5"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En este contexto, es fundamental evaluar el impacto de las restricciones crediticias en la materialización del subsidio. Aunque un hogar cumpla con los requisitos socioeconómicos y acceda a la asignación del subsidio, si no logra obtener un crédito hipotecario aprobado por una entidad financiera —debido a su perfil de riesgo o informalidad—, el subsidio no se desembolsa. Esto plantea interrogantes sobre la efectividad del rediseño del programa en términos de equidad y cobertura.</w:t>
      </w:r>
    </w:p>
    <w:p w14:paraId="2C050D37" w14:textId="77777777"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 xml:space="preserve">A partir de esto, la pregunta de investigación que orienta este trabajo es: </w:t>
      </w:r>
      <w:r w:rsidRPr="00F13AEC">
        <w:rPr>
          <w:rFonts w:ascii="Times New Roman" w:hAnsi="Times New Roman" w:cs="Times New Roman"/>
          <w:highlight w:val="yellow"/>
          <w:lang w:val="es-CO"/>
        </w:rPr>
        <w:t>¿en qué medida las restricciones crediticias afectan el acceso efectivo al subsidio de vivienda del programa Mi Casa Ya para hogares de bajos ingresos?</w:t>
      </w:r>
    </w:p>
    <w:p w14:paraId="0CF31D75" w14:textId="10A075F2" w:rsidR="003D64CE" w:rsidRP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t xml:space="preserve">Para responder esta pregunta, se utilizará una estrategia de evaluación de impacto basada en la metodología de diferencias en diferencias (DiD). Se aprovechará el cambio en la focalización del programa ocurrido en 2023 como una variación exógena que afectó diferencialmente a los municipios según su categoría. </w:t>
      </w:r>
      <w:r w:rsidRPr="004B3866">
        <w:rPr>
          <w:rFonts w:ascii="Times New Roman" w:hAnsi="Times New Roman" w:cs="Times New Roman"/>
          <w:highlight w:val="yellow"/>
          <w:lang w:val="es-CO"/>
        </w:rPr>
        <w:t xml:space="preserve">Utilizando información de la Gran Encuesta Integrada de Hogares (GEIH) y los registros </w:t>
      </w:r>
      <w:r w:rsidR="004B3866" w:rsidRPr="004B3866">
        <w:rPr>
          <w:rFonts w:ascii="Times New Roman" w:hAnsi="Times New Roman" w:cs="Times New Roman"/>
          <w:highlight w:val="yellow"/>
          <w:lang w:val="es-CO"/>
        </w:rPr>
        <w:t xml:space="preserve">de asignación de subsidios </w:t>
      </w:r>
      <w:r w:rsidRPr="004B3866">
        <w:rPr>
          <w:rFonts w:ascii="Times New Roman" w:hAnsi="Times New Roman" w:cs="Times New Roman"/>
          <w:highlight w:val="yellow"/>
          <w:lang w:val="es-CO"/>
        </w:rPr>
        <w:t>del Ministerio de Vivienda, se estimará el efecto de las restricciones crediticias —aproximadas mediante el acceso efectivo a productos financieros— sobre la probabilidad de que un hogar beneficiario logre el desembolso del subsidio. Este enfoque permitirá identificar si la reforma al programa profundizó las barreras existentes para los hogares más vulnerables.</w:t>
      </w:r>
    </w:p>
    <w:p w14:paraId="3A889662" w14:textId="5DBAEEA2" w:rsidR="003D64CE" w:rsidRDefault="003D64CE" w:rsidP="003D64CE">
      <w:pPr>
        <w:spacing w:line="360" w:lineRule="auto"/>
        <w:rPr>
          <w:rFonts w:ascii="Times New Roman" w:hAnsi="Times New Roman" w:cs="Times New Roman"/>
          <w:lang w:val="es-CO"/>
        </w:rPr>
      </w:pPr>
      <w:r w:rsidRPr="003D64CE">
        <w:rPr>
          <w:rFonts w:ascii="Times New Roman" w:hAnsi="Times New Roman" w:cs="Times New Roman"/>
          <w:lang w:val="es-CO"/>
        </w:rPr>
        <w:lastRenderedPageBreak/>
        <w:t>El documento se estructura de la siguiente manera. En la sección 2 se presenta el contexto del déficit habitacional, los cambios recientes en el programa Mi Casa Ya y el acceso al crédito en Colombia. En la sección 3 se analizan estadísticas descriptivas. La sección 4 expone la metodología y especificaciones del modelo. En la sección 5 se presentan los resultados, y en la sección 6 se discuten las conclusiones y recomendaciones.</w:t>
      </w:r>
    </w:p>
    <w:p w14:paraId="4E142954" w14:textId="60AFF6C2" w:rsidR="00D5641D" w:rsidRPr="0061642C" w:rsidRDefault="0061642C" w:rsidP="0061642C">
      <w:pPr>
        <w:rPr>
          <w:rFonts w:ascii="Times New Roman" w:hAnsi="Times New Roman" w:cs="Times New Roman"/>
          <w:lang w:val="es-CO"/>
        </w:rPr>
      </w:pPr>
      <w:r>
        <w:rPr>
          <w:rFonts w:ascii="Times New Roman" w:hAnsi="Times New Roman" w:cs="Times New Roman"/>
          <w:b/>
          <w:bCs/>
          <w:lang w:val="es-CO"/>
        </w:rPr>
        <w:t xml:space="preserve">Sección 2. </w:t>
      </w:r>
      <w:r w:rsidR="009A3F06" w:rsidRPr="0061642C">
        <w:rPr>
          <w:rFonts w:ascii="Times New Roman" w:hAnsi="Times New Roman" w:cs="Times New Roman"/>
          <w:b/>
          <w:bCs/>
          <w:lang w:val="es-CO"/>
        </w:rPr>
        <w:t>Hechos estilizados</w:t>
      </w:r>
    </w:p>
    <w:p w14:paraId="2E87BFE3" w14:textId="06A3B7FB" w:rsidR="009A3F06" w:rsidRPr="009A3F06" w:rsidRDefault="009A3F06" w:rsidP="008B516F">
      <w:pPr>
        <w:spacing w:line="360" w:lineRule="auto"/>
        <w:rPr>
          <w:rFonts w:ascii="Times New Roman" w:hAnsi="Times New Roman" w:cs="Times New Roman"/>
          <w:b/>
          <w:bCs/>
          <w:lang w:val="es-CO"/>
        </w:rPr>
      </w:pPr>
      <w:r w:rsidRPr="009A3F06">
        <w:rPr>
          <w:rFonts w:ascii="Times New Roman" w:hAnsi="Times New Roman" w:cs="Times New Roman"/>
          <w:b/>
          <w:bCs/>
          <w:lang w:val="es-CO"/>
        </w:rPr>
        <w:t>Déficit habitacional</w:t>
      </w:r>
    </w:p>
    <w:p w14:paraId="52C8101D" w14:textId="3EC5E956" w:rsidR="004B3866" w:rsidRPr="002410BD" w:rsidRDefault="0003768A" w:rsidP="008B516F">
      <w:pPr>
        <w:spacing w:line="360" w:lineRule="auto"/>
        <w:rPr>
          <w:lang w:val="es-CO"/>
        </w:rPr>
      </w:pPr>
      <w:r>
        <w:rPr>
          <w:rFonts w:ascii="Times New Roman" w:hAnsi="Times New Roman" w:cs="Times New Roman"/>
          <w:lang w:val="es-CO"/>
        </w:rPr>
        <w:t xml:space="preserve">El déficit habitacional en Colombia es un problema importante que afecta gran parte de la población. </w:t>
      </w:r>
      <w:r w:rsidR="00DA138D">
        <w:rPr>
          <w:rFonts w:ascii="Times New Roman" w:hAnsi="Times New Roman" w:cs="Times New Roman"/>
          <w:lang w:val="es-CO"/>
        </w:rPr>
        <w:t xml:space="preserve">Los resultados de la ECV 2024 muestran que el déficit </w:t>
      </w:r>
      <w:r w:rsidR="00074EF4">
        <w:rPr>
          <w:rFonts w:ascii="Times New Roman" w:hAnsi="Times New Roman" w:cs="Times New Roman"/>
          <w:lang w:val="es-CO"/>
        </w:rPr>
        <w:t>habitacional</w:t>
      </w:r>
      <w:r w:rsidR="00DA138D">
        <w:rPr>
          <w:rFonts w:ascii="Times New Roman" w:hAnsi="Times New Roman" w:cs="Times New Roman"/>
          <w:lang w:val="es-CO"/>
        </w:rPr>
        <w:t xml:space="preserve"> en Colombia </w:t>
      </w:r>
      <w:r w:rsidR="00F75343">
        <w:rPr>
          <w:rFonts w:ascii="Times New Roman" w:hAnsi="Times New Roman" w:cs="Times New Roman"/>
          <w:lang w:val="es-CO"/>
        </w:rPr>
        <w:t xml:space="preserve">de 28,9% en 2023 (5,2 millones de hogares) a 26,8% en 2024 (4,9 millones de hogares); una reducción equivalente a </w:t>
      </w:r>
      <w:r w:rsidR="001B7015">
        <w:rPr>
          <w:rFonts w:ascii="Times New Roman" w:hAnsi="Times New Roman" w:cs="Times New Roman"/>
          <w:lang w:val="es-CO"/>
        </w:rPr>
        <w:t>234 mil hogares que salieron de esta condición. Esta mejora se explica principalmente</w:t>
      </w:r>
      <w:r w:rsidR="00862709">
        <w:rPr>
          <w:rFonts w:ascii="Times New Roman" w:hAnsi="Times New Roman" w:cs="Times New Roman"/>
          <w:lang w:val="es-CO"/>
        </w:rPr>
        <w:t xml:space="preserve"> por el componente cualitativo, que pasó de 22,1% a 20% entre 2023 y 2024.</w:t>
      </w:r>
      <w:r w:rsidR="00A859DD">
        <w:rPr>
          <w:rFonts w:ascii="Times New Roman" w:hAnsi="Times New Roman" w:cs="Times New Roman"/>
          <w:lang w:val="es-CO"/>
        </w:rPr>
        <w:t xml:space="preserve"> En contraste, el déficit cuantitativo aumentó</w:t>
      </w:r>
      <w:r w:rsidR="00094816">
        <w:rPr>
          <w:rFonts w:ascii="Times New Roman" w:hAnsi="Times New Roman" w:cs="Times New Roman"/>
          <w:lang w:val="es-CO"/>
        </w:rPr>
        <w:t>, pasando del 6,77% a 6,81%.</w:t>
      </w:r>
      <w:r w:rsidR="00F2537D">
        <w:rPr>
          <w:rFonts w:ascii="Times New Roman" w:hAnsi="Times New Roman" w:cs="Times New Roman"/>
          <w:lang w:val="es-CO"/>
        </w:rPr>
        <w:t xml:space="preserve"> Además, se estima que para el 2024, el 7% de los hogares colombianos se encuentra en déficit cuantitativo, mientras que el 20% en déficit cualitativo</w:t>
      </w:r>
      <w:r w:rsidR="004C27D5">
        <w:rPr>
          <w:rFonts w:ascii="Times New Roman" w:hAnsi="Times New Roman" w:cs="Times New Roman"/>
          <w:lang w:val="es-CO"/>
        </w:rPr>
        <w:t>, lo que compromete la calidad de vida y bienestar de los ciudadanos.</w:t>
      </w:r>
      <w:r w:rsidR="00F2537D">
        <w:rPr>
          <w:rFonts w:ascii="Times New Roman" w:hAnsi="Times New Roman" w:cs="Times New Roman"/>
          <w:lang w:val="es-CO"/>
        </w:rPr>
        <w:t xml:space="preserve"> </w:t>
      </w:r>
    </w:p>
    <w:p w14:paraId="1DF6385E" w14:textId="499553D8" w:rsidR="004B3866" w:rsidRPr="00F447A1" w:rsidRDefault="0061642C" w:rsidP="004B3866">
      <w:pPr>
        <w:jc w:val="center"/>
        <w:rPr>
          <w:rFonts w:ascii="Times New Roman" w:hAnsi="Times New Roman" w:cs="Times New Roman"/>
          <w:lang w:val="es-CO"/>
        </w:rPr>
      </w:pPr>
      <w:r w:rsidRPr="00F447A1">
        <w:rPr>
          <w:rFonts w:ascii="Times New Roman" w:hAnsi="Times New Roman" w:cs="Times New Roman"/>
          <w:noProof/>
        </w:rPr>
        <w:drawing>
          <wp:anchor distT="0" distB="0" distL="114300" distR="114300" simplePos="0" relativeHeight="251658240" behindDoc="0" locked="0" layoutInCell="1" allowOverlap="1" wp14:anchorId="09DD3E07" wp14:editId="4DCB7CD1">
            <wp:simplePos x="0" y="0"/>
            <wp:positionH relativeFrom="margin">
              <wp:posOffset>-190500</wp:posOffset>
            </wp:positionH>
            <wp:positionV relativeFrom="paragraph">
              <wp:posOffset>602615</wp:posOffset>
            </wp:positionV>
            <wp:extent cx="6362700" cy="3333750"/>
            <wp:effectExtent l="0" t="0" r="0" b="0"/>
            <wp:wrapTopAndBottom/>
            <wp:docPr id="619497207" name="Chart 1">
              <a:extLst xmlns:a="http://schemas.openxmlformats.org/drawingml/2006/main">
                <a:ext uri="{FF2B5EF4-FFF2-40B4-BE49-F238E27FC236}">
                  <a16:creationId xmlns:a16="http://schemas.microsoft.com/office/drawing/2014/main" id="{C7351386-42E3-40AB-1E0A-9B18D21CA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4B3866" w:rsidRPr="00F447A1">
        <w:rPr>
          <w:rFonts w:ascii="Times New Roman" w:hAnsi="Times New Roman" w:cs="Times New Roman"/>
          <w:lang w:val="es-CO"/>
        </w:rPr>
        <w:t>Gráfica 1. Déficit habitacional</w:t>
      </w:r>
      <w:r>
        <w:rPr>
          <w:rFonts w:ascii="Times New Roman" w:hAnsi="Times New Roman" w:cs="Times New Roman"/>
          <w:lang w:val="es-CO"/>
        </w:rPr>
        <w:br/>
      </w:r>
      <w:r w:rsidR="004B3866" w:rsidRPr="00F447A1">
        <w:rPr>
          <w:rFonts w:ascii="Times New Roman" w:hAnsi="Times New Roman" w:cs="Times New Roman"/>
          <w:lang w:val="es-CO"/>
        </w:rPr>
        <w:t>Incidencia (%)</w:t>
      </w:r>
      <w:r w:rsidR="004B3866" w:rsidRPr="00F447A1">
        <w:rPr>
          <w:rFonts w:ascii="Times New Roman" w:hAnsi="Times New Roman" w:cs="Times New Roman"/>
          <w:lang w:val="es-CO"/>
        </w:rPr>
        <w:br/>
      </w:r>
    </w:p>
    <w:p w14:paraId="55ACFA2A" w14:textId="18B60F89" w:rsidR="009C7028" w:rsidRDefault="00AF745B" w:rsidP="00AF745B">
      <w:pPr>
        <w:spacing w:line="360" w:lineRule="auto"/>
        <w:rPr>
          <w:rFonts w:ascii="Times New Roman" w:hAnsi="Times New Roman" w:cs="Times New Roman"/>
          <w:lang w:val="es-CO"/>
        </w:rPr>
      </w:pPr>
      <w:r w:rsidRPr="00AF745B">
        <w:rPr>
          <w:rFonts w:ascii="Times New Roman" w:hAnsi="Times New Roman" w:cs="Times New Roman"/>
          <w:lang w:val="es-CO"/>
        </w:rPr>
        <w:lastRenderedPageBreak/>
        <w:t xml:space="preserve">El déficit habitacional en Colombia no solo refleja una carencia de infraestructura residencial, sino que también tiene implicaciones profundas en el bienestar económico y social de los hogares. Diversos </w:t>
      </w:r>
      <w:r w:rsidR="005F40D1">
        <w:rPr>
          <w:rFonts w:ascii="Times New Roman" w:hAnsi="Times New Roman" w:cs="Times New Roman"/>
          <w:lang w:val="es-CO"/>
        </w:rPr>
        <w:t>estudios</w:t>
      </w:r>
      <w:r w:rsidRPr="00AF745B">
        <w:rPr>
          <w:rFonts w:ascii="Times New Roman" w:hAnsi="Times New Roman" w:cs="Times New Roman"/>
          <w:lang w:val="es-CO"/>
        </w:rPr>
        <w:t xml:space="preserve"> conectan la calidad y estabilidad de la vivienda con resultados en empleo, ingresos, salud, seguridad y redes sociales. Por ejemplo, la estabilidad residencial puede reducir la rotación laboral y mejorar la productividad, mientras que el hacinamiento o las mudanzas forzadas pueden interrumpir redes de apoyo, limitar el acceso a empleos de calidad y deteriorar el capital social. </w:t>
      </w:r>
    </w:p>
    <w:p w14:paraId="35B76BF5" w14:textId="0781BDB2" w:rsidR="00AF745B" w:rsidRPr="00AF745B" w:rsidRDefault="00AF745B" w:rsidP="00AF745B">
      <w:pPr>
        <w:spacing w:line="360" w:lineRule="auto"/>
        <w:rPr>
          <w:rFonts w:ascii="Times New Roman" w:hAnsi="Times New Roman" w:cs="Times New Roman"/>
          <w:lang w:val="es-CO"/>
        </w:rPr>
      </w:pPr>
      <w:r w:rsidRPr="00AF745B">
        <w:rPr>
          <w:rFonts w:ascii="Times New Roman" w:hAnsi="Times New Roman" w:cs="Times New Roman"/>
          <w:lang w:val="es-CO"/>
        </w:rPr>
        <w:t xml:space="preserve">Asimismo, un entorno adecuado incrementa la seguridad y mejora la percepción de bienestar; además, facilita el acceso a servicios públicos esenciales como agua, energía, educación y salud. La evidencia empírica muestra que los hogares que acceden a una vivienda formal mejoran su inclusión financiera, aumentan el gasto en salud y educación, y reducen la exposición a delitos, lo que demuestra que el acceso a vivienda no es solo un </w:t>
      </w:r>
      <w:r w:rsidR="004F231E">
        <w:rPr>
          <w:rFonts w:ascii="Times New Roman" w:hAnsi="Times New Roman" w:cs="Times New Roman"/>
          <w:lang w:val="es-CO"/>
        </w:rPr>
        <w:t>objetivo material</w:t>
      </w:r>
      <w:r w:rsidRPr="00AF745B">
        <w:rPr>
          <w:rFonts w:ascii="Times New Roman" w:hAnsi="Times New Roman" w:cs="Times New Roman"/>
          <w:lang w:val="es-CO"/>
        </w:rPr>
        <w:t xml:space="preserve">, sino un </w:t>
      </w:r>
      <w:r w:rsidR="004F231E">
        <w:rPr>
          <w:rFonts w:ascii="Times New Roman" w:hAnsi="Times New Roman" w:cs="Times New Roman"/>
          <w:lang w:val="es-CO"/>
        </w:rPr>
        <w:t xml:space="preserve">potenciador </w:t>
      </w:r>
      <w:r w:rsidRPr="00AF745B">
        <w:rPr>
          <w:rFonts w:ascii="Times New Roman" w:hAnsi="Times New Roman" w:cs="Times New Roman"/>
          <w:lang w:val="es-CO"/>
        </w:rPr>
        <w:t>de integración social y movilidad económica.</w:t>
      </w:r>
    </w:p>
    <w:p w14:paraId="53F3CE8F" w14:textId="77777777" w:rsidR="00EE2E4C" w:rsidRDefault="009416FC" w:rsidP="00AF745B">
      <w:pPr>
        <w:spacing w:line="360" w:lineRule="auto"/>
        <w:rPr>
          <w:rFonts w:ascii="Times New Roman" w:hAnsi="Times New Roman" w:cs="Times New Roman"/>
          <w:lang w:val="es-CO"/>
        </w:rPr>
      </w:pPr>
      <w:r w:rsidRPr="009416FC">
        <w:rPr>
          <w:rFonts w:ascii="Times New Roman" w:hAnsi="Times New Roman" w:cs="Times New Roman"/>
          <w:lang w:val="es-CO"/>
        </w:rPr>
        <w:t>De acuerdo con la literatura, la política habitacional no solo tiene efectos en el acceso</w:t>
      </w:r>
      <w:r w:rsidR="001537E4">
        <w:rPr>
          <w:rFonts w:ascii="Times New Roman" w:hAnsi="Times New Roman" w:cs="Times New Roman"/>
          <w:lang w:val="es-CO"/>
        </w:rPr>
        <w:t xml:space="preserve"> a vivienda propia</w:t>
      </w:r>
      <w:r w:rsidRPr="009416FC">
        <w:rPr>
          <w:rFonts w:ascii="Times New Roman" w:hAnsi="Times New Roman" w:cs="Times New Roman"/>
          <w:lang w:val="es-CO"/>
        </w:rPr>
        <w:t>, sino también en otros aspectos importantes como el ingreso, la educación y la seguridad. Por ejemplo, López-Uribe</w:t>
      </w:r>
      <w:r w:rsidR="002C26C8">
        <w:rPr>
          <w:rFonts w:ascii="Times New Roman" w:hAnsi="Times New Roman" w:cs="Times New Roman"/>
          <w:lang w:val="es-CO"/>
        </w:rPr>
        <w:t>,</w:t>
      </w:r>
      <w:r w:rsidRPr="009416FC">
        <w:rPr>
          <w:rFonts w:ascii="Times New Roman" w:hAnsi="Times New Roman" w:cs="Times New Roman"/>
          <w:lang w:val="es-CO"/>
        </w:rPr>
        <w:t xml:space="preserve"> Sánchez </w:t>
      </w:r>
      <w:r w:rsidR="002C26C8">
        <w:rPr>
          <w:rFonts w:ascii="Times New Roman" w:hAnsi="Times New Roman" w:cs="Times New Roman"/>
          <w:lang w:val="es-CO"/>
        </w:rPr>
        <w:t xml:space="preserve">y Caputo </w:t>
      </w:r>
      <w:r w:rsidRPr="009416FC">
        <w:rPr>
          <w:rFonts w:ascii="Times New Roman" w:hAnsi="Times New Roman" w:cs="Times New Roman"/>
          <w:lang w:val="es-CO"/>
        </w:rPr>
        <w:t>(202</w:t>
      </w:r>
      <w:r w:rsidR="002C26C8">
        <w:rPr>
          <w:rFonts w:ascii="Times New Roman" w:hAnsi="Times New Roman" w:cs="Times New Roman"/>
          <w:lang w:val="es-CO"/>
        </w:rPr>
        <w:t>1</w:t>
      </w:r>
      <w:r w:rsidRPr="009416FC">
        <w:rPr>
          <w:rFonts w:ascii="Times New Roman" w:hAnsi="Times New Roman" w:cs="Times New Roman"/>
          <w:lang w:val="es-CO"/>
        </w:rPr>
        <w:t xml:space="preserve">) muestran que el programa Mi Casa Ya ayudó a reducir el déficit habitacional, pero además mejoró el acceso a servicios públicos, aumentó los ingresos laborales y redujo los niveles de pobreza. Algo parecido encontró Gonzales (2021) en la evaluación del Programa de Vivienda Gratuita: los hogares beneficiarios reportaron mejoras en seguridad, mayor gasto en salud y educación, y más capacidad de ahorro. </w:t>
      </w:r>
    </w:p>
    <w:p w14:paraId="4DAA6BCB" w14:textId="0F94A111" w:rsidR="004B3866" w:rsidRDefault="009416FC" w:rsidP="00AF745B">
      <w:pPr>
        <w:spacing w:line="360" w:lineRule="auto"/>
        <w:rPr>
          <w:rFonts w:ascii="Times New Roman" w:hAnsi="Times New Roman" w:cs="Times New Roman"/>
          <w:lang w:val="es-CO"/>
        </w:rPr>
      </w:pPr>
      <w:r w:rsidRPr="009416FC">
        <w:rPr>
          <w:rFonts w:ascii="Times New Roman" w:hAnsi="Times New Roman" w:cs="Times New Roman"/>
          <w:lang w:val="es-CO"/>
        </w:rPr>
        <w:t>En otros contextos también se han visto efectos parecidos. El estudio de Chetty, Hendren y Katz (2016) sobre el experimento Moving to Opportunity en Estados Unidos encontró que los niños que crecieron en barrios de menor pobreza, gracias a un subsidio de vivienda, lograron tener mejores ingresos y más acceso a educación superior cuando llegaron a adultos. Estos estudios refuerzan la idea de que una política de vivienda bien diseñada puede generar cambios positivos en la vida de las personas, más allá de la vivienda misma.</w:t>
      </w:r>
    </w:p>
    <w:p w14:paraId="4ECC7740" w14:textId="5C96454E" w:rsidR="009A3F06" w:rsidRDefault="009A3F06" w:rsidP="00AF745B">
      <w:pPr>
        <w:spacing w:line="360" w:lineRule="auto"/>
        <w:rPr>
          <w:rFonts w:ascii="Times New Roman" w:hAnsi="Times New Roman" w:cs="Times New Roman"/>
          <w:b/>
          <w:bCs/>
          <w:lang w:val="es-CO"/>
        </w:rPr>
      </w:pPr>
      <w:r w:rsidRPr="009A3F06">
        <w:rPr>
          <w:rFonts w:ascii="Times New Roman" w:hAnsi="Times New Roman" w:cs="Times New Roman"/>
          <w:b/>
          <w:bCs/>
          <w:lang w:val="es-CO"/>
        </w:rPr>
        <w:t>Programa Mi Casa Ya</w:t>
      </w:r>
    </w:p>
    <w:p w14:paraId="3552BFED" w14:textId="3ED63A7E" w:rsidR="009A3F06" w:rsidRDefault="00F77CAC" w:rsidP="00AF745B">
      <w:pPr>
        <w:spacing w:line="360" w:lineRule="auto"/>
        <w:rPr>
          <w:rFonts w:ascii="Times New Roman" w:hAnsi="Times New Roman" w:cs="Times New Roman"/>
          <w:lang w:val="es-CO"/>
        </w:rPr>
      </w:pPr>
      <w:r w:rsidRPr="00F77CAC">
        <w:rPr>
          <w:rFonts w:ascii="Times New Roman" w:hAnsi="Times New Roman" w:cs="Times New Roman"/>
          <w:lang w:val="es-CO"/>
        </w:rPr>
        <w:lastRenderedPageBreak/>
        <w:t>Mi Casa Ya</w:t>
      </w:r>
      <w:r>
        <w:rPr>
          <w:rFonts w:ascii="Times New Roman" w:hAnsi="Times New Roman" w:cs="Times New Roman"/>
          <w:lang w:val="es-CO"/>
        </w:rPr>
        <w:t xml:space="preserve"> es un programa de política habitacional, creado en 2015, que tiene como objetivo facilitar el acceso a vivienda nueva para hogares de ingresos bajos y medios</w:t>
      </w:r>
      <w:r w:rsidR="00390035">
        <w:rPr>
          <w:rFonts w:ascii="Times New Roman" w:hAnsi="Times New Roman" w:cs="Times New Roman"/>
          <w:lang w:val="es-CO"/>
        </w:rPr>
        <w:t xml:space="preserve"> (</w:t>
      </w:r>
      <w:r w:rsidR="0041728C">
        <w:rPr>
          <w:rFonts w:ascii="Times New Roman" w:hAnsi="Times New Roman" w:cs="Times New Roman"/>
          <w:lang w:val="es-CO"/>
        </w:rPr>
        <w:t>hogares que ganan hasta 4 SMMLV)</w:t>
      </w:r>
      <w:r>
        <w:rPr>
          <w:rFonts w:ascii="Times New Roman" w:hAnsi="Times New Roman" w:cs="Times New Roman"/>
          <w:lang w:val="es-CO"/>
        </w:rPr>
        <w:t xml:space="preserve">, mediante </w:t>
      </w:r>
      <w:r w:rsidR="0077474F">
        <w:rPr>
          <w:rFonts w:ascii="Times New Roman" w:hAnsi="Times New Roman" w:cs="Times New Roman"/>
          <w:lang w:val="es-CO"/>
        </w:rPr>
        <w:t>un subsidio con dos componentes principales:</w:t>
      </w:r>
    </w:p>
    <w:p w14:paraId="77FF48C6" w14:textId="5AD81537" w:rsidR="0077474F" w:rsidRDefault="009E2340" w:rsidP="0077474F">
      <w:pPr>
        <w:pStyle w:val="ListParagraph"/>
        <w:numPr>
          <w:ilvl w:val="0"/>
          <w:numId w:val="21"/>
        </w:numPr>
        <w:spacing w:line="360" w:lineRule="auto"/>
        <w:rPr>
          <w:rFonts w:ascii="Times New Roman" w:hAnsi="Times New Roman" w:cs="Times New Roman"/>
          <w:lang w:val="es-CO"/>
        </w:rPr>
      </w:pPr>
      <w:r>
        <w:rPr>
          <w:rFonts w:ascii="Times New Roman" w:hAnsi="Times New Roman" w:cs="Times New Roman"/>
          <w:lang w:val="es-CO"/>
        </w:rPr>
        <w:t>Subsidio Familiar de Vivienda: aporte en dinero para lograr el cierre financiero de la vivienda nueva (VIS o VIP)</w:t>
      </w:r>
      <w:r w:rsidR="00B75FC0">
        <w:rPr>
          <w:rFonts w:ascii="Times New Roman" w:hAnsi="Times New Roman" w:cs="Times New Roman"/>
          <w:lang w:val="es-CO"/>
        </w:rPr>
        <w:t>, que se desembolsa únicamente si el hogar accede a un crédito hipotecario o leasing habitacional aprobado.</w:t>
      </w:r>
    </w:p>
    <w:p w14:paraId="33BE10A4" w14:textId="0240D85B" w:rsidR="00F47F78" w:rsidRDefault="00F47F78" w:rsidP="0077474F">
      <w:pPr>
        <w:pStyle w:val="ListParagraph"/>
        <w:numPr>
          <w:ilvl w:val="0"/>
          <w:numId w:val="21"/>
        </w:numPr>
        <w:spacing w:line="360" w:lineRule="auto"/>
        <w:rPr>
          <w:rFonts w:ascii="Times New Roman" w:hAnsi="Times New Roman" w:cs="Times New Roman"/>
          <w:lang w:val="es-CO"/>
        </w:rPr>
      </w:pPr>
      <w:r>
        <w:rPr>
          <w:rFonts w:ascii="Times New Roman" w:hAnsi="Times New Roman" w:cs="Times New Roman"/>
          <w:lang w:val="es-CO"/>
        </w:rPr>
        <w:t>Cobertura a la tasa de interés: apoyo adicional por siete años que reduce la tasa de interés del crédito otorgados, haciendo más manejable el pago mensual.</w:t>
      </w:r>
    </w:p>
    <w:p w14:paraId="25D2F23C" w14:textId="3E5C8A17" w:rsidR="00F47F78" w:rsidRDefault="00793263" w:rsidP="00F47F78">
      <w:pPr>
        <w:spacing w:line="360" w:lineRule="auto"/>
        <w:rPr>
          <w:rFonts w:ascii="Times New Roman" w:hAnsi="Times New Roman" w:cs="Times New Roman"/>
          <w:lang w:val="es-CO"/>
        </w:rPr>
      </w:pPr>
      <w:r>
        <w:rPr>
          <w:rFonts w:ascii="Times New Roman" w:hAnsi="Times New Roman" w:cs="Times New Roman"/>
          <w:lang w:val="es-CO"/>
        </w:rPr>
        <w:t xml:space="preserve">Para acceder al programa, los hogares deben cumplir </w:t>
      </w:r>
      <w:r w:rsidR="004A3F52">
        <w:rPr>
          <w:rFonts w:ascii="Times New Roman" w:hAnsi="Times New Roman" w:cs="Times New Roman"/>
          <w:lang w:val="es-CO"/>
        </w:rPr>
        <w:t xml:space="preserve">con los siguientes requisitos: no ser propietarios de una vivienda en Colombia, no haber recibido previamente un subsidio familiar de vivienda, no haber sido beneficiarios de la cobertura a tasa de interés, tener un crédito hipotecario </w:t>
      </w:r>
      <w:r w:rsidR="00F727DE">
        <w:rPr>
          <w:rFonts w:ascii="Times New Roman" w:hAnsi="Times New Roman" w:cs="Times New Roman"/>
          <w:lang w:val="es-CO"/>
        </w:rPr>
        <w:t>por una entidad financiera y la vivienda debe estar ubicada en suelo urbano y cumplir con los requisitos de VIP</w:t>
      </w:r>
      <w:r w:rsidR="00F02A07">
        <w:rPr>
          <w:rFonts w:ascii="Times New Roman" w:hAnsi="Times New Roman" w:cs="Times New Roman"/>
          <w:lang w:val="es-CO"/>
        </w:rPr>
        <w:t xml:space="preserve"> (</w:t>
      </w:r>
      <w:r w:rsidR="00F3401B">
        <w:rPr>
          <w:rFonts w:ascii="Times New Roman" w:hAnsi="Times New Roman" w:cs="Times New Roman"/>
          <w:lang w:val="es-CO"/>
        </w:rPr>
        <w:t xml:space="preserve">&lt; </w:t>
      </w:r>
      <w:r w:rsidR="00F02A07">
        <w:rPr>
          <w:rFonts w:ascii="Times New Roman" w:hAnsi="Times New Roman" w:cs="Times New Roman"/>
          <w:lang w:val="es-CO"/>
        </w:rPr>
        <w:t>90 SMMLV)</w:t>
      </w:r>
      <w:r w:rsidR="00F727DE">
        <w:rPr>
          <w:rFonts w:ascii="Times New Roman" w:hAnsi="Times New Roman" w:cs="Times New Roman"/>
          <w:lang w:val="es-CO"/>
        </w:rPr>
        <w:t xml:space="preserve"> o VIS (</w:t>
      </w:r>
      <w:r w:rsidR="00F3401B">
        <w:rPr>
          <w:rFonts w:ascii="Times New Roman" w:hAnsi="Times New Roman" w:cs="Times New Roman"/>
          <w:lang w:val="es-CO"/>
        </w:rPr>
        <w:t>&lt; 135 SMMLV).</w:t>
      </w:r>
    </w:p>
    <w:p w14:paraId="1045AC1E" w14:textId="6DC112FF" w:rsidR="008827B5" w:rsidRDefault="008827B5" w:rsidP="00F47F78">
      <w:pPr>
        <w:spacing w:line="360" w:lineRule="auto"/>
        <w:rPr>
          <w:rFonts w:ascii="Times New Roman" w:hAnsi="Times New Roman" w:cs="Times New Roman"/>
          <w:lang w:val="es-CO"/>
        </w:rPr>
      </w:pPr>
      <w:r>
        <w:rPr>
          <w:rFonts w:ascii="Times New Roman" w:hAnsi="Times New Roman" w:cs="Times New Roman"/>
          <w:lang w:val="es-CO"/>
        </w:rPr>
        <w:t xml:space="preserve">En marzo de 2023, el Decreto 490 modificó algunos aspectos del programa, principalmente en cómo se seleccionan y priorizan los hogares beneficiarios. El cambio principal </w:t>
      </w:r>
      <w:r w:rsidR="00E11511">
        <w:rPr>
          <w:rFonts w:ascii="Times New Roman" w:hAnsi="Times New Roman" w:cs="Times New Roman"/>
          <w:lang w:val="es-CO"/>
        </w:rPr>
        <w:t xml:space="preserve">fue la introducción del </w:t>
      </w:r>
      <w:r w:rsidR="00C123BA">
        <w:rPr>
          <w:rFonts w:ascii="Times New Roman" w:hAnsi="Times New Roman" w:cs="Times New Roman"/>
          <w:lang w:val="es-CO"/>
        </w:rPr>
        <w:t>Sisbén</w:t>
      </w:r>
      <w:r w:rsidR="00E11511">
        <w:rPr>
          <w:rFonts w:ascii="Times New Roman" w:hAnsi="Times New Roman" w:cs="Times New Roman"/>
          <w:lang w:val="es-CO"/>
        </w:rPr>
        <w:t xml:space="preserve"> IV como medida de focalización</w:t>
      </w:r>
      <w:r w:rsidR="005E323F">
        <w:rPr>
          <w:rFonts w:ascii="Times New Roman" w:hAnsi="Times New Roman" w:cs="Times New Roman"/>
          <w:lang w:val="es-CO"/>
        </w:rPr>
        <w:t xml:space="preserve"> y el establecimiento de condiciones de clasificación de lo</w:t>
      </w:r>
      <w:r w:rsidR="004264CF">
        <w:rPr>
          <w:rFonts w:ascii="Times New Roman" w:hAnsi="Times New Roman" w:cs="Times New Roman"/>
          <w:lang w:val="es-CO"/>
        </w:rPr>
        <w:t>s hogares</w:t>
      </w:r>
      <w:r w:rsidR="00E11511">
        <w:rPr>
          <w:rFonts w:ascii="Times New Roman" w:hAnsi="Times New Roman" w:cs="Times New Roman"/>
          <w:lang w:val="es-CO"/>
        </w:rPr>
        <w:t>. Antes del cambio, el programa operaba bajo criterios de demanda</w:t>
      </w:r>
      <w:r w:rsidR="004264CF">
        <w:rPr>
          <w:rFonts w:ascii="Times New Roman" w:hAnsi="Times New Roman" w:cs="Times New Roman"/>
          <w:lang w:val="es-CO"/>
        </w:rPr>
        <w:t>, es decir, los hogares se postulaban y eran seleccionados según disponibilidad y orden de aplicación.</w:t>
      </w:r>
    </w:p>
    <w:p w14:paraId="64C54BFC" w14:textId="19645C09" w:rsidR="00C123BA" w:rsidRDefault="0041728C" w:rsidP="00F47F78">
      <w:pPr>
        <w:spacing w:line="360" w:lineRule="auto"/>
        <w:rPr>
          <w:rFonts w:ascii="Times New Roman" w:hAnsi="Times New Roman" w:cs="Times New Roman"/>
          <w:lang w:val="es-CO"/>
        </w:rPr>
      </w:pPr>
      <w:r>
        <w:rPr>
          <w:rFonts w:ascii="Times New Roman" w:hAnsi="Times New Roman" w:cs="Times New Roman"/>
          <w:lang w:val="es-CO"/>
        </w:rPr>
        <w:t xml:space="preserve">Con la modificación, se definió que solo los hogares clasificados en los grupos A1 hasta D20 del </w:t>
      </w:r>
      <w:r w:rsidR="00C123BA">
        <w:rPr>
          <w:rFonts w:ascii="Times New Roman" w:hAnsi="Times New Roman" w:cs="Times New Roman"/>
          <w:lang w:val="es-CO"/>
        </w:rPr>
        <w:t>Sisbén</w:t>
      </w:r>
      <w:r>
        <w:rPr>
          <w:rFonts w:ascii="Times New Roman" w:hAnsi="Times New Roman" w:cs="Times New Roman"/>
          <w:lang w:val="es-CO"/>
        </w:rPr>
        <w:t xml:space="preserve"> IV pueden aplicar</w:t>
      </w:r>
      <w:r w:rsidR="00C123BA">
        <w:rPr>
          <w:rFonts w:ascii="Times New Roman" w:hAnsi="Times New Roman" w:cs="Times New Roman"/>
          <w:lang w:val="es-CO"/>
        </w:rPr>
        <w:t>; además, se otorgarán subsidios diferenciados por nivel de vulnerabilidad, 30 SMMLV para hogares entre A1 y C8 (mayor vulnerabilidad) y 20 SMMLV para hogares entre C9 y D20.</w:t>
      </w:r>
    </w:p>
    <w:p w14:paraId="52468AD8" w14:textId="1418137B" w:rsidR="00720E0F" w:rsidRPr="00F47F78" w:rsidRDefault="00072F7D" w:rsidP="00F47F78">
      <w:pPr>
        <w:spacing w:line="360" w:lineRule="auto"/>
        <w:rPr>
          <w:rFonts w:ascii="Times New Roman" w:hAnsi="Times New Roman" w:cs="Times New Roman"/>
          <w:lang w:val="es-CO"/>
        </w:rPr>
      </w:pPr>
      <w:r>
        <w:rPr>
          <w:rFonts w:ascii="Times New Roman" w:hAnsi="Times New Roman" w:cs="Times New Roman"/>
          <w:lang w:val="es-CO"/>
        </w:rPr>
        <w:t>La idea del cambio fue h</w:t>
      </w:r>
      <w:r w:rsidR="00720E0F">
        <w:rPr>
          <w:rFonts w:ascii="Times New Roman" w:hAnsi="Times New Roman" w:cs="Times New Roman"/>
          <w:lang w:val="es-CO"/>
        </w:rPr>
        <w:t>acer más progresiva la política, priorizando a los hogares con menores ingresos y más vulnerables. Además, se introdujo un puntaje adicional por vivir en municipios de categorías 5 y 6 (zonas rurales y pequeñas), así como por ser hogar con jefatura femenina o incluir personas con discapacidad.</w:t>
      </w:r>
      <w:r w:rsidR="006E35C4">
        <w:rPr>
          <w:rFonts w:ascii="Times New Roman" w:hAnsi="Times New Roman" w:cs="Times New Roman"/>
          <w:lang w:val="es-CO"/>
        </w:rPr>
        <w:t xml:space="preserve"> </w:t>
      </w:r>
      <w:r w:rsidR="00720E0F">
        <w:rPr>
          <w:rFonts w:ascii="Times New Roman" w:hAnsi="Times New Roman" w:cs="Times New Roman"/>
          <w:lang w:val="es-CO"/>
        </w:rPr>
        <w:t xml:space="preserve">Sin embargo, estos ajustes no modificaron las exigencias de acceso al crédito financiero. Es decir, los hogares aún deben demostrar capacidad de </w:t>
      </w:r>
      <w:r w:rsidR="00720E0F">
        <w:rPr>
          <w:rFonts w:ascii="Times New Roman" w:hAnsi="Times New Roman" w:cs="Times New Roman"/>
          <w:lang w:val="es-CO"/>
        </w:rPr>
        <w:lastRenderedPageBreak/>
        <w:t>endeudamiento y cumplir con los requisitos que piden los bancos (historial crediticio, ingresos formales, entre otros), lo cual sigue siendo una barrera en especial para este tipo de hogares.</w:t>
      </w:r>
    </w:p>
    <w:p w14:paraId="14C16B6C" w14:textId="77777777" w:rsidR="00D5641D" w:rsidRDefault="00D5641D" w:rsidP="00D5641D">
      <w:pPr>
        <w:pStyle w:val="ListParagraph"/>
        <w:numPr>
          <w:ilvl w:val="1"/>
          <w:numId w:val="19"/>
        </w:numPr>
        <w:rPr>
          <w:rFonts w:ascii="Times New Roman" w:hAnsi="Times New Roman" w:cs="Times New Roman"/>
          <w:lang w:val="es-CO"/>
        </w:rPr>
      </w:pPr>
      <w:r w:rsidRPr="00F447A1">
        <w:rPr>
          <w:rFonts w:ascii="Times New Roman" w:hAnsi="Times New Roman" w:cs="Times New Roman"/>
          <w:lang w:val="es-CO"/>
        </w:rPr>
        <w:t>Conexión con inclusión financiera y desarrollo territorial.</w:t>
      </w:r>
    </w:p>
    <w:p w14:paraId="7EA85995" w14:textId="77777777" w:rsidR="00CD79BF" w:rsidRPr="00CD79BF" w:rsidRDefault="00CD79BF" w:rsidP="00CD79BF">
      <w:pPr>
        <w:rPr>
          <w:rFonts w:ascii="Times New Roman" w:hAnsi="Times New Roman" w:cs="Times New Roman"/>
          <w:lang w:val="es-CO"/>
        </w:rPr>
      </w:pPr>
    </w:p>
    <w:p w14:paraId="55528414" w14:textId="77777777" w:rsidR="005B6D82" w:rsidRPr="00D77BF5" w:rsidRDefault="005B6D82" w:rsidP="005B6D82">
      <w:pPr>
        <w:rPr>
          <w:rFonts w:ascii="Times New Roman" w:hAnsi="Times New Roman" w:cs="Times New Roman"/>
          <w:b/>
          <w:bCs/>
          <w:lang w:val="es-CO"/>
        </w:rPr>
      </w:pPr>
      <w:r w:rsidRPr="00D77BF5">
        <w:rPr>
          <w:rFonts w:ascii="Times New Roman" w:hAnsi="Times New Roman" w:cs="Times New Roman"/>
          <w:b/>
          <w:bCs/>
          <w:lang w:val="es-CO"/>
        </w:rPr>
        <w:t>Sección 3. Datos</w:t>
      </w:r>
    </w:p>
    <w:p w14:paraId="404EA69C" w14:textId="329641A6" w:rsidR="00601617" w:rsidRPr="00601617" w:rsidRDefault="00601617" w:rsidP="00601617">
      <w:pPr>
        <w:spacing w:line="360" w:lineRule="auto"/>
        <w:rPr>
          <w:rFonts w:ascii="Times New Roman" w:hAnsi="Times New Roman" w:cs="Times New Roman"/>
          <w:lang w:val="es-CO"/>
        </w:rPr>
      </w:pPr>
      <w:r w:rsidRPr="00601617">
        <w:rPr>
          <w:rFonts w:ascii="Times New Roman" w:hAnsi="Times New Roman" w:cs="Times New Roman"/>
          <w:lang w:val="es-CO"/>
        </w:rPr>
        <w:t>Las variables de resultado de este estudio están orientadas a capturar el acceso efectivo a productos financieros hipotecarios. En particular, se utilizan dos indicadores: (i) el número de adultos con créditos de vivienda y (ii) el porcentaje de la población adulta que cuenta con este tipo de crédito. Estas variables permiten aproximar qué tan efectiva ha sido la conexión entre el subsidio otorgado por el programa Mi Casa Ya y el acceso real al financiamiento hipotecario necesario para que se materialice la compra de vivienda.</w:t>
      </w:r>
    </w:p>
    <w:p w14:paraId="25367DC5" w14:textId="77777777" w:rsidR="000D079C" w:rsidRDefault="00601617" w:rsidP="00601617">
      <w:pPr>
        <w:spacing w:line="360" w:lineRule="auto"/>
        <w:rPr>
          <w:rFonts w:ascii="Times New Roman" w:hAnsi="Times New Roman" w:cs="Times New Roman"/>
          <w:lang w:val="es-CO"/>
        </w:rPr>
      </w:pPr>
      <w:r w:rsidRPr="00601617">
        <w:rPr>
          <w:rFonts w:ascii="Times New Roman" w:hAnsi="Times New Roman" w:cs="Times New Roman"/>
          <w:lang w:val="es-CO"/>
        </w:rPr>
        <w:t xml:space="preserve">Como variable explicativa principal se incluye el número de subsidios de vivienda asignados en el marco del programa Mi Casa Ya (MCY), medido en términos per cápita. Esta variable se construye dividiendo el número total de subsidios asignados en cada departamento entre la población estimada del mismo para cada año. A partir de este indicador se clasifica a los departamentos en tres niveles de intensidad del tratamiento: baja, media y alta intensidad. Esta clasificación busca capturar diferencias territoriales en el alcance del programa. </w:t>
      </w:r>
    </w:p>
    <w:p w14:paraId="3D4B5CC2" w14:textId="3A37CE98" w:rsidR="00601617" w:rsidRPr="00601617" w:rsidRDefault="00601617" w:rsidP="00601617">
      <w:pPr>
        <w:spacing w:line="360" w:lineRule="auto"/>
        <w:rPr>
          <w:rFonts w:ascii="Times New Roman" w:hAnsi="Times New Roman" w:cs="Times New Roman"/>
          <w:lang w:val="es-CO"/>
        </w:rPr>
      </w:pPr>
      <w:r w:rsidRPr="00601617">
        <w:rPr>
          <w:rFonts w:ascii="Times New Roman" w:hAnsi="Times New Roman" w:cs="Times New Roman"/>
          <w:lang w:val="es-CO"/>
        </w:rPr>
        <w:t xml:space="preserve">La fuente de información para los subsidios es el Ministerio de Vivienda, Ciudad y Territorio, que publica datos </w:t>
      </w:r>
      <w:r w:rsidR="006A2C99">
        <w:rPr>
          <w:rFonts w:ascii="Times New Roman" w:hAnsi="Times New Roman" w:cs="Times New Roman"/>
          <w:lang w:val="es-CO"/>
        </w:rPr>
        <w:t xml:space="preserve">con periodicidad anual </w:t>
      </w:r>
      <w:r w:rsidRPr="00601617">
        <w:rPr>
          <w:rFonts w:ascii="Times New Roman" w:hAnsi="Times New Roman" w:cs="Times New Roman"/>
          <w:lang w:val="es-CO"/>
        </w:rPr>
        <w:t>a nivel municip</w:t>
      </w:r>
      <w:r w:rsidR="006A2C99">
        <w:rPr>
          <w:rFonts w:ascii="Times New Roman" w:hAnsi="Times New Roman" w:cs="Times New Roman"/>
          <w:lang w:val="es-CO"/>
        </w:rPr>
        <w:t>al</w:t>
      </w:r>
      <w:r w:rsidR="000D079C">
        <w:rPr>
          <w:rFonts w:ascii="Times New Roman" w:hAnsi="Times New Roman" w:cs="Times New Roman"/>
          <w:lang w:val="es-CO"/>
        </w:rPr>
        <w:t xml:space="preserve"> y departament</w:t>
      </w:r>
      <w:r w:rsidR="006A2C99">
        <w:rPr>
          <w:rFonts w:ascii="Times New Roman" w:hAnsi="Times New Roman" w:cs="Times New Roman"/>
          <w:lang w:val="es-CO"/>
        </w:rPr>
        <w:t>al</w:t>
      </w:r>
      <w:r w:rsidRPr="00601617">
        <w:rPr>
          <w:rFonts w:ascii="Times New Roman" w:hAnsi="Times New Roman" w:cs="Times New Roman"/>
          <w:lang w:val="es-CO"/>
        </w:rPr>
        <w:t>, incluyendo el programa, tipo de subsidio, estado de postulación y fecha de asignación. Para este análisis, solo se consideraron los subsidios otorgados específicamente a través del programa MCY. La información poblacional utilizada para construir la variable per cápita proviene de las proyecciones y retroproyecciones de población del DANE, basadas en el Censo Nacional de Población y Vivienda de 2018.</w:t>
      </w:r>
    </w:p>
    <w:p w14:paraId="0F32510D" w14:textId="77777777" w:rsidR="00601617" w:rsidRPr="00601617" w:rsidRDefault="00601617" w:rsidP="00601617">
      <w:pPr>
        <w:spacing w:line="360" w:lineRule="auto"/>
        <w:rPr>
          <w:rFonts w:ascii="Times New Roman" w:hAnsi="Times New Roman" w:cs="Times New Roman"/>
          <w:lang w:val="es-CO"/>
        </w:rPr>
      </w:pPr>
      <w:r w:rsidRPr="00601617">
        <w:rPr>
          <w:rFonts w:ascii="Times New Roman" w:hAnsi="Times New Roman" w:cs="Times New Roman"/>
          <w:lang w:val="es-CO"/>
        </w:rPr>
        <w:t>Las variables de resultado —número y porcentaje de adultos con crédito de vivienda— se obtienen de los datos públicos de Banca de las Oportunidades, una iniciativa del Gobierno Nacional que promueve la inclusión financiera en el país. Esta entidad consolida información proveniente de TransUnion y del DANE, con cobertura anual y trimestral a nivel departamental.</w:t>
      </w:r>
      <w:r w:rsidR="00F23850">
        <w:rPr>
          <w:rFonts w:ascii="Times New Roman" w:hAnsi="Times New Roman" w:cs="Times New Roman"/>
          <w:lang w:val="es-CO"/>
        </w:rPr>
        <w:t xml:space="preserve"> </w:t>
      </w:r>
      <w:r w:rsidRPr="00601617">
        <w:rPr>
          <w:rFonts w:ascii="Times New Roman" w:hAnsi="Times New Roman" w:cs="Times New Roman"/>
          <w:lang w:val="es-CO"/>
        </w:rPr>
        <w:lastRenderedPageBreak/>
        <w:t>Las bases incluyen indicadores de acceso y uso de distintos productos financieros, como cuentas de ahorro, CDT, créditos de consumo, tarjetas de crédito y, en este caso, crédito de vivienda.</w:t>
      </w:r>
    </w:p>
    <w:p w14:paraId="737987DA" w14:textId="0FBD4FF9" w:rsidR="003C7DCF" w:rsidRPr="00810DD1" w:rsidRDefault="00601617" w:rsidP="003C7DCF">
      <w:pPr>
        <w:spacing w:line="360" w:lineRule="auto"/>
        <w:rPr>
          <w:rFonts w:ascii="Times New Roman" w:hAnsi="Times New Roman" w:cs="Times New Roman"/>
          <w:lang w:val="es-CO"/>
        </w:rPr>
      </w:pPr>
      <w:r w:rsidRPr="00601617">
        <w:rPr>
          <w:rFonts w:ascii="Times New Roman" w:hAnsi="Times New Roman" w:cs="Times New Roman"/>
          <w:lang w:val="es-CO"/>
        </w:rPr>
        <w:t>Como variable de control adicional se incorpora el Índice de Desempeño Fiscal Territorial (IDF), construido por el Departamento Nacional de Planeación (DNP). Este índice mide la capacidad de gestión fiscal de los entes territoriales, evaluando factores como el recaudo propio, el nivel de endeudamiento, la calidad del gasto y la inversión. Su inclusión es relevante, ya que una mejor capacidad fiscal puede estar asociada con mayor eficiencia en la ejecución de programas sociales, así como con la posibilidad de cofinanciar proyectos de vivienda social, lo que a su vez podría influir en el acceso al crédito hipotecario. El IDF está disponible para municipios y departamentos, con actualización anual</w:t>
      </w:r>
      <w:r w:rsidR="00CD3065">
        <w:rPr>
          <w:rFonts w:ascii="Times New Roman" w:hAnsi="Times New Roman" w:cs="Times New Roman"/>
          <w:lang w:val="es-CO"/>
        </w:rPr>
        <w:t>;</w:t>
      </w:r>
      <w:r w:rsidR="00CD3065" w:rsidRPr="00CD3065">
        <w:rPr>
          <w:lang w:val="es-CO"/>
        </w:rPr>
        <w:t xml:space="preserve"> </w:t>
      </w:r>
      <w:r w:rsidR="00CD3065">
        <w:rPr>
          <w:rFonts w:ascii="Times New Roman" w:hAnsi="Times New Roman" w:cs="Times New Roman"/>
          <w:lang w:val="es-CO"/>
        </w:rPr>
        <w:t>s</w:t>
      </w:r>
      <w:r w:rsidR="00CD3065" w:rsidRPr="00CD3065">
        <w:rPr>
          <w:rFonts w:ascii="Times New Roman" w:hAnsi="Times New Roman" w:cs="Times New Roman"/>
          <w:lang w:val="es-CO"/>
        </w:rPr>
        <w:t>in embargo, al momento de este análisis no se encontraba disponible el dato correspondiente al año 2024; por esta razón, se utilizó el promedio de los años anteriores como una estimación provisional para completar esta variable en ese periodo.</w:t>
      </w:r>
    </w:p>
    <w:p w14:paraId="235AF719" w14:textId="5E85FD47" w:rsidR="00D5641D" w:rsidRDefault="00D5641D" w:rsidP="005B6D82">
      <w:pPr>
        <w:rPr>
          <w:rFonts w:ascii="Times New Roman" w:hAnsi="Times New Roman" w:cs="Times New Roman"/>
          <w:b/>
          <w:bCs/>
          <w:lang w:val="es-CO"/>
        </w:rPr>
      </w:pPr>
      <w:r w:rsidRPr="00810DD1">
        <w:rPr>
          <w:rFonts w:ascii="Times New Roman" w:hAnsi="Times New Roman" w:cs="Times New Roman"/>
          <w:b/>
          <w:bCs/>
          <w:lang w:val="es-CO"/>
        </w:rPr>
        <w:t>Estadísticas Descriptivas</w:t>
      </w:r>
    </w:p>
    <w:p w14:paraId="2AF840D5" w14:textId="4859C5AE" w:rsidR="003D39D4" w:rsidRDefault="003D39D4" w:rsidP="005B6D82">
      <w:pPr>
        <w:rPr>
          <w:rFonts w:ascii="Times New Roman" w:hAnsi="Times New Roman" w:cs="Times New Roman"/>
          <w:lang w:val="es-CO"/>
        </w:rPr>
      </w:pPr>
    </w:p>
    <w:p w14:paraId="60966B7C" w14:textId="77777777" w:rsidR="003D39D4" w:rsidRDefault="003D39D4" w:rsidP="005B6D82">
      <w:pPr>
        <w:rPr>
          <w:rFonts w:ascii="Times New Roman" w:hAnsi="Times New Roman" w:cs="Times New Roman"/>
          <w:lang w:val="es-CO"/>
        </w:rPr>
      </w:pPr>
      <w:r w:rsidRPr="00EB68E6">
        <w:rPr>
          <w:rFonts w:ascii="Times New Roman" w:hAnsi="Times New Roman" w:cs="Times New Roman"/>
          <w:noProof/>
          <w:lang w:val="es-CO"/>
        </w:rPr>
        <w:drawing>
          <wp:inline distT="0" distB="0" distL="0" distR="0" wp14:anchorId="2E867C7E" wp14:editId="4844BD25">
            <wp:extent cx="5943600" cy="1585595"/>
            <wp:effectExtent l="0" t="0" r="0" b="0"/>
            <wp:docPr id="1445926051" name="Picture 144592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44901" name=""/>
                    <pic:cNvPicPr/>
                  </pic:nvPicPr>
                  <pic:blipFill>
                    <a:blip r:embed="rId6"/>
                    <a:stretch>
                      <a:fillRect/>
                    </a:stretch>
                  </pic:blipFill>
                  <pic:spPr>
                    <a:xfrm>
                      <a:off x="0" y="0"/>
                      <a:ext cx="5943600" cy="1585595"/>
                    </a:xfrm>
                    <a:prstGeom prst="rect">
                      <a:avLst/>
                    </a:prstGeom>
                  </pic:spPr>
                </pic:pic>
              </a:graphicData>
            </a:graphic>
          </wp:inline>
        </w:drawing>
      </w:r>
    </w:p>
    <w:p w14:paraId="524A2FB0" w14:textId="71B0F23B" w:rsidR="004F6F2A" w:rsidRDefault="004F6F2A" w:rsidP="00D14428">
      <w:pPr>
        <w:spacing w:line="360" w:lineRule="auto"/>
        <w:rPr>
          <w:rFonts w:ascii="Times New Roman" w:hAnsi="Times New Roman" w:cs="Times New Roman"/>
          <w:lang w:val="es-CO"/>
        </w:rPr>
      </w:pPr>
      <w:r>
        <w:rPr>
          <w:rFonts w:ascii="Times New Roman" w:hAnsi="Times New Roman" w:cs="Times New Roman"/>
          <w:lang w:val="es-CO"/>
        </w:rPr>
        <w:t>De igual manera, se observa que los departamentos de alta intensidad tienen en promedio una mayor proporción de adultos con crédito hipotecario (</w:t>
      </w:r>
      <w:r w:rsidR="00140C07">
        <w:rPr>
          <w:rFonts w:ascii="Times New Roman" w:hAnsi="Times New Roman" w:cs="Times New Roman"/>
          <w:lang w:val="es-CO"/>
        </w:rPr>
        <w:t>0,11%) y mayor cantidad de subsidios asignados (</w:t>
      </w:r>
      <w:r w:rsidR="00546459">
        <w:rPr>
          <w:rFonts w:ascii="Times New Roman" w:hAnsi="Times New Roman" w:cs="Times New Roman"/>
          <w:lang w:val="es-CO"/>
        </w:rPr>
        <w:t>3.591,79); lo cual puede estar asociado a un mayor alcance del programa. Por su parte, los departamentos de baja intensidad presentan menor po</w:t>
      </w:r>
      <w:r w:rsidR="006D5470">
        <w:rPr>
          <w:rFonts w:ascii="Times New Roman" w:hAnsi="Times New Roman" w:cs="Times New Roman"/>
          <w:lang w:val="es-CO"/>
        </w:rPr>
        <w:t>rcentaje de adultos con crédito (6%) y menor asignación de subsidios (649,36)</w:t>
      </w:r>
      <w:r w:rsidR="00AE686D">
        <w:rPr>
          <w:rFonts w:ascii="Times New Roman" w:hAnsi="Times New Roman" w:cs="Times New Roman"/>
          <w:lang w:val="es-CO"/>
        </w:rPr>
        <w:t>. También se evidencia una diferencia en el desempeño fiscal: aunque los tres grupos tienen valores similares, los departamentos de alta intensidad presentan un IDF ligeramente superior</w:t>
      </w:r>
      <w:r w:rsidR="00323799">
        <w:rPr>
          <w:rFonts w:ascii="Times New Roman" w:hAnsi="Times New Roman" w:cs="Times New Roman"/>
          <w:lang w:val="es-CO"/>
        </w:rPr>
        <w:t>; la desviación estándar más alta en los grupos de baja intensidad sugiere una mayor heterogeneidad (por Bogotá y Antioquia).</w:t>
      </w:r>
    </w:p>
    <w:p w14:paraId="5554F707" w14:textId="04AF0CDA" w:rsidR="008D3643" w:rsidRDefault="008D3643" w:rsidP="005B6D82">
      <w:pPr>
        <w:rPr>
          <w:rFonts w:ascii="Times New Roman" w:hAnsi="Times New Roman" w:cs="Times New Roman"/>
          <w:lang w:val="es-CO"/>
        </w:rPr>
      </w:pPr>
    </w:p>
    <w:p w14:paraId="3AE570C8" w14:textId="2E4A5510" w:rsidR="00EB68E6" w:rsidRDefault="00BE052F" w:rsidP="005B6D82">
      <w:pPr>
        <w:rPr>
          <w:rFonts w:ascii="Times New Roman" w:hAnsi="Times New Roman" w:cs="Times New Roman"/>
          <w:lang w:val="es-CO"/>
        </w:rPr>
      </w:pPr>
      <w:r w:rsidRPr="00BE052F">
        <w:rPr>
          <w:rFonts w:ascii="Times New Roman" w:hAnsi="Times New Roman" w:cs="Times New Roman"/>
          <w:noProof/>
          <w:lang w:val="es-CO"/>
        </w:rPr>
        <w:drawing>
          <wp:inline distT="0" distB="0" distL="0" distR="0" wp14:anchorId="74AE2059" wp14:editId="400C6864">
            <wp:extent cx="5943600" cy="2438400"/>
            <wp:effectExtent l="0" t="0" r="0" b="0"/>
            <wp:docPr id="1005179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8234" name=""/>
                    <pic:cNvPicPr/>
                  </pic:nvPicPr>
                  <pic:blipFill>
                    <a:blip r:embed="rId7"/>
                    <a:stretch>
                      <a:fillRect/>
                    </a:stretch>
                  </pic:blipFill>
                  <pic:spPr>
                    <a:xfrm>
                      <a:off x="0" y="0"/>
                      <a:ext cx="5943600" cy="2438400"/>
                    </a:xfrm>
                    <a:prstGeom prst="rect">
                      <a:avLst/>
                    </a:prstGeom>
                  </pic:spPr>
                </pic:pic>
              </a:graphicData>
            </a:graphic>
          </wp:inline>
        </w:drawing>
      </w:r>
    </w:p>
    <w:p w14:paraId="1D4DC551" w14:textId="213C256E" w:rsidR="00274EF8" w:rsidRDefault="00BC2677" w:rsidP="00D14428">
      <w:pPr>
        <w:spacing w:line="360" w:lineRule="auto"/>
        <w:rPr>
          <w:rFonts w:ascii="Times New Roman" w:hAnsi="Times New Roman" w:cs="Times New Roman"/>
          <w:lang w:val="es-CO"/>
        </w:rPr>
      </w:pPr>
      <w:r>
        <w:rPr>
          <w:rFonts w:ascii="Times New Roman" w:hAnsi="Times New Roman" w:cs="Times New Roman"/>
          <w:lang w:val="es-CO"/>
        </w:rPr>
        <w:t>Por último, se muestra el promedio de las variables de interés por departamento. En este caso, vemos que Bogotá destaca con el mayor número de adultos con crédito en promedio</w:t>
      </w:r>
      <w:r w:rsidR="00F33C56">
        <w:rPr>
          <w:rFonts w:ascii="Times New Roman" w:hAnsi="Times New Roman" w:cs="Times New Roman"/>
          <w:lang w:val="es-CO"/>
        </w:rPr>
        <w:t xml:space="preserve"> (apróx. 1,5 millones)</w:t>
      </w:r>
      <w:r>
        <w:rPr>
          <w:rFonts w:ascii="Times New Roman" w:hAnsi="Times New Roman" w:cs="Times New Roman"/>
          <w:lang w:val="es-CO"/>
        </w:rPr>
        <w:t>, así como el mayor porcentaje relativo (</w:t>
      </w:r>
      <w:r w:rsidR="00F33C56">
        <w:rPr>
          <w:rFonts w:ascii="Times New Roman" w:hAnsi="Times New Roman" w:cs="Times New Roman"/>
          <w:lang w:val="es-CO"/>
        </w:rPr>
        <w:t>0,25%). En contraste, departamentos como Putumayo, Arauca</w:t>
      </w:r>
      <w:r w:rsidR="002D2721">
        <w:rPr>
          <w:rFonts w:ascii="Times New Roman" w:hAnsi="Times New Roman" w:cs="Times New Roman"/>
          <w:lang w:val="es-CO"/>
        </w:rPr>
        <w:t xml:space="preserve"> o Guaviare tienen porcentajes muy bajos, lo cual refleja barreras importantes para la inclusión financiera, al menos en cuanto a créditos de vivienda.</w:t>
      </w:r>
    </w:p>
    <w:p w14:paraId="326E133B" w14:textId="78D60DDB" w:rsidR="0049220D" w:rsidRPr="00810DD1" w:rsidRDefault="008A0E3B" w:rsidP="005B6D82">
      <w:pPr>
        <w:rPr>
          <w:rFonts w:ascii="Times New Roman" w:hAnsi="Times New Roman" w:cs="Times New Roman"/>
          <w:lang w:val="es-CO"/>
        </w:rPr>
      </w:pPr>
      <w:r w:rsidRPr="008A0E3B">
        <w:rPr>
          <w:rFonts w:ascii="Times New Roman" w:hAnsi="Times New Roman" w:cs="Times New Roman"/>
          <w:noProof/>
          <w:lang w:val="es-CO"/>
        </w:rPr>
        <w:lastRenderedPageBreak/>
        <w:drawing>
          <wp:inline distT="0" distB="0" distL="0" distR="0" wp14:anchorId="46DE87C4" wp14:editId="717A02A5">
            <wp:extent cx="5943600" cy="6484620"/>
            <wp:effectExtent l="0" t="0" r="0" b="0"/>
            <wp:docPr id="1300863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8429" name=""/>
                    <pic:cNvPicPr/>
                  </pic:nvPicPr>
                  <pic:blipFill>
                    <a:blip r:embed="rId8"/>
                    <a:stretch>
                      <a:fillRect/>
                    </a:stretch>
                  </pic:blipFill>
                  <pic:spPr>
                    <a:xfrm>
                      <a:off x="0" y="0"/>
                      <a:ext cx="5943600" cy="6484620"/>
                    </a:xfrm>
                    <a:prstGeom prst="rect">
                      <a:avLst/>
                    </a:prstGeom>
                  </pic:spPr>
                </pic:pic>
              </a:graphicData>
            </a:graphic>
          </wp:inline>
        </w:drawing>
      </w:r>
    </w:p>
    <w:p w14:paraId="018DA00C" w14:textId="4AD3BE63" w:rsidR="00A77314" w:rsidRDefault="00A77314" w:rsidP="001B127B">
      <w:pPr>
        <w:rPr>
          <w:rFonts w:ascii="Times New Roman" w:hAnsi="Times New Roman" w:cs="Times New Roman"/>
          <w:lang w:val="es-CO"/>
        </w:rPr>
      </w:pPr>
      <w:r>
        <w:rPr>
          <w:rFonts w:ascii="Times New Roman" w:hAnsi="Times New Roman" w:cs="Times New Roman"/>
          <w:lang w:val="es-CO"/>
        </w:rPr>
        <w:t>Gráfica 2. Evolución subsidios asignados</w:t>
      </w:r>
    </w:p>
    <w:p w14:paraId="67F397E6" w14:textId="61AD358B" w:rsidR="00A77314" w:rsidRDefault="00EC270A" w:rsidP="00EC270A">
      <w:pPr>
        <w:jc w:val="center"/>
        <w:rPr>
          <w:rFonts w:ascii="Times New Roman" w:hAnsi="Times New Roman" w:cs="Times New Roman"/>
          <w:lang w:val="es-CO"/>
        </w:rPr>
      </w:pPr>
      <w:r>
        <w:rPr>
          <w:noProof/>
        </w:rPr>
        <w:lastRenderedPageBreak/>
        <w:drawing>
          <wp:inline distT="0" distB="0" distL="0" distR="0" wp14:anchorId="4CEC04FD" wp14:editId="4964EE08">
            <wp:extent cx="4572000" cy="2743200"/>
            <wp:effectExtent l="0" t="0" r="0" b="0"/>
            <wp:docPr id="1245503739" name="Chart 1">
              <a:extLst xmlns:a="http://schemas.openxmlformats.org/drawingml/2006/main">
                <a:ext uri="{FF2B5EF4-FFF2-40B4-BE49-F238E27FC236}">
                  <a16:creationId xmlns:a16="http://schemas.microsoft.com/office/drawing/2014/main" id="{3EF33FFD-560A-850E-9B8F-6D5A5B99F8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0804D2" w14:textId="191CD114" w:rsidR="001B127B" w:rsidRPr="00A77314" w:rsidRDefault="005660EF" w:rsidP="001B127B">
      <w:pPr>
        <w:rPr>
          <w:rFonts w:ascii="Times New Roman" w:hAnsi="Times New Roman" w:cs="Times New Roman"/>
          <w:lang w:val="es-CO"/>
        </w:rPr>
      </w:pPr>
      <w:r w:rsidRPr="00A77314">
        <w:rPr>
          <w:rFonts w:ascii="Times New Roman" w:hAnsi="Times New Roman" w:cs="Times New Roman"/>
          <w:lang w:val="es-CO"/>
        </w:rPr>
        <w:t xml:space="preserve">Gráfica </w:t>
      </w:r>
      <w:r w:rsidR="00A77314">
        <w:rPr>
          <w:rFonts w:ascii="Times New Roman" w:hAnsi="Times New Roman" w:cs="Times New Roman"/>
          <w:lang w:val="es-CO"/>
        </w:rPr>
        <w:t>3</w:t>
      </w:r>
      <w:r w:rsidRPr="00A77314">
        <w:rPr>
          <w:rFonts w:ascii="Times New Roman" w:hAnsi="Times New Roman" w:cs="Times New Roman"/>
          <w:lang w:val="es-CO"/>
        </w:rPr>
        <w:t xml:space="preserve">. Evolución </w:t>
      </w:r>
      <w:r w:rsidR="00A77314" w:rsidRPr="00A77314">
        <w:rPr>
          <w:rFonts w:ascii="Times New Roman" w:hAnsi="Times New Roman" w:cs="Times New Roman"/>
          <w:lang w:val="es-CO"/>
        </w:rPr>
        <w:t>variables acceso a</w:t>
      </w:r>
      <w:r w:rsidR="00A77314">
        <w:rPr>
          <w:rFonts w:ascii="Times New Roman" w:hAnsi="Times New Roman" w:cs="Times New Roman"/>
          <w:lang w:val="es-CO"/>
        </w:rPr>
        <w:t xml:space="preserve"> financiación</w:t>
      </w:r>
    </w:p>
    <w:p w14:paraId="1DA3DEA6" w14:textId="5D896AF8" w:rsidR="005660EF" w:rsidRDefault="005660EF" w:rsidP="005660EF">
      <w:pPr>
        <w:jc w:val="center"/>
        <w:rPr>
          <w:rFonts w:ascii="Times New Roman" w:hAnsi="Times New Roman" w:cs="Times New Roman"/>
        </w:rPr>
      </w:pPr>
      <w:r>
        <w:rPr>
          <w:noProof/>
        </w:rPr>
        <w:drawing>
          <wp:inline distT="0" distB="0" distL="0" distR="0" wp14:anchorId="7BD9A16E" wp14:editId="2402E5AF">
            <wp:extent cx="4572000" cy="2743200"/>
            <wp:effectExtent l="0" t="0" r="0" b="0"/>
            <wp:docPr id="1497760215" name="Chart 1">
              <a:extLst xmlns:a="http://schemas.openxmlformats.org/drawingml/2006/main">
                <a:ext uri="{FF2B5EF4-FFF2-40B4-BE49-F238E27FC236}">
                  <a16:creationId xmlns:a16="http://schemas.microsoft.com/office/drawing/2014/main" id="{1C76F57D-64D8-0E52-86D6-9AC26483A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A736C8" w14:textId="77777777" w:rsidR="005660EF" w:rsidRPr="001B127B" w:rsidRDefault="005660EF" w:rsidP="001B127B">
      <w:pPr>
        <w:rPr>
          <w:rFonts w:ascii="Times New Roman" w:hAnsi="Times New Roman" w:cs="Times New Roman"/>
        </w:rPr>
      </w:pPr>
    </w:p>
    <w:p w14:paraId="2EEB6071" w14:textId="2E26CC7F" w:rsidR="00D5641D" w:rsidRDefault="00A4344E" w:rsidP="00A4344E">
      <w:pPr>
        <w:rPr>
          <w:rFonts w:ascii="Times New Roman" w:hAnsi="Times New Roman" w:cs="Times New Roman"/>
          <w:b/>
          <w:bCs/>
        </w:rPr>
      </w:pPr>
      <w:r>
        <w:rPr>
          <w:rFonts w:ascii="Times New Roman" w:hAnsi="Times New Roman" w:cs="Times New Roman"/>
          <w:b/>
          <w:bCs/>
        </w:rPr>
        <w:t xml:space="preserve">Sección 4. </w:t>
      </w:r>
      <w:r w:rsidR="00D5641D" w:rsidRPr="00A4344E">
        <w:rPr>
          <w:rFonts w:ascii="Times New Roman" w:hAnsi="Times New Roman" w:cs="Times New Roman"/>
          <w:b/>
          <w:bCs/>
        </w:rPr>
        <w:t>Metodología</w:t>
      </w:r>
    </w:p>
    <w:p w14:paraId="1E7FCABF" w14:textId="70E07FCC" w:rsidR="00377245" w:rsidRDefault="00941A85" w:rsidP="0093353D">
      <w:pPr>
        <w:spacing w:line="360" w:lineRule="auto"/>
        <w:rPr>
          <w:rFonts w:ascii="Times New Roman" w:hAnsi="Times New Roman" w:cs="Times New Roman"/>
          <w:lang w:val="es-CO"/>
        </w:rPr>
      </w:pPr>
      <w:r w:rsidRPr="00941A85">
        <w:rPr>
          <w:rFonts w:ascii="Times New Roman" w:hAnsi="Times New Roman" w:cs="Times New Roman"/>
          <w:lang w:val="es-CO"/>
        </w:rPr>
        <w:t>Se empleará un enfoque d</w:t>
      </w:r>
      <w:r>
        <w:rPr>
          <w:rFonts w:ascii="Times New Roman" w:hAnsi="Times New Roman" w:cs="Times New Roman"/>
          <w:lang w:val="es-CO"/>
        </w:rPr>
        <w:t xml:space="preserve">e diferencias en diferencias (DiD) para identificar el impacto de los subsidios </w:t>
      </w:r>
      <w:r w:rsidR="0042167B">
        <w:rPr>
          <w:rFonts w:ascii="Times New Roman" w:hAnsi="Times New Roman" w:cs="Times New Roman"/>
          <w:lang w:val="es-CO"/>
        </w:rPr>
        <w:t xml:space="preserve">de vivienda sobre </w:t>
      </w:r>
      <w:r w:rsidR="008C7777">
        <w:rPr>
          <w:rFonts w:ascii="Times New Roman" w:hAnsi="Times New Roman" w:cs="Times New Roman"/>
          <w:lang w:val="es-CO"/>
        </w:rPr>
        <w:t>el acceso al crédito</w:t>
      </w:r>
      <w:r w:rsidR="00D83D58">
        <w:rPr>
          <w:rFonts w:ascii="Times New Roman" w:hAnsi="Times New Roman" w:cs="Times New Roman"/>
          <w:lang w:val="es-CO"/>
        </w:rPr>
        <w:t xml:space="preserve">; en este caso, sobre las variables de </w:t>
      </w:r>
      <w:r w:rsidR="00AF0BE1">
        <w:rPr>
          <w:rFonts w:ascii="Times New Roman" w:hAnsi="Times New Roman" w:cs="Times New Roman"/>
          <w:lang w:val="es-CO"/>
        </w:rPr>
        <w:t>número</w:t>
      </w:r>
      <w:r w:rsidR="00A83EAA">
        <w:rPr>
          <w:rFonts w:ascii="Times New Roman" w:hAnsi="Times New Roman" w:cs="Times New Roman"/>
          <w:lang w:val="es-CO"/>
        </w:rPr>
        <w:t xml:space="preserve"> de adultos con crédito de vivienda y el porcentaje de población adulta con crédito de vivienda</w:t>
      </w:r>
      <w:r w:rsidR="00A713D0">
        <w:rPr>
          <w:rFonts w:ascii="Times New Roman" w:hAnsi="Times New Roman" w:cs="Times New Roman"/>
          <w:lang w:val="es-CO"/>
        </w:rPr>
        <w:t>.</w:t>
      </w:r>
      <w:r w:rsidR="00A729C1">
        <w:rPr>
          <w:rFonts w:ascii="Times New Roman" w:hAnsi="Times New Roman" w:cs="Times New Roman"/>
          <w:lang w:val="es-CO"/>
        </w:rPr>
        <w:t xml:space="preserve"> La periodicidad de los datos es anual, desde 2018 hasta 2024, y la unidad de análisis será a nivel departamental (por limitaciones en los datos)</w:t>
      </w:r>
      <w:r w:rsidR="0050075C">
        <w:rPr>
          <w:rFonts w:ascii="Times New Roman" w:hAnsi="Times New Roman" w:cs="Times New Roman"/>
          <w:lang w:val="es-CO"/>
        </w:rPr>
        <w:t xml:space="preserve"> dewbido a la falta de desagregación de las variables de resultado. El periodo de análisis fue escogido primero, por limitaciones en la base de datos de </w:t>
      </w:r>
      <w:r w:rsidR="0050075C">
        <w:rPr>
          <w:rFonts w:ascii="Times New Roman" w:hAnsi="Times New Roman" w:cs="Times New Roman"/>
          <w:lang w:val="es-CO"/>
        </w:rPr>
        <w:lastRenderedPageBreak/>
        <w:t xml:space="preserve">Banca de las Oportunidades, segundo, porque </w:t>
      </w:r>
      <w:r w:rsidR="00F8346B">
        <w:rPr>
          <w:rFonts w:ascii="Times New Roman" w:hAnsi="Times New Roman" w:cs="Times New Roman"/>
          <w:lang w:val="es-CO"/>
        </w:rPr>
        <w:t xml:space="preserve">permite un buen análisis para el supuesto de </w:t>
      </w:r>
      <w:r w:rsidR="0076591D">
        <w:rPr>
          <w:rFonts w:ascii="Times New Roman" w:hAnsi="Times New Roman" w:cs="Times New Roman"/>
          <w:lang w:val="es-CO"/>
        </w:rPr>
        <w:t>tendencias paralelas.</w:t>
      </w:r>
    </w:p>
    <w:p w14:paraId="0FD658DE" w14:textId="7ECAB6B4" w:rsidR="0076591D" w:rsidRDefault="001E28DA" w:rsidP="0093353D">
      <w:pPr>
        <w:spacing w:line="360" w:lineRule="auto"/>
        <w:rPr>
          <w:rFonts w:ascii="Times New Roman" w:hAnsi="Times New Roman" w:cs="Times New Roman"/>
          <w:lang w:val="es-CO"/>
        </w:rPr>
      </w:pPr>
      <w:r>
        <w:rPr>
          <w:rFonts w:ascii="Times New Roman" w:hAnsi="Times New Roman" w:cs="Times New Roman"/>
          <w:lang w:val="es-CO"/>
        </w:rPr>
        <w:t xml:space="preserve">La implementación de la intensidad </w:t>
      </w:r>
      <w:r w:rsidR="007D0198">
        <w:rPr>
          <w:rFonts w:ascii="Times New Roman" w:hAnsi="Times New Roman" w:cs="Times New Roman"/>
          <w:lang w:val="es-CO"/>
        </w:rPr>
        <w:t>responde a un enfoque continuo, donde se define el tratamiento en función de la intensidad de participación en el programa. E</w:t>
      </w:r>
      <w:r w:rsidR="00B32E16">
        <w:rPr>
          <w:rFonts w:ascii="Times New Roman" w:hAnsi="Times New Roman" w:cs="Times New Roman"/>
          <w:lang w:val="es-CO"/>
        </w:rPr>
        <w:t>ste enfoque permite comparar departamentos con alta intensidad de tratamiento frente a aquellos con intensidad media y baja.</w:t>
      </w:r>
    </w:p>
    <w:p w14:paraId="7BF14F57" w14:textId="79BF6FA9" w:rsidR="002C288B" w:rsidRDefault="002C288B" w:rsidP="0093353D">
      <w:pPr>
        <w:spacing w:line="360" w:lineRule="auto"/>
        <w:rPr>
          <w:rFonts w:ascii="Times New Roman" w:hAnsi="Times New Roman" w:cs="Times New Roman"/>
          <w:lang w:val="es-CO"/>
        </w:rPr>
      </w:pPr>
      <w:r>
        <w:rPr>
          <w:rFonts w:ascii="Times New Roman" w:hAnsi="Times New Roman" w:cs="Times New Roman"/>
          <w:lang w:val="es-CO"/>
        </w:rPr>
        <w:t>Este diseño permite capturar la heterogeneidad en la respuesta de los departamentos al programa, lo cual es crucial dado que existen diferencias significativas entre regiones en términos económicos y sociales. Al utilizar un enfoque de diferencias en diferencias con intensidad de tratamiento, es posible controlar mejor por las características no observadas que puedan estar afectando tanto la asignación del subsidio como el desempeño del sector edificador.</w:t>
      </w:r>
    </w:p>
    <w:p w14:paraId="160348B6" w14:textId="24332474" w:rsidR="00FB2635" w:rsidRDefault="00FB2635" w:rsidP="0093353D">
      <w:pPr>
        <w:spacing w:line="360" w:lineRule="auto"/>
        <w:rPr>
          <w:rFonts w:ascii="Times New Roman" w:hAnsi="Times New Roman" w:cs="Times New Roman"/>
          <w:lang w:val="es-CO"/>
        </w:rPr>
      </w:pPr>
      <w:r>
        <w:rPr>
          <w:rFonts w:ascii="Times New Roman" w:hAnsi="Times New Roman" w:cs="Times New Roman"/>
          <w:lang w:val="es-CO"/>
        </w:rPr>
        <w:t>En este sentido, se presenta el siguiente modelo a estimar:</w:t>
      </w:r>
    </w:p>
    <w:p w14:paraId="3A996497" w14:textId="321AE38E" w:rsidR="00FB2635" w:rsidRPr="00941A85" w:rsidRDefault="00FB2635" w:rsidP="0093353D">
      <w:pPr>
        <w:spacing w:line="360" w:lineRule="auto"/>
        <w:rPr>
          <w:rFonts w:ascii="Times New Roman" w:hAnsi="Times New Roman" w:cs="Times New Roman"/>
          <w:lang w:val="es-CO"/>
        </w:rPr>
      </w:pPr>
      <m:oMathPara>
        <m:oMath>
          <m:sSub>
            <m:sSubPr>
              <m:ctrlPr>
                <w:rPr>
                  <w:rFonts w:ascii="Cambria Math" w:hAnsi="Cambria Math" w:cs="Times New Roman"/>
                  <w:i/>
                  <w:lang w:val="es-CO"/>
                </w:rPr>
              </m:ctrlPr>
            </m:sSubPr>
            <m:e>
              <m:r>
                <w:rPr>
                  <w:rFonts w:ascii="Cambria Math" w:hAnsi="Cambria Math" w:cs="Times New Roman"/>
                  <w:lang w:val="es-CO"/>
                </w:rPr>
                <m:t>Y</m:t>
              </m:r>
            </m:e>
            <m:sub>
              <m:r>
                <w:rPr>
                  <w:rFonts w:ascii="Cambria Math" w:hAnsi="Cambria Math" w:cs="Times New Roman"/>
                  <w:lang w:val="es-CO"/>
                </w:rPr>
                <m:t>it</m:t>
              </m:r>
            </m:sub>
          </m:sSub>
          <m:r>
            <w:rPr>
              <w:rFonts w:ascii="Cambria Math" w:hAnsi="Cambria Math" w:cs="Times New Roman"/>
              <w:lang w:val="es-CO"/>
            </w:rPr>
            <m:t>=</m:t>
          </m:r>
          <m:sSub>
            <m:sSubPr>
              <m:ctrlPr>
                <w:rPr>
                  <w:rFonts w:ascii="Cambria Math" w:hAnsi="Cambria Math" w:cs="Times New Roman"/>
                  <w:i/>
                  <w:lang w:val="es-CO"/>
                </w:rPr>
              </m:ctrlPr>
            </m:sSubPr>
            <m:e>
              <m:r>
                <w:rPr>
                  <w:rFonts w:ascii="Cambria Math" w:hAnsi="Cambria Math" w:cs="Times New Roman"/>
                  <w:lang w:val="es-CO"/>
                </w:rPr>
                <m:t>α</m:t>
              </m:r>
            </m:e>
            <m:sub>
              <m:r>
                <w:rPr>
                  <w:rFonts w:ascii="Cambria Math" w:hAnsi="Cambria Math" w:cs="Times New Roman"/>
                  <w:lang w:val="es-CO"/>
                </w:rPr>
                <m:t>i</m:t>
              </m:r>
            </m:sub>
          </m:sSub>
          <m:r>
            <w:rPr>
              <w:rFonts w:ascii="Cambria Math" w:hAnsi="Cambria Math" w:cs="Times New Roman"/>
              <w:lang w:val="es-CO"/>
            </w:rPr>
            <m:t>+</m:t>
          </m:r>
          <m:sSub>
            <m:sSubPr>
              <m:ctrlPr>
                <w:rPr>
                  <w:rFonts w:ascii="Cambria Math" w:hAnsi="Cambria Math" w:cs="Times New Roman"/>
                  <w:i/>
                  <w:lang w:val="es-CO"/>
                </w:rPr>
              </m:ctrlPr>
            </m:sSubPr>
            <m:e>
              <m:r>
                <w:rPr>
                  <w:rFonts w:ascii="Cambria Math" w:hAnsi="Cambria Math" w:cs="Times New Roman"/>
                  <w:lang w:val="es-CO"/>
                </w:rPr>
                <m:t>γ</m:t>
              </m:r>
            </m:e>
            <m:sub>
              <m:r>
                <w:rPr>
                  <w:rFonts w:ascii="Cambria Math" w:hAnsi="Cambria Math" w:cs="Times New Roman"/>
                  <w:lang w:val="es-CO"/>
                </w:rPr>
                <m:t>t</m:t>
              </m:r>
            </m:sub>
          </m:sSub>
          <m:r>
            <w:rPr>
              <w:rFonts w:ascii="Cambria Math" w:hAnsi="Cambria Math" w:cs="Times New Roman"/>
              <w:lang w:val="es-CO"/>
            </w:rPr>
            <m:t>+</m:t>
          </m:r>
          <m:sSub>
            <m:sSubPr>
              <m:ctrlPr>
                <w:rPr>
                  <w:rFonts w:ascii="Cambria Math" w:hAnsi="Cambria Math" w:cs="Times New Roman"/>
                  <w:i/>
                  <w:lang w:val="es-CO"/>
                </w:rPr>
              </m:ctrlPr>
            </m:sSubPr>
            <m:e>
              <m:r>
                <w:rPr>
                  <w:rFonts w:ascii="Cambria Math" w:hAnsi="Cambria Math" w:cs="Times New Roman"/>
                  <w:lang w:val="es-CO"/>
                </w:rPr>
                <m:t>β</m:t>
              </m:r>
            </m:e>
            <m:sub>
              <m:r>
                <w:rPr>
                  <w:rFonts w:ascii="Cambria Math" w:hAnsi="Cambria Math" w:cs="Times New Roman"/>
                  <w:lang w:val="es-CO"/>
                </w:rPr>
                <m:t>1</m:t>
              </m:r>
            </m:sub>
          </m:sSub>
          <m:sSub>
            <m:sSubPr>
              <m:ctrlPr>
                <w:rPr>
                  <w:rFonts w:ascii="Cambria Math" w:hAnsi="Cambria Math" w:cs="Times New Roman"/>
                  <w:i/>
                  <w:lang w:val="es-CO"/>
                </w:rPr>
              </m:ctrlPr>
            </m:sSubPr>
            <m:e>
              <m:r>
                <w:rPr>
                  <w:rFonts w:ascii="Cambria Math" w:hAnsi="Cambria Math" w:cs="Times New Roman"/>
                  <w:lang w:val="es-CO"/>
                </w:rPr>
                <m:t>D</m:t>
              </m:r>
            </m:e>
            <m:sub>
              <m:r>
                <w:rPr>
                  <w:rFonts w:ascii="Cambria Math" w:hAnsi="Cambria Math" w:cs="Times New Roman"/>
                  <w:lang w:val="es-CO"/>
                </w:rPr>
                <m:t>it</m:t>
              </m:r>
            </m:sub>
          </m:sSub>
          <m:r>
            <w:rPr>
              <w:rFonts w:ascii="Cambria Math" w:hAnsi="Cambria Math" w:cs="Times New Roman"/>
              <w:lang w:val="es-CO"/>
            </w:rPr>
            <m:t>+</m:t>
          </m:r>
          <m:sSub>
            <m:sSubPr>
              <m:ctrlPr>
                <w:rPr>
                  <w:rFonts w:ascii="Cambria Math" w:hAnsi="Cambria Math" w:cs="Times New Roman"/>
                  <w:i/>
                  <w:lang w:val="es-CO"/>
                </w:rPr>
              </m:ctrlPr>
            </m:sSubPr>
            <m:e>
              <m:r>
                <w:rPr>
                  <w:rFonts w:ascii="Cambria Math" w:hAnsi="Cambria Math" w:cs="Times New Roman"/>
                  <w:lang w:val="es-CO"/>
                </w:rPr>
                <m:t>β</m:t>
              </m:r>
            </m:e>
            <m:sub>
              <m:r>
                <w:rPr>
                  <w:rFonts w:ascii="Cambria Math" w:hAnsi="Cambria Math" w:cs="Times New Roman"/>
                  <w:lang w:val="es-CO"/>
                </w:rPr>
                <m:t>2</m:t>
              </m:r>
            </m:sub>
          </m:sSub>
          <m:sSub>
            <m:sSubPr>
              <m:ctrlPr>
                <w:rPr>
                  <w:rFonts w:ascii="Cambria Math" w:hAnsi="Cambria Math" w:cs="Times New Roman"/>
                  <w:i/>
                  <w:lang w:val="es-CO"/>
                </w:rPr>
              </m:ctrlPr>
            </m:sSubPr>
            <m:e>
              <m:r>
                <w:rPr>
                  <w:rFonts w:ascii="Cambria Math" w:hAnsi="Cambria Math" w:cs="Times New Roman"/>
                  <w:lang w:val="es-CO"/>
                </w:rPr>
                <m:t>X</m:t>
              </m:r>
            </m:e>
            <m:sub>
              <m:r>
                <w:rPr>
                  <w:rFonts w:ascii="Cambria Math" w:hAnsi="Cambria Math" w:cs="Times New Roman"/>
                  <w:lang w:val="es-CO"/>
                </w:rPr>
                <m:t>it</m:t>
              </m:r>
            </m:sub>
          </m:sSub>
          <m:r>
            <w:rPr>
              <w:rFonts w:ascii="Cambria Math" w:hAnsi="Cambria Math" w:cs="Times New Roman"/>
              <w:lang w:val="es-CO"/>
            </w:rPr>
            <m:t>+</m:t>
          </m:r>
          <m:sSub>
            <m:sSubPr>
              <m:ctrlPr>
                <w:rPr>
                  <w:rFonts w:ascii="Cambria Math" w:hAnsi="Cambria Math" w:cs="Times New Roman"/>
                  <w:i/>
                  <w:lang w:val="es-CO"/>
                </w:rPr>
              </m:ctrlPr>
            </m:sSubPr>
            <m:e>
              <m:r>
                <w:rPr>
                  <w:rFonts w:ascii="Cambria Math" w:hAnsi="Cambria Math" w:cs="Times New Roman"/>
                  <w:lang w:val="es-CO"/>
                </w:rPr>
                <m:t>ε</m:t>
              </m:r>
            </m:e>
            <m:sub>
              <m:r>
                <w:rPr>
                  <w:rFonts w:ascii="Cambria Math" w:hAnsi="Cambria Math" w:cs="Times New Roman"/>
                  <w:lang w:val="es-CO"/>
                </w:rPr>
                <m:t>it</m:t>
              </m:r>
            </m:sub>
          </m:sSub>
        </m:oMath>
      </m:oMathPara>
    </w:p>
    <w:p w14:paraId="137E71E5" w14:textId="7C6D0A60" w:rsidR="00026DE7" w:rsidRDefault="00CA3250" w:rsidP="0093353D">
      <w:pPr>
        <w:spacing w:line="360" w:lineRule="auto"/>
        <w:rPr>
          <w:rFonts w:ascii="Times New Roman" w:eastAsiaTheme="minorEastAsia" w:hAnsi="Times New Roman" w:cs="Times New Roman"/>
          <w:lang w:val="es-CO"/>
        </w:rPr>
      </w:pPr>
      <w:r>
        <w:rPr>
          <w:rFonts w:ascii="Times New Roman" w:eastAsiaTheme="minorEastAsia" w:hAnsi="Times New Roman" w:cs="Times New Roman"/>
          <w:lang w:val="es-CO"/>
        </w:rPr>
        <w:t>Donde:</w:t>
      </w:r>
    </w:p>
    <w:p w14:paraId="2DE73440" w14:textId="2FDF8402" w:rsidR="00CA3250" w:rsidRDefault="00CA3250" w:rsidP="0093353D">
      <w:pPr>
        <w:pStyle w:val="ListParagraph"/>
        <w:numPr>
          <w:ilvl w:val="0"/>
          <w:numId w:val="22"/>
        </w:numPr>
        <w:spacing w:line="360" w:lineRule="auto"/>
        <w:rPr>
          <w:rFonts w:ascii="Times New Roman" w:eastAsiaTheme="minorEastAsia" w:hAnsi="Times New Roman" w:cs="Times New Roman"/>
          <w:lang w:val="es-CO"/>
        </w:rPr>
      </w:pP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Y</m:t>
            </m:r>
          </m:e>
          <m:sub>
            <m:r>
              <w:rPr>
                <w:rFonts w:ascii="Cambria Math" w:eastAsiaTheme="minorEastAsia" w:hAnsi="Cambria Math" w:cs="Times New Roman"/>
                <w:lang w:val="es-CO"/>
              </w:rPr>
              <m:t>it</m:t>
            </m:r>
          </m:sub>
        </m:sSub>
      </m:oMath>
      <w:r>
        <w:rPr>
          <w:rFonts w:ascii="Times New Roman" w:eastAsiaTheme="minorEastAsia" w:hAnsi="Times New Roman" w:cs="Times New Roman"/>
          <w:lang w:val="es-CO"/>
        </w:rPr>
        <w:t xml:space="preserve"> representa los indicadores de resultado (acceso a crédito de vivienda) para el departamento i en el periodo t.</w:t>
      </w:r>
    </w:p>
    <w:p w14:paraId="78DF0596" w14:textId="599F8641" w:rsidR="00CA3250" w:rsidRDefault="00CA3250" w:rsidP="0093353D">
      <w:pPr>
        <w:pStyle w:val="ListParagraph"/>
        <w:numPr>
          <w:ilvl w:val="0"/>
          <w:numId w:val="22"/>
        </w:numPr>
        <w:spacing w:line="360" w:lineRule="auto"/>
        <w:rPr>
          <w:rFonts w:ascii="Times New Roman" w:eastAsiaTheme="minorEastAsia" w:hAnsi="Times New Roman" w:cs="Times New Roman"/>
          <w:lang w:val="es-CO"/>
        </w:rPr>
      </w:pP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D</m:t>
            </m:r>
          </m:e>
          <m:sub>
            <m:r>
              <w:rPr>
                <w:rFonts w:ascii="Cambria Math" w:eastAsiaTheme="minorEastAsia" w:hAnsi="Cambria Math" w:cs="Times New Roman"/>
                <w:lang w:val="es-CO"/>
              </w:rPr>
              <m:t>it</m:t>
            </m:r>
          </m:sub>
        </m:sSub>
      </m:oMath>
      <w:r>
        <w:rPr>
          <w:rFonts w:ascii="Times New Roman" w:eastAsiaTheme="minorEastAsia" w:hAnsi="Times New Roman" w:cs="Times New Roman"/>
          <w:lang w:val="es-CO"/>
        </w:rPr>
        <w:t xml:space="preserve"> es el tratamiento para el departamento i en el periodo t, que en este caso es el número de subsidios per cápita asignados por departamento, utilizado como medida de intensidad.</w:t>
      </w:r>
    </w:p>
    <w:p w14:paraId="6B8F1D70" w14:textId="0A19F2E0" w:rsidR="00CA3250" w:rsidRDefault="007A7E3B" w:rsidP="0093353D">
      <w:pPr>
        <w:pStyle w:val="ListParagraph"/>
        <w:numPr>
          <w:ilvl w:val="0"/>
          <w:numId w:val="22"/>
        </w:numPr>
        <w:spacing w:line="360" w:lineRule="auto"/>
        <w:rPr>
          <w:rFonts w:ascii="Times New Roman" w:eastAsiaTheme="minorEastAsia" w:hAnsi="Times New Roman" w:cs="Times New Roman"/>
          <w:lang w:val="es-CO"/>
        </w:rPr>
      </w:pP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X</m:t>
            </m:r>
          </m:e>
          <m:sub>
            <m:r>
              <w:rPr>
                <w:rFonts w:ascii="Cambria Math" w:eastAsiaTheme="minorEastAsia" w:hAnsi="Cambria Math" w:cs="Times New Roman"/>
                <w:lang w:val="es-CO"/>
              </w:rPr>
              <m:t>it</m:t>
            </m:r>
          </m:sub>
        </m:sSub>
      </m:oMath>
      <w:r>
        <w:rPr>
          <w:rFonts w:ascii="Times New Roman" w:eastAsiaTheme="minorEastAsia" w:hAnsi="Times New Roman" w:cs="Times New Roman"/>
          <w:lang w:val="es-CO"/>
        </w:rPr>
        <w:t xml:space="preserve"> es el vector de controles, que incluirá el acceso a financiamiento, por el momento se usa IDF, pero lo ideal sería utilizar otros controles (en mente: LIVO, licencias de construcción, etc)</w:t>
      </w:r>
    </w:p>
    <w:p w14:paraId="53210D9D" w14:textId="5893A17E" w:rsidR="00F6013C" w:rsidRDefault="00F6013C" w:rsidP="0093353D">
      <w:pPr>
        <w:pStyle w:val="ListParagraph"/>
        <w:numPr>
          <w:ilvl w:val="0"/>
          <w:numId w:val="22"/>
        </w:numPr>
        <w:spacing w:line="360" w:lineRule="auto"/>
        <w:rPr>
          <w:rFonts w:ascii="Times New Roman" w:eastAsiaTheme="minorEastAsia" w:hAnsi="Times New Roman" w:cs="Times New Roman"/>
          <w:lang w:val="es-CO"/>
        </w:rPr>
      </w:pP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α</m:t>
            </m:r>
          </m:e>
          <m:sub>
            <m:r>
              <w:rPr>
                <w:rFonts w:ascii="Cambria Math" w:eastAsiaTheme="minorEastAsia" w:hAnsi="Cambria Math" w:cs="Times New Roman"/>
                <w:lang w:val="es-CO"/>
              </w:rPr>
              <m:t>i</m:t>
            </m:r>
          </m:sub>
        </m:sSub>
      </m:oMath>
      <w:r>
        <w:rPr>
          <w:rFonts w:ascii="Times New Roman" w:eastAsiaTheme="minorEastAsia" w:hAnsi="Times New Roman" w:cs="Times New Roman"/>
          <w:lang w:val="es-CO"/>
        </w:rPr>
        <w:t xml:space="preserve"> y </w:t>
      </w: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γ</m:t>
            </m:r>
          </m:e>
          <m:sub>
            <m:r>
              <w:rPr>
                <w:rFonts w:ascii="Cambria Math" w:eastAsiaTheme="minorEastAsia" w:hAnsi="Cambria Math" w:cs="Times New Roman"/>
                <w:lang w:val="es-CO"/>
              </w:rPr>
              <m:t>t</m:t>
            </m:r>
          </m:sub>
        </m:sSub>
      </m:oMath>
      <w:r>
        <w:rPr>
          <w:rFonts w:ascii="Times New Roman" w:eastAsiaTheme="minorEastAsia" w:hAnsi="Times New Roman" w:cs="Times New Roman"/>
          <w:lang w:val="es-CO"/>
        </w:rPr>
        <w:t xml:space="preserve"> son los efectos fijos de departamento y tiempo, respectivamente</w:t>
      </w:r>
      <w:r w:rsidR="00885756">
        <w:rPr>
          <w:rFonts w:ascii="Times New Roman" w:eastAsiaTheme="minorEastAsia" w:hAnsi="Times New Roman" w:cs="Times New Roman"/>
          <w:lang w:val="es-CO"/>
        </w:rPr>
        <w:t>, con el fin de controlar por valores no observables que no varían en el tiempo.</w:t>
      </w:r>
    </w:p>
    <w:p w14:paraId="558CA130" w14:textId="6C8F2E22" w:rsidR="00885756" w:rsidRDefault="00885756" w:rsidP="0093353D">
      <w:pPr>
        <w:pStyle w:val="ListParagraph"/>
        <w:numPr>
          <w:ilvl w:val="0"/>
          <w:numId w:val="22"/>
        </w:numPr>
        <w:spacing w:line="360" w:lineRule="auto"/>
        <w:rPr>
          <w:rFonts w:ascii="Times New Roman" w:eastAsiaTheme="minorEastAsia" w:hAnsi="Times New Roman" w:cs="Times New Roman"/>
          <w:lang w:val="es-CO"/>
        </w:rPr>
      </w:pPr>
      <m:oMath>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ε</m:t>
            </m:r>
          </m:e>
          <m:sub>
            <m:r>
              <w:rPr>
                <w:rFonts w:ascii="Cambria Math" w:eastAsiaTheme="minorEastAsia" w:hAnsi="Cambria Math" w:cs="Times New Roman"/>
                <w:lang w:val="es-CO"/>
              </w:rPr>
              <m:t>it</m:t>
            </m:r>
          </m:sub>
        </m:sSub>
      </m:oMath>
      <w:r>
        <w:rPr>
          <w:rFonts w:ascii="Times New Roman" w:eastAsiaTheme="minorEastAsia" w:hAnsi="Times New Roman" w:cs="Times New Roman"/>
          <w:lang w:val="es-CO"/>
        </w:rPr>
        <w:t xml:space="preserve"> es el término de error</w:t>
      </w:r>
    </w:p>
    <w:p w14:paraId="6269BD8F" w14:textId="0C177453" w:rsidR="00885756" w:rsidRPr="00885756" w:rsidRDefault="00885756" w:rsidP="0093353D">
      <w:pPr>
        <w:spacing w:line="360" w:lineRule="auto"/>
        <w:rPr>
          <w:rFonts w:ascii="Times New Roman" w:eastAsiaTheme="minorEastAsia" w:hAnsi="Times New Roman" w:cs="Times New Roman"/>
          <w:lang w:val="es-CO"/>
        </w:rPr>
      </w:pPr>
      <w:r>
        <w:rPr>
          <w:rFonts w:ascii="Times New Roman" w:eastAsiaTheme="minorEastAsia" w:hAnsi="Times New Roman" w:cs="Times New Roman"/>
          <w:lang w:val="es-CO"/>
        </w:rPr>
        <w:t>El model</w:t>
      </w:r>
      <w:r w:rsidR="002E4EEA">
        <w:rPr>
          <w:rFonts w:ascii="Times New Roman" w:eastAsiaTheme="minorEastAsia" w:hAnsi="Times New Roman" w:cs="Times New Roman"/>
          <w:lang w:val="es-CO"/>
        </w:rPr>
        <w:t xml:space="preserve">o es útil cuando los efectos del programa no son lineales, es decir, cuando el impacto no depende únicamente del programa sino también del tiempo de exposición al mismo. </w:t>
      </w:r>
      <w:r w:rsidR="0099081A">
        <w:rPr>
          <w:rFonts w:ascii="Times New Roman" w:eastAsiaTheme="minorEastAsia" w:hAnsi="Times New Roman" w:cs="Times New Roman"/>
          <w:lang w:val="es-CO"/>
        </w:rPr>
        <w:t xml:space="preserve">No obstante, </w:t>
      </w:r>
      <w:r w:rsidR="0099081A">
        <w:rPr>
          <w:rFonts w:ascii="Times New Roman" w:eastAsiaTheme="minorEastAsia" w:hAnsi="Times New Roman" w:cs="Times New Roman"/>
          <w:lang w:val="es-CO"/>
        </w:rPr>
        <w:lastRenderedPageBreak/>
        <w:t xml:space="preserve">es importante tener en cuenta que el modelo cuenta con limitaciones, </w:t>
      </w:r>
      <w:r w:rsidR="003D450F">
        <w:rPr>
          <w:rFonts w:ascii="Times New Roman" w:eastAsiaTheme="minorEastAsia" w:hAnsi="Times New Roman" w:cs="Times New Roman"/>
          <w:lang w:val="es-CO"/>
        </w:rPr>
        <w:t>entre estas comparaciones incorrectas entre grupos y falta de robustez frente a efectos dinámicos.</w:t>
      </w:r>
    </w:p>
    <w:p w14:paraId="7397B3C1" w14:textId="0EC3E816" w:rsidR="00D5641D" w:rsidRDefault="0093353D" w:rsidP="0093353D">
      <w:pPr>
        <w:rPr>
          <w:rFonts w:ascii="Times New Roman" w:hAnsi="Times New Roman" w:cs="Times New Roman"/>
          <w:b/>
          <w:bCs/>
        </w:rPr>
      </w:pPr>
      <w:r>
        <w:rPr>
          <w:rFonts w:ascii="Times New Roman" w:hAnsi="Times New Roman" w:cs="Times New Roman"/>
          <w:b/>
          <w:bCs/>
        </w:rPr>
        <w:t xml:space="preserve">Sección 5. </w:t>
      </w:r>
      <w:r w:rsidR="00D5641D" w:rsidRPr="0093353D">
        <w:rPr>
          <w:rFonts w:ascii="Times New Roman" w:hAnsi="Times New Roman" w:cs="Times New Roman"/>
          <w:b/>
          <w:bCs/>
        </w:rPr>
        <w:t>Resultados</w:t>
      </w:r>
    </w:p>
    <w:p w14:paraId="61CB8D0F" w14:textId="77777777" w:rsidR="00947B88" w:rsidRDefault="00947B88" w:rsidP="00947B88">
      <w:pPr>
        <w:spacing w:line="360" w:lineRule="auto"/>
        <w:rPr>
          <w:rFonts w:ascii="Times New Roman" w:hAnsi="Times New Roman" w:cs="Times New Roman"/>
          <w:lang w:val="es-CO"/>
        </w:rPr>
      </w:pPr>
      <w:r>
        <w:rPr>
          <w:rFonts w:ascii="Times New Roman" w:hAnsi="Times New Roman" w:cs="Times New Roman"/>
          <w:lang w:val="es-CO"/>
        </w:rPr>
        <w:t>Como se mencionó anteriormente, se hizo una clasificación de los departamentos en tres niveles de intensidad (baja, media y alta) según la cantidad de subsidios del programa Mi Casa Ya asignados per cápita. Esta agrupación permite identificar diferencias territoriales relevantes en la distribución del programa. En este sentido, departamentos como Valle del Cauca, Atlántico y Cundinamarca con alta intensidad indica que tiene una alta participación relativa en el programa, a diferencia de otros departamentos como Arauca, Caquetá y Sucre. Si bien, algunos departamentos (y ciudades) tienen un número alto de subsidios -como en el caso de Bogotá-, al tener una población tan grande, su intensidad sigue siendo baja.</w:t>
      </w:r>
    </w:p>
    <w:p w14:paraId="58EF5044" w14:textId="2217CE51" w:rsidR="00947B88" w:rsidRPr="008E0BB1" w:rsidRDefault="00947B88" w:rsidP="00947B88">
      <w:pPr>
        <w:spacing w:line="360" w:lineRule="auto"/>
        <w:rPr>
          <w:rFonts w:ascii="Times New Roman" w:hAnsi="Times New Roman" w:cs="Times New Roman"/>
          <w:lang w:val="es-CO"/>
        </w:rPr>
      </w:pPr>
      <w:r>
        <w:rPr>
          <w:rFonts w:ascii="Times New Roman" w:hAnsi="Times New Roman" w:cs="Times New Roman"/>
          <w:lang w:val="es-CO"/>
        </w:rPr>
        <w:t xml:space="preserve">Esta segmentación facilita el análisis comparativo bajo el enfoque de diferencias en diferencias, ya que permite observar </w:t>
      </w:r>
      <w:r w:rsidR="006F78F6">
        <w:rPr>
          <w:rFonts w:ascii="Times New Roman" w:hAnsi="Times New Roman" w:cs="Times New Roman"/>
          <w:lang w:val="es-CO"/>
        </w:rPr>
        <w:t>cómo</w:t>
      </w:r>
      <w:r>
        <w:rPr>
          <w:rFonts w:ascii="Times New Roman" w:hAnsi="Times New Roman" w:cs="Times New Roman"/>
          <w:lang w:val="es-CO"/>
        </w:rPr>
        <w:t xml:space="preserve"> varían las variables de resultado entre territorios con distintos niveles de exposición al subsidio.</w:t>
      </w:r>
    </w:p>
    <w:p w14:paraId="5938EF9D" w14:textId="37018E63" w:rsidR="00947B88" w:rsidRPr="00947B88" w:rsidRDefault="00947B88" w:rsidP="0093353D">
      <w:pPr>
        <w:rPr>
          <w:rFonts w:ascii="Times New Roman" w:hAnsi="Times New Roman" w:cs="Times New Roman"/>
          <w:b/>
          <w:bCs/>
          <w:lang w:val="es-CO"/>
        </w:rPr>
      </w:pPr>
      <w:r w:rsidRPr="008D3643">
        <w:rPr>
          <w:rFonts w:ascii="Times New Roman" w:hAnsi="Times New Roman" w:cs="Times New Roman"/>
          <w:noProof/>
          <w:lang w:val="es-CO"/>
        </w:rPr>
        <w:drawing>
          <wp:inline distT="0" distB="0" distL="0" distR="0" wp14:anchorId="51C02E33" wp14:editId="69CF892F">
            <wp:extent cx="5943600" cy="3658870"/>
            <wp:effectExtent l="0" t="0" r="0" b="0"/>
            <wp:docPr id="1210254977" name="Picture 1" descr="A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27367" name="Picture 1" descr="A table with black text&#10;&#10;AI-generated content may be incorrect."/>
                    <pic:cNvPicPr/>
                  </pic:nvPicPr>
                  <pic:blipFill>
                    <a:blip r:embed="rId11"/>
                    <a:stretch>
                      <a:fillRect/>
                    </a:stretch>
                  </pic:blipFill>
                  <pic:spPr>
                    <a:xfrm>
                      <a:off x="0" y="0"/>
                      <a:ext cx="5943600" cy="3658870"/>
                    </a:xfrm>
                    <a:prstGeom prst="rect">
                      <a:avLst/>
                    </a:prstGeom>
                  </pic:spPr>
                </pic:pic>
              </a:graphicData>
            </a:graphic>
          </wp:inline>
        </w:drawing>
      </w:r>
    </w:p>
    <w:p w14:paraId="44E00924" w14:textId="10638A11" w:rsidR="00947B88" w:rsidRDefault="00935E73" w:rsidP="0093353D">
      <w:pPr>
        <w:rPr>
          <w:rFonts w:ascii="Times New Roman" w:hAnsi="Times New Roman" w:cs="Times New Roman"/>
          <w:lang w:val="es-CO"/>
        </w:rPr>
      </w:pPr>
      <w:r>
        <w:rPr>
          <w:rFonts w:ascii="Times New Roman" w:hAnsi="Times New Roman" w:cs="Times New Roman"/>
          <w:lang w:val="es-CO"/>
        </w:rPr>
        <w:t>En cuanto a los resultados obtenemos la siguiente gráfica:</w:t>
      </w:r>
    </w:p>
    <w:p w14:paraId="03FF0D41" w14:textId="7F5259BB" w:rsidR="00935E73" w:rsidRPr="00947B88" w:rsidRDefault="008919B1" w:rsidP="0093353D">
      <w:pPr>
        <w:rPr>
          <w:rFonts w:ascii="Times New Roman" w:hAnsi="Times New Roman" w:cs="Times New Roman"/>
          <w:lang w:val="es-CO"/>
        </w:rPr>
      </w:pPr>
      <w:r w:rsidRPr="008919B1">
        <w:rPr>
          <w:rFonts w:ascii="Times New Roman" w:hAnsi="Times New Roman" w:cs="Times New Roman"/>
          <w:lang w:val="es-CO"/>
        </w:rPr>
        <w:lastRenderedPageBreak/>
        <w:drawing>
          <wp:inline distT="0" distB="0" distL="0" distR="0" wp14:anchorId="15495B70" wp14:editId="2245B61A">
            <wp:extent cx="5943600" cy="3334385"/>
            <wp:effectExtent l="0" t="0" r="0" b="0"/>
            <wp:docPr id="1115861124"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1124" name="Picture 2" descr="A screenshot of a graph&#10;&#10;AI-generated content may be incorrect."/>
                    <pic:cNvPicPr/>
                  </pic:nvPicPr>
                  <pic:blipFill>
                    <a:blip r:embed="rId12"/>
                    <a:stretch>
                      <a:fillRect/>
                    </a:stretch>
                  </pic:blipFill>
                  <pic:spPr>
                    <a:xfrm>
                      <a:off x="0" y="0"/>
                      <a:ext cx="5943600" cy="3334385"/>
                    </a:xfrm>
                    <a:prstGeom prst="rect">
                      <a:avLst/>
                    </a:prstGeom>
                  </pic:spPr>
                </pic:pic>
              </a:graphicData>
            </a:graphic>
          </wp:inline>
        </w:drawing>
      </w:r>
    </w:p>
    <w:p w14:paraId="1DD7F1AB"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Efectos promedio del tratamiento.</w:t>
      </w:r>
    </w:p>
    <w:p w14:paraId="005EFF06"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Heterogeneidad por tipo de municipio o estrato.</w:t>
      </w:r>
    </w:p>
    <w:p w14:paraId="576A2ABF"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Validación con tests de robustez si es posible.</w:t>
      </w:r>
    </w:p>
    <w:p w14:paraId="1EF6C99E" w14:textId="3B51D484" w:rsidR="00D5641D" w:rsidRPr="00F447A1" w:rsidRDefault="00D5641D" w:rsidP="00CA3250">
      <w:pPr>
        <w:pStyle w:val="ListParagraph"/>
        <w:numPr>
          <w:ilvl w:val="0"/>
          <w:numId w:val="22"/>
        </w:numPr>
        <w:rPr>
          <w:rFonts w:ascii="Times New Roman" w:hAnsi="Times New Roman" w:cs="Times New Roman"/>
        </w:rPr>
      </w:pPr>
      <w:r w:rsidRPr="00F447A1">
        <w:rPr>
          <w:rFonts w:ascii="Times New Roman" w:hAnsi="Times New Roman" w:cs="Times New Roman"/>
          <w:b/>
          <w:bCs/>
        </w:rPr>
        <w:t>Conclusiones</w:t>
      </w:r>
    </w:p>
    <w:p w14:paraId="7CA1674B"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Hallazgos clave.</w:t>
      </w:r>
    </w:p>
    <w:p w14:paraId="5704B197"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Implicaciones para el diseño del programa.</w:t>
      </w:r>
    </w:p>
    <w:p w14:paraId="6A1DC5BE"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Limitaciones y sugerencias futuras.</w:t>
      </w:r>
    </w:p>
    <w:p w14:paraId="13380CB4" w14:textId="4ADD2A6B" w:rsidR="00D5641D" w:rsidRPr="00F447A1" w:rsidRDefault="00D5641D" w:rsidP="00CA3250">
      <w:pPr>
        <w:pStyle w:val="ListParagraph"/>
        <w:numPr>
          <w:ilvl w:val="0"/>
          <w:numId w:val="22"/>
        </w:numPr>
        <w:rPr>
          <w:rFonts w:ascii="Times New Roman" w:hAnsi="Times New Roman" w:cs="Times New Roman"/>
        </w:rPr>
      </w:pPr>
      <w:r w:rsidRPr="00F447A1">
        <w:rPr>
          <w:rFonts w:ascii="Times New Roman" w:hAnsi="Times New Roman" w:cs="Times New Roman"/>
          <w:b/>
          <w:bCs/>
        </w:rPr>
        <w:t>Referencias</w:t>
      </w:r>
    </w:p>
    <w:p w14:paraId="684C0079" w14:textId="77777777" w:rsidR="00D5641D"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t>Formato APA.</w:t>
      </w:r>
    </w:p>
    <w:p w14:paraId="6EE4D4BA" w14:textId="15E24E70" w:rsidR="004F7156" w:rsidRDefault="004F7156" w:rsidP="004F7156">
      <w:pPr>
        <w:rPr>
          <w:rFonts w:ascii="Times New Roman" w:hAnsi="Times New Roman" w:cs="Times New Roman"/>
          <w:lang w:val="es-CO"/>
        </w:rPr>
      </w:pPr>
      <w:hyperlink r:id="rId13" w:history="1">
        <w:r w:rsidRPr="005A293B">
          <w:rPr>
            <w:rStyle w:val="Hyperlink"/>
            <w:rFonts w:ascii="Times New Roman" w:hAnsi="Times New Roman" w:cs="Times New Roman"/>
            <w:lang w:val="es-CO"/>
          </w:rPr>
          <w:t>https://www.dane.gov.co/files/operaciones/ECV/bol-ECV-2024.pdf</w:t>
        </w:r>
      </w:hyperlink>
    </w:p>
    <w:p w14:paraId="6C65181D" w14:textId="1974DAF7" w:rsidR="004F7156" w:rsidRDefault="00D2390C" w:rsidP="004F7156">
      <w:pPr>
        <w:rPr>
          <w:rFonts w:ascii="Times New Roman" w:hAnsi="Times New Roman" w:cs="Times New Roman"/>
          <w:lang w:val="es-CO"/>
        </w:rPr>
      </w:pPr>
      <w:hyperlink r:id="rId14" w:history="1">
        <w:r w:rsidRPr="005A293B">
          <w:rPr>
            <w:rStyle w:val="Hyperlink"/>
            <w:rFonts w:ascii="Times New Roman" w:hAnsi="Times New Roman" w:cs="Times New Roman"/>
            <w:lang w:val="es-CO"/>
          </w:rPr>
          <w:t>https://camacol.co/sites/default/files/descargables/Datos%20que%20construyen%20-%2028abr2025.pdf</w:t>
        </w:r>
      </w:hyperlink>
    </w:p>
    <w:p w14:paraId="4C3CF653" w14:textId="42FF951F" w:rsidR="00D2390C" w:rsidRDefault="00D2390C" w:rsidP="004F7156">
      <w:pPr>
        <w:rPr>
          <w:rFonts w:ascii="Times New Roman" w:hAnsi="Times New Roman" w:cs="Times New Roman"/>
          <w:lang w:val="es-CO"/>
        </w:rPr>
      </w:pPr>
      <w:hyperlink r:id="rId15" w:anchor=":~:text=La%20reducción%20se%20explica%20principalmente,de%20Déficit%20Habitacional%20en%202019" w:history="1">
        <w:r w:rsidRPr="005A293B">
          <w:rPr>
            <w:rStyle w:val="Hyperlink"/>
            <w:rFonts w:ascii="Times New Roman" w:hAnsi="Times New Roman" w:cs="Times New Roman"/>
            <w:lang w:val="es-CO"/>
          </w:rPr>
          <w:t>https://www.minvivienda.gov.co/sala-de-prensa/cifra-record-de-reduccion-del-deficit-habitacional-para-2024#:~:text=La%20reducción%20se%20explica%20principalmente,de%20Déficit%20Habitacional%20en%202019</w:t>
        </w:r>
      </w:hyperlink>
    </w:p>
    <w:p w14:paraId="433879C1" w14:textId="64F9B475" w:rsidR="00D2390C" w:rsidRDefault="00A90B2C" w:rsidP="004F7156">
      <w:pPr>
        <w:rPr>
          <w:rFonts w:ascii="Times New Roman" w:hAnsi="Times New Roman" w:cs="Times New Roman"/>
          <w:lang w:val="es-CO"/>
        </w:rPr>
      </w:pPr>
      <w:hyperlink r:id="rId16" w:history="1">
        <w:r w:rsidRPr="005A293B">
          <w:rPr>
            <w:rStyle w:val="Hyperlink"/>
            <w:rFonts w:ascii="Times New Roman" w:hAnsi="Times New Roman" w:cs="Times New Roman"/>
            <w:lang w:val="es-CO"/>
          </w:rPr>
          <w:t>https://www.aeaweb.org/articles?id=10.1257/aer.20150572</w:t>
        </w:r>
      </w:hyperlink>
    </w:p>
    <w:p w14:paraId="3296CF9D" w14:textId="66191FD4" w:rsidR="00A90B2C" w:rsidRDefault="003737E5" w:rsidP="004F7156">
      <w:pPr>
        <w:rPr>
          <w:rFonts w:ascii="Times New Roman" w:hAnsi="Times New Roman" w:cs="Times New Roman"/>
          <w:lang w:val="es-CO"/>
        </w:rPr>
      </w:pPr>
      <w:hyperlink r:id="rId17" w:history="1">
        <w:r w:rsidRPr="0013032A">
          <w:rPr>
            <w:rStyle w:val="Hyperlink"/>
            <w:rFonts w:ascii="Times New Roman" w:hAnsi="Times New Roman" w:cs="Times New Roman"/>
            <w:lang w:val="es-CO"/>
          </w:rPr>
          <w:t>https://www.funcionpublica.gov.co/eva/gestornormativo/norma.php?i=205943</w:t>
        </w:r>
      </w:hyperlink>
      <w:r>
        <w:rPr>
          <w:rFonts w:ascii="Times New Roman" w:hAnsi="Times New Roman" w:cs="Times New Roman"/>
          <w:lang w:val="es-CO"/>
        </w:rPr>
        <w:t xml:space="preserve"> </w:t>
      </w:r>
    </w:p>
    <w:p w14:paraId="732A7F65" w14:textId="77777777" w:rsidR="004F7156" w:rsidRPr="004F7156" w:rsidRDefault="004F7156" w:rsidP="004F7156">
      <w:pPr>
        <w:rPr>
          <w:rFonts w:ascii="Times New Roman" w:hAnsi="Times New Roman" w:cs="Times New Roman"/>
          <w:lang w:val="es-CO"/>
        </w:rPr>
      </w:pPr>
    </w:p>
    <w:p w14:paraId="46BB0CCE" w14:textId="7956874C" w:rsidR="00D5641D" w:rsidRPr="00F447A1" w:rsidRDefault="00D5641D" w:rsidP="00CA3250">
      <w:pPr>
        <w:pStyle w:val="ListParagraph"/>
        <w:numPr>
          <w:ilvl w:val="0"/>
          <w:numId w:val="22"/>
        </w:numPr>
        <w:rPr>
          <w:rFonts w:ascii="Times New Roman" w:hAnsi="Times New Roman" w:cs="Times New Roman"/>
        </w:rPr>
      </w:pPr>
      <w:r w:rsidRPr="00F447A1">
        <w:rPr>
          <w:rFonts w:ascii="Times New Roman" w:hAnsi="Times New Roman" w:cs="Times New Roman"/>
          <w:b/>
          <w:bCs/>
        </w:rPr>
        <w:t>Anexos</w:t>
      </w:r>
    </w:p>
    <w:p w14:paraId="10E7156D" w14:textId="77777777" w:rsidR="00D5641D" w:rsidRPr="00F447A1" w:rsidRDefault="00D5641D" w:rsidP="00CA3250">
      <w:pPr>
        <w:pStyle w:val="ListParagraph"/>
        <w:numPr>
          <w:ilvl w:val="1"/>
          <w:numId w:val="22"/>
        </w:numPr>
        <w:rPr>
          <w:rFonts w:ascii="Times New Roman" w:hAnsi="Times New Roman" w:cs="Times New Roman"/>
          <w:lang w:val="es-CO"/>
        </w:rPr>
      </w:pPr>
      <w:r w:rsidRPr="00F447A1">
        <w:rPr>
          <w:rFonts w:ascii="Times New Roman" w:hAnsi="Times New Roman" w:cs="Times New Roman"/>
          <w:lang w:val="es-CO"/>
        </w:rPr>
        <w:lastRenderedPageBreak/>
        <w:t>Tablas completas, modelos, definiciones extendidas, códigos si es necesario.</w:t>
      </w:r>
    </w:p>
    <w:p w14:paraId="7FBDB2B8" w14:textId="77777777" w:rsidR="0042611A" w:rsidRPr="00F447A1" w:rsidRDefault="0042611A">
      <w:pPr>
        <w:rPr>
          <w:rFonts w:ascii="Times New Roman" w:hAnsi="Times New Roman" w:cs="Times New Roman"/>
          <w:lang w:val="es-CO"/>
        </w:rPr>
      </w:pPr>
    </w:p>
    <w:sectPr w:rsidR="0042611A" w:rsidRPr="00F44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B2FB6"/>
    <w:multiLevelType w:val="multilevel"/>
    <w:tmpl w:val="40D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252FF"/>
    <w:multiLevelType w:val="multilevel"/>
    <w:tmpl w:val="ADA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6D8C"/>
    <w:multiLevelType w:val="multilevel"/>
    <w:tmpl w:val="D7E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05DC5"/>
    <w:multiLevelType w:val="multilevel"/>
    <w:tmpl w:val="4F7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7248"/>
    <w:multiLevelType w:val="hybridMultilevel"/>
    <w:tmpl w:val="8C76F9FA"/>
    <w:lvl w:ilvl="0" w:tplc="88EC4EE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D0051"/>
    <w:multiLevelType w:val="hybridMultilevel"/>
    <w:tmpl w:val="A7CAA4B8"/>
    <w:lvl w:ilvl="0" w:tplc="3D7E7E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93DB5"/>
    <w:multiLevelType w:val="multilevel"/>
    <w:tmpl w:val="293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C50C7"/>
    <w:multiLevelType w:val="multilevel"/>
    <w:tmpl w:val="6EEA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F177D"/>
    <w:multiLevelType w:val="hybridMultilevel"/>
    <w:tmpl w:val="8C76F9FA"/>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0466E"/>
    <w:multiLevelType w:val="multilevel"/>
    <w:tmpl w:val="4FA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06719"/>
    <w:multiLevelType w:val="multilevel"/>
    <w:tmpl w:val="021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31CA0"/>
    <w:multiLevelType w:val="multilevel"/>
    <w:tmpl w:val="B5D0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E1F5E"/>
    <w:multiLevelType w:val="multilevel"/>
    <w:tmpl w:val="FF6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67C1F"/>
    <w:multiLevelType w:val="multilevel"/>
    <w:tmpl w:val="041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D39B5"/>
    <w:multiLevelType w:val="multilevel"/>
    <w:tmpl w:val="1E3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A2423"/>
    <w:multiLevelType w:val="hybridMultilevel"/>
    <w:tmpl w:val="F1D62D6A"/>
    <w:lvl w:ilvl="0" w:tplc="46AA4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126FB"/>
    <w:multiLevelType w:val="multilevel"/>
    <w:tmpl w:val="3AD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95720"/>
    <w:multiLevelType w:val="multilevel"/>
    <w:tmpl w:val="443E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14F74"/>
    <w:multiLevelType w:val="multilevel"/>
    <w:tmpl w:val="9498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D5B69"/>
    <w:multiLevelType w:val="multilevel"/>
    <w:tmpl w:val="25B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D7D6E"/>
    <w:multiLevelType w:val="multilevel"/>
    <w:tmpl w:val="74D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914CC"/>
    <w:multiLevelType w:val="multilevel"/>
    <w:tmpl w:val="2FA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274397">
    <w:abstractNumId w:val="14"/>
  </w:num>
  <w:num w:numId="2" w16cid:durableId="541483866">
    <w:abstractNumId w:val="3"/>
  </w:num>
  <w:num w:numId="3" w16cid:durableId="631668284">
    <w:abstractNumId w:val="9"/>
  </w:num>
  <w:num w:numId="4" w16cid:durableId="1868248039">
    <w:abstractNumId w:val="0"/>
  </w:num>
  <w:num w:numId="5" w16cid:durableId="159276734">
    <w:abstractNumId w:val="12"/>
  </w:num>
  <w:num w:numId="6" w16cid:durableId="1241603273">
    <w:abstractNumId w:val="20"/>
  </w:num>
  <w:num w:numId="7" w16cid:durableId="1052995380">
    <w:abstractNumId w:val="10"/>
  </w:num>
  <w:num w:numId="8" w16cid:durableId="14113273">
    <w:abstractNumId w:val="13"/>
  </w:num>
  <w:num w:numId="9" w16cid:durableId="1667244473">
    <w:abstractNumId w:val="16"/>
  </w:num>
  <w:num w:numId="10" w16cid:durableId="1251232769">
    <w:abstractNumId w:val="21"/>
  </w:num>
  <w:num w:numId="11" w16cid:durableId="579214440">
    <w:abstractNumId w:val="1"/>
  </w:num>
  <w:num w:numId="12" w16cid:durableId="916669251">
    <w:abstractNumId w:val="19"/>
  </w:num>
  <w:num w:numId="13" w16cid:durableId="327944036">
    <w:abstractNumId w:val="6"/>
  </w:num>
  <w:num w:numId="14" w16cid:durableId="1722247700">
    <w:abstractNumId w:val="7"/>
  </w:num>
  <w:num w:numId="15" w16cid:durableId="217325516">
    <w:abstractNumId w:val="11"/>
  </w:num>
  <w:num w:numId="16" w16cid:durableId="689452738">
    <w:abstractNumId w:val="2"/>
  </w:num>
  <w:num w:numId="17" w16cid:durableId="219441658">
    <w:abstractNumId w:val="18"/>
  </w:num>
  <w:num w:numId="18" w16cid:durableId="1742563354">
    <w:abstractNumId w:val="17"/>
  </w:num>
  <w:num w:numId="19" w16cid:durableId="1472602527">
    <w:abstractNumId w:val="4"/>
  </w:num>
  <w:num w:numId="20" w16cid:durableId="262618346">
    <w:abstractNumId w:val="15"/>
  </w:num>
  <w:num w:numId="21" w16cid:durableId="927277912">
    <w:abstractNumId w:val="5"/>
  </w:num>
  <w:num w:numId="22" w16cid:durableId="1524636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1D"/>
    <w:rsid w:val="0000255A"/>
    <w:rsid w:val="000053EB"/>
    <w:rsid w:val="000134A9"/>
    <w:rsid w:val="00026DE7"/>
    <w:rsid w:val="0003768A"/>
    <w:rsid w:val="00052E95"/>
    <w:rsid w:val="00055A74"/>
    <w:rsid w:val="00062671"/>
    <w:rsid w:val="000655F1"/>
    <w:rsid w:val="00072F7D"/>
    <w:rsid w:val="00074EF4"/>
    <w:rsid w:val="00094816"/>
    <w:rsid w:val="000A4E6C"/>
    <w:rsid w:val="000C0716"/>
    <w:rsid w:val="000C1377"/>
    <w:rsid w:val="000C2157"/>
    <w:rsid w:val="000D079C"/>
    <w:rsid w:val="000D79CA"/>
    <w:rsid w:val="000E373F"/>
    <w:rsid w:val="000F6E91"/>
    <w:rsid w:val="00103E28"/>
    <w:rsid w:val="00106ECE"/>
    <w:rsid w:val="001074F3"/>
    <w:rsid w:val="00114E12"/>
    <w:rsid w:val="0011720B"/>
    <w:rsid w:val="00130820"/>
    <w:rsid w:val="00132080"/>
    <w:rsid w:val="00140122"/>
    <w:rsid w:val="00140C07"/>
    <w:rsid w:val="00147A5D"/>
    <w:rsid w:val="001537E4"/>
    <w:rsid w:val="0016011B"/>
    <w:rsid w:val="001639DF"/>
    <w:rsid w:val="001751AA"/>
    <w:rsid w:val="00187EC7"/>
    <w:rsid w:val="001B0752"/>
    <w:rsid w:val="001B127B"/>
    <w:rsid w:val="001B7015"/>
    <w:rsid w:val="001D2352"/>
    <w:rsid w:val="001D3EDA"/>
    <w:rsid w:val="001D5641"/>
    <w:rsid w:val="001E0B6D"/>
    <w:rsid w:val="001E28DA"/>
    <w:rsid w:val="001E5B5E"/>
    <w:rsid w:val="001E6338"/>
    <w:rsid w:val="001E6C4F"/>
    <w:rsid w:val="001F4B37"/>
    <w:rsid w:val="001F4D34"/>
    <w:rsid w:val="001F73A6"/>
    <w:rsid w:val="00204F0E"/>
    <w:rsid w:val="0022168B"/>
    <w:rsid w:val="002219C3"/>
    <w:rsid w:val="00231639"/>
    <w:rsid w:val="002410BD"/>
    <w:rsid w:val="002636A6"/>
    <w:rsid w:val="00274EF8"/>
    <w:rsid w:val="0028386E"/>
    <w:rsid w:val="00293C56"/>
    <w:rsid w:val="002943DE"/>
    <w:rsid w:val="002A3DA3"/>
    <w:rsid w:val="002B7EAF"/>
    <w:rsid w:val="002C26C8"/>
    <w:rsid w:val="002C288B"/>
    <w:rsid w:val="002D2721"/>
    <w:rsid w:val="002D4081"/>
    <w:rsid w:val="002E4EEA"/>
    <w:rsid w:val="00305BB9"/>
    <w:rsid w:val="00306473"/>
    <w:rsid w:val="00323799"/>
    <w:rsid w:val="00340AFB"/>
    <w:rsid w:val="003436F4"/>
    <w:rsid w:val="00351239"/>
    <w:rsid w:val="00357FC6"/>
    <w:rsid w:val="0036077A"/>
    <w:rsid w:val="003647EB"/>
    <w:rsid w:val="003737E5"/>
    <w:rsid w:val="00377245"/>
    <w:rsid w:val="003776DF"/>
    <w:rsid w:val="00390035"/>
    <w:rsid w:val="003C51CC"/>
    <w:rsid w:val="003C7048"/>
    <w:rsid w:val="003C7DCF"/>
    <w:rsid w:val="003D39D4"/>
    <w:rsid w:val="003D3CEB"/>
    <w:rsid w:val="003D450F"/>
    <w:rsid w:val="003D64CE"/>
    <w:rsid w:val="003E2386"/>
    <w:rsid w:val="003E60E8"/>
    <w:rsid w:val="003F37EC"/>
    <w:rsid w:val="003F7445"/>
    <w:rsid w:val="00400E95"/>
    <w:rsid w:val="00400F0C"/>
    <w:rsid w:val="004151DA"/>
    <w:rsid w:val="0041728C"/>
    <w:rsid w:val="00420DB0"/>
    <w:rsid w:val="0042167B"/>
    <w:rsid w:val="0042611A"/>
    <w:rsid w:val="004264CF"/>
    <w:rsid w:val="004473E7"/>
    <w:rsid w:val="0049220D"/>
    <w:rsid w:val="004A3F52"/>
    <w:rsid w:val="004B3866"/>
    <w:rsid w:val="004C27D5"/>
    <w:rsid w:val="004C4117"/>
    <w:rsid w:val="004D62D5"/>
    <w:rsid w:val="004E169B"/>
    <w:rsid w:val="004F231E"/>
    <w:rsid w:val="004F66FE"/>
    <w:rsid w:val="004F6F2A"/>
    <w:rsid w:val="004F7156"/>
    <w:rsid w:val="004F71FA"/>
    <w:rsid w:val="0050075C"/>
    <w:rsid w:val="00513872"/>
    <w:rsid w:val="00515985"/>
    <w:rsid w:val="00521B35"/>
    <w:rsid w:val="00524351"/>
    <w:rsid w:val="00546459"/>
    <w:rsid w:val="005660EF"/>
    <w:rsid w:val="0056690A"/>
    <w:rsid w:val="00576585"/>
    <w:rsid w:val="00581D95"/>
    <w:rsid w:val="0058797D"/>
    <w:rsid w:val="00595516"/>
    <w:rsid w:val="005A788D"/>
    <w:rsid w:val="005B6B5A"/>
    <w:rsid w:val="005B6D82"/>
    <w:rsid w:val="005E063C"/>
    <w:rsid w:val="005E323F"/>
    <w:rsid w:val="005F1F62"/>
    <w:rsid w:val="005F40D1"/>
    <w:rsid w:val="00601617"/>
    <w:rsid w:val="00602F27"/>
    <w:rsid w:val="006109A2"/>
    <w:rsid w:val="00610EE5"/>
    <w:rsid w:val="0061642C"/>
    <w:rsid w:val="00624485"/>
    <w:rsid w:val="006259E7"/>
    <w:rsid w:val="00634B28"/>
    <w:rsid w:val="00635F77"/>
    <w:rsid w:val="006424CE"/>
    <w:rsid w:val="006444DC"/>
    <w:rsid w:val="00644EA2"/>
    <w:rsid w:val="006471CA"/>
    <w:rsid w:val="00650605"/>
    <w:rsid w:val="00651560"/>
    <w:rsid w:val="00652A0E"/>
    <w:rsid w:val="00663B39"/>
    <w:rsid w:val="006814C1"/>
    <w:rsid w:val="00684830"/>
    <w:rsid w:val="006915C8"/>
    <w:rsid w:val="006A28A7"/>
    <w:rsid w:val="006A2C99"/>
    <w:rsid w:val="006C42E3"/>
    <w:rsid w:val="006D260F"/>
    <w:rsid w:val="006D5470"/>
    <w:rsid w:val="006D77B7"/>
    <w:rsid w:val="006E0BC7"/>
    <w:rsid w:val="006E35C4"/>
    <w:rsid w:val="006E581D"/>
    <w:rsid w:val="006F78C5"/>
    <w:rsid w:val="006F78F6"/>
    <w:rsid w:val="00715C7C"/>
    <w:rsid w:val="00720E0F"/>
    <w:rsid w:val="00721CE6"/>
    <w:rsid w:val="00725CFB"/>
    <w:rsid w:val="00755AE9"/>
    <w:rsid w:val="00762097"/>
    <w:rsid w:val="0076591D"/>
    <w:rsid w:val="0077474F"/>
    <w:rsid w:val="00777067"/>
    <w:rsid w:val="007873CB"/>
    <w:rsid w:val="00793263"/>
    <w:rsid w:val="00795B50"/>
    <w:rsid w:val="007A7E3B"/>
    <w:rsid w:val="007B6770"/>
    <w:rsid w:val="007C5D0C"/>
    <w:rsid w:val="007D0198"/>
    <w:rsid w:val="007D2886"/>
    <w:rsid w:val="007E121C"/>
    <w:rsid w:val="00810DD1"/>
    <w:rsid w:val="0081516A"/>
    <w:rsid w:val="0081609D"/>
    <w:rsid w:val="00825408"/>
    <w:rsid w:val="00840888"/>
    <w:rsid w:val="008450BA"/>
    <w:rsid w:val="00846493"/>
    <w:rsid w:val="00855BBB"/>
    <w:rsid w:val="008576CD"/>
    <w:rsid w:val="00862709"/>
    <w:rsid w:val="00866F31"/>
    <w:rsid w:val="00876E40"/>
    <w:rsid w:val="008827B5"/>
    <w:rsid w:val="008834C9"/>
    <w:rsid w:val="00885756"/>
    <w:rsid w:val="008919B1"/>
    <w:rsid w:val="008926BA"/>
    <w:rsid w:val="00894AEA"/>
    <w:rsid w:val="008A0E3B"/>
    <w:rsid w:val="008B0290"/>
    <w:rsid w:val="008B516F"/>
    <w:rsid w:val="008C7777"/>
    <w:rsid w:val="008D3643"/>
    <w:rsid w:val="008D669D"/>
    <w:rsid w:val="008E0BB1"/>
    <w:rsid w:val="008E3059"/>
    <w:rsid w:val="008E310A"/>
    <w:rsid w:val="008E543D"/>
    <w:rsid w:val="008E6FDC"/>
    <w:rsid w:val="008F3C98"/>
    <w:rsid w:val="00903F14"/>
    <w:rsid w:val="00924F9B"/>
    <w:rsid w:val="0093353D"/>
    <w:rsid w:val="00935E73"/>
    <w:rsid w:val="009416FC"/>
    <w:rsid w:val="00941A85"/>
    <w:rsid w:val="009428E7"/>
    <w:rsid w:val="00947B88"/>
    <w:rsid w:val="00947E27"/>
    <w:rsid w:val="00951123"/>
    <w:rsid w:val="009642E2"/>
    <w:rsid w:val="00965597"/>
    <w:rsid w:val="0096737A"/>
    <w:rsid w:val="0096749B"/>
    <w:rsid w:val="0097554D"/>
    <w:rsid w:val="00975A48"/>
    <w:rsid w:val="00986A69"/>
    <w:rsid w:val="00986CE9"/>
    <w:rsid w:val="0099081A"/>
    <w:rsid w:val="009949E6"/>
    <w:rsid w:val="009A3F06"/>
    <w:rsid w:val="009A60DE"/>
    <w:rsid w:val="009B5598"/>
    <w:rsid w:val="009C2C2A"/>
    <w:rsid w:val="009C7028"/>
    <w:rsid w:val="009C7724"/>
    <w:rsid w:val="009E2340"/>
    <w:rsid w:val="009E5BFB"/>
    <w:rsid w:val="00A047E0"/>
    <w:rsid w:val="00A11A0A"/>
    <w:rsid w:val="00A3199D"/>
    <w:rsid w:val="00A32320"/>
    <w:rsid w:val="00A33731"/>
    <w:rsid w:val="00A35B2F"/>
    <w:rsid w:val="00A4344E"/>
    <w:rsid w:val="00A452C4"/>
    <w:rsid w:val="00A4733F"/>
    <w:rsid w:val="00A51257"/>
    <w:rsid w:val="00A713D0"/>
    <w:rsid w:val="00A729C1"/>
    <w:rsid w:val="00A73B94"/>
    <w:rsid w:val="00A77314"/>
    <w:rsid w:val="00A83EAA"/>
    <w:rsid w:val="00A859DD"/>
    <w:rsid w:val="00A90B2C"/>
    <w:rsid w:val="00AB7BE7"/>
    <w:rsid w:val="00AC09A4"/>
    <w:rsid w:val="00AC0D35"/>
    <w:rsid w:val="00AD77DA"/>
    <w:rsid w:val="00AE38A7"/>
    <w:rsid w:val="00AE686D"/>
    <w:rsid w:val="00AE68A1"/>
    <w:rsid w:val="00AE7395"/>
    <w:rsid w:val="00AF0BE1"/>
    <w:rsid w:val="00AF33EC"/>
    <w:rsid w:val="00AF745B"/>
    <w:rsid w:val="00B106FF"/>
    <w:rsid w:val="00B108D1"/>
    <w:rsid w:val="00B13B52"/>
    <w:rsid w:val="00B2019C"/>
    <w:rsid w:val="00B2400C"/>
    <w:rsid w:val="00B32E16"/>
    <w:rsid w:val="00B459E4"/>
    <w:rsid w:val="00B47F66"/>
    <w:rsid w:val="00B70B77"/>
    <w:rsid w:val="00B74799"/>
    <w:rsid w:val="00B75FC0"/>
    <w:rsid w:val="00B83A21"/>
    <w:rsid w:val="00BA0062"/>
    <w:rsid w:val="00BA7D2F"/>
    <w:rsid w:val="00BB5EE4"/>
    <w:rsid w:val="00BC2677"/>
    <w:rsid w:val="00BC3B90"/>
    <w:rsid w:val="00BD2AF8"/>
    <w:rsid w:val="00BE052F"/>
    <w:rsid w:val="00BE2BE2"/>
    <w:rsid w:val="00C123BA"/>
    <w:rsid w:val="00C16E2D"/>
    <w:rsid w:val="00C4029C"/>
    <w:rsid w:val="00C42511"/>
    <w:rsid w:val="00C66313"/>
    <w:rsid w:val="00C871DD"/>
    <w:rsid w:val="00C93C40"/>
    <w:rsid w:val="00CA3201"/>
    <w:rsid w:val="00CA3250"/>
    <w:rsid w:val="00CC2BC5"/>
    <w:rsid w:val="00CD3065"/>
    <w:rsid w:val="00CD79BF"/>
    <w:rsid w:val="00CE05C9"/>
    <w:rsid w:val="00CE7819"/>
    <w:rsid w:val="00CF0BE4"/>
    <w:rsid w:val="00D06180"/>
    <w:rsid w:val="00D108F8"/>
    <w:rsid w:val="00D14428"/>
    <w:rsid w:val="00D2390C"/>
    <w:rsid w:val="00D32AF1"/>
    <w:rsid w:val="00D440B0"/>
    <w:rsid w:val="00D536B0"/>
    <w:rsid w:val="00D5641D"/>
    <w:rsid w:val="00D60704"/>
    <w:rsid w:val="00D77BF5"/>
    <w:rsid w:val="00D83D58"/>
    <w:rsid w:val="00D84909"/>
    <w:rsid w:val="00D87B94"/>
    <w:rsid w:val="00D919BA"/>
    <w:rsid w:val="00DA11A5"/>
    <w:rsid w:val="00DA138D"/>
    <w:rsid w:val="00DA5768"/>
    <w:rsid w:val="00DB5704"/>
    <w:rsid w:val="00DD0331"/>
    <w:rsid w:val="00DD44F1"/>
    <w:rsid w:val="00DF1F09"/>
    <w:rsid w:val="00DF70F8"/>
    <w:rsid w:val="00E11511"/>
    <w:rsid w:val="00E22CF3"/>
    <w:rsid w:val="00E510BC"/>
    <w:rsid w:val="00E51C1D"/>
    <w:rsid w:val="00E613E9"/>
    <w:rsid w:val="00E73D26"/>
    <w:rsid w:val="00E76967"/>
    <w:rsid w:val="00E915EA"/>
    <w:rsid w:val="00E9338B"/>
    <w:rsid w:val="00EA0C2E"/>
    <w:rsid w:val="00EA200C"/>
    <w:rsid w:val="00EB1B6B"/>
    <w:rsid w:val="00EB68E6"/>
    <w:rsid w:val="00EC270A"/>
    <w:rsid w:val="00EC665B"/>
    <w:rsid w:val="00ED4899"/>
    <w:rsid w:val="00EE2E4C"/>
    <w:rsid w:val="00EE3D04"/>
    <w:rsid w:val="00EF1273"/>
    <w:rsid w:val="00F02A07"/>
    <w:rsid w:val="00F07D0F"/>
    <w:rsid w:val="00F13AEC"/>
    <w:rsid w:val="00F14DF1"/>
    <w:rsid w:val="00F23850"/>
    <w:rsid w:val="00F2537D"/>
    <w:rsid w:val="00F27441"/>
    <w:rsid w:val="00F33C56"/>
    <w:rsid w:val="00F3401B"/>
    <w:rsid w:val="00F41586"/>
    <w:rsid w:val="00F447A1"/>
    <w:rsid w:val="00F46745"/>
    <w:rsid w:val="00F47F78"/>
    <w:rsid w:val="00F54873"/>
    <w:rsid w:val="00F56DC3"/>
    <w:rsid w:val="00F6013C"/>
    <w:rsid w:val="00F629CC"/>
    <w:rsid w:val="00F656CC"/>
    <w:rsid w:val="00F677DF"/>
    <w:rsid w:val="00F7175D"/>
    <w:rsid w:val="00F727DE"/>
    <w:rsid w:val="00F75343"/>
    <w:rsid w:val="00F77CAC"/>
    <w:rsid w:val="00F8346B"/>
    <w:rsid w:val="00F92E71"/>
    <w:rsid w:val="00FA36D5"/>
    <w:rsid w:val="00FA52F5"/>
    <w:rsid w:val="00FB2635"/>
    <w:rsid w:val="00FB53CD"/>
    <w:rsid w:val="00FC0086"/>
    <w:rsid w:val="00FF2413"/>
    <w:rsid w:val="2C050C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562E"/>
  <w15:chartTrackingRefBased/>
  <w15:docId w15:val="{73A78A49-7F7D-48A3-ACA3-F8C93EAA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41D"/>
    <w:rPr>
      <w:rFonts w:eastAsiaTheme="majorEastAsia" w:cstheme="majorBidi"/>
      <w:color w:val="272727" w:themeColor="text1" w:themeTint="D8"/>
    </w:rPr>
  </w:style>
  <w:style w:type="paragraph" w:styleId="Title">
    <w:name w:val="Title"/>
    <w:basedOn w:val="Normal"/>
    <w:next w:val="Normal"/>
    <w:link w:val="TitleChar"/>
    <w:uiPriority w:val="10"/>
    <w:qFormat/>
    <w:rsid w:val="00D56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41D"/>
    <w:pPr>
      <w:spacing w:before="160"/>
      <w:jc w:val="center"/>
    </w:pPr>
    <w:rPr>
      <w:i/>
      <w:iCs/>
      <w:color w:val="404040" w:themeColor="text1" w:themeTint="BF"/>
    </w:rPr>
  </w:style>
  <w:style w:type="character" w:customStyle="1" w:styleId="QuoteChar">
    <w:name w:val="Quote Char"/>
    <w:basedOn w:val="DefaultParagraphFont"/>
    <w:link w:val="Quote"/>
    <w:uiPriority w:val="29"/>
    <w:rsid w:val="00D5641D"/>
    <w:rPr>
      <w:i/>
      <w:iCs/>
      <w:color w:val="404040" w:themeColor="text1" w:themeTint="BF"/>
    </w:rPr>
  </w:style>
  <w:style w:type="paragraph" w:styleId="ListParagraph">
    <w:name w:val="List Paragraph"/>
    <w:basedOn w:val="Normal"/>
    <w:uiPriority w:val="34"/>
    <w:qFormat/>
    <w:rsid w:val="00D5641D"/>
    <w:pPr>
      <w:ind w:left="720"/>
      <w:contextualSpacing/>
    </w:pPr>
  </w:style>
  <w:style w:type="character" w:styleId="IntenseEmphasis">
    <w:name w:val="Intense Emphasis"/>
    <w:basedOn w:val="DefaultParagraphFont"/>
    <w:uiPriority w:val="21"/>
    <w:qFormat/>
    <w:rsid w:val="00D5641D"/>
    <w:rPr>
      <w:i/>
      <w:iCs/>
      <w:color w:val="0F4761" w:themeColor="accent1" w:themeShade="BF"/>
    </w:rPr>
  </w:style>
  <w:style w:type="paragraph" w:styleId="IntenseQuote">
    <w:name w:val="Intense Quote"/>
    <w:basedOn w:val="Normal"/>
    <w:next w:val="Normal"/>
    <w:link w:val="IntenseQuoteChar"/>
    <w:uiPriority w:val="30"/>
    <w:qFormat/>
    <w:rsid w:val="00D56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41D"/>
    <w:rPr>
      <w:i/>
      <w:iCs/>
      <w:color w:val="0F4761" w:themeColor="accent1" w:themeShade="BF"/>
    </w:rPr>
  </w:style>
  <w:style w:type="character" w:styleId="IntenseReference">
    <w:name w:val="Intense Reference"/>
    <w:basedOn w:val="DefaultParagraphFont"/>
    <w:uiPriority w:val="32"/>
    <w:qFormat/>
    <w:rsid w:val="00D5641D"/>
    <w:rPr>
      <w:b/>
      <w:bCs/>
      <w:smallCaps/>
      <w:color w:val="0F4761" w:themeColor="accent1" w:themeShade="BF"/>
      <w:spacing w:val="5"/>
    </w:rPr>
  </w:style>
  <w:style w:type="character" w:styleId="Hyperlink">
    <w:name w:val="Hyperlink"/>
    <w:basedOn w:val="DefaultParagraphFont"/>
    <w:uiPriority w:val="99"/>
    <w:unhideWhenUsed/>
    <w:rsid w:val="004F7156"/>
    <w:rPr>
      <w:color w:val="467886" w:themeColor="hyperlink"/>
      <w:u w:val="single"/>
    </w:rPr>
  </w:style>
  <w:style w:type="character" w:styleId="UnresolvedMention">
    <w:name w:val="Unresolved Mention"/>
    <w:basedOn w:val="DefaultParagraphFont"/>
    <w:uiPriority w:val="99"/>
    <w:semiHidden/>
    <w:unhideWhenUsed/>
    <w:rsid w:val="004F7156"/>
    <w:rPr>
      <w:color w:val="605E5C"/>
      <w:shd w:val="clear" w:color="auto" w:fill="E1DFDD"/>
    </w:rPr>
  </w:style>
  <w:style w:type="character" w:styleId="PlaceholderText">
    <w:name w:val="Placeholder Text"/>
    <w:basedOn w:val="DefaultParagraphFont"/>
    <w:uiPriority w:val="99"/>
    <w:semiHidden/>
    <w:rsid w:val="00FB26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66718">
      <w:bodyDiv w:val="1"/>
      <w:marLeft w:val="0"/>
      <w:marRight w:val="0"/>
      <w:marTop w:val="0"/>
      <w:marBottom w:val="0"/>
      <w:divBdr>
        <w:top w:val="none" w:sz="0" w:space="0" w:color="auto"/>
        <w:left w:val="none" w:sz="0" w:space="0" w:color="auto"/>
        <w:bottom w:val="none" w:sz="0" w:space="0" w:color="auto"/>
        <w:right w:val="none" w:sz="0" w:space="0" w:color="auto"/>
      </w:divBdr>
    </w:div>
    <w:div w:id="1919829333">
      <w:bodyDiv w:val="1"/>
      <w:marLeft w:val="0"/>
      <w:marRight w:val="0"/>
      <w:marTop w:val="0"/>
      <w:marBottom w:val="0"/>
      <w:divBdr>
        <w:top w:val="none" w:sz="0" w:space="0" w:color="auto"/>
        <w:left w:val="none" w:sz="0" w:space="0" w:color="auto"/>
        <w:bottom w:val="none" w:sz="0" w:space="0" w:color="auto"/>
        <w:right w:val="none" w:sz="0" w:space="0" w:color="auto"/>
      </w:divBdr>
    </w:div>
    <w:div w:id="1929075851">
      <w:bodyDiv w:val="1"/>
      <w:marLeft w:val="0"/>
      <w:marRight w:val="0"/>
      <w:marTop w:val="0"/>
      <w:marBottom w:val="0"/>
      <w:divBdr>
        <w:top w:val="none" w:sz="0" w:space="0" w:color="auto"/>
        <w:left w:val="none" w:sz="0" w:space="0" w:color="auto"/>
        <w:bottom w:val="none" w:sz="0" w:space="0" w:color="auto"/>
        <w:right w:val="none" w:sz="0" w:space="0" w:color="auto"/>
      </w:divBdr>
    </w:div>
    <w:div w:id="19503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ne.gov.co/files/operaciones/ECV/bol-ECV-2024.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funcionpublica.gov.co/eva/gestornormativo/norma.php?i=205943" TargetMode="External"/><Relationship Id="rId2" Type="http://schemas.openxmlformats.org/officeDocument/2006/relationships/styles" Target="styles.xml"/><Relationship Id="rId16" Type="http://schemas.openxmlformats.org/officeDocument/2006/relationships/hyperlink" Target="https://www.aeaweb.org/articles?id=10.1257/aer.2015057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hyperlink" Target="https://www.minvivienda.gov.co/sala-de-prensa/cifra-record-de-reduccion-del-deficit-habitacional-para-2024"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camacol.co/sites/default/files/descargables/Datos%20que%20construyen%20-%2028abr2025.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bfa145a44d26729/Datos%20adjuntos/Universidad%20de%20los%20Andes/IV/Econ%20Social/Trabajo%20Final/TF_Base_de_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bfa145a44d26729/Datos%20adjuntos/Universidad%20de%20los%20Andes/IV/Econ%20Social/Trabajo%20Final/TF_Base_de_Dat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[Book1]Sheet3!PivotTable64</c:name>
    <c:fmtId val="-1"/>
  </c:pivotSource>
  <c:chart>
    <c:autoTitleDeleted val="0"/>
    <c:pivotFmts>
      <c:pivotFmt>
        <c:idx val="0"/>
        <c:spPr>
          <a:solidFill>
            <a:schemeClr val="accent4"/>
          </a:solidFill>
          <a:ln w="28575" cap="rnd">
            <a:solidFill>
              <a:schemeClr val="accent4"/>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w="28575" cap="rnd">
            <a:solidFill>
              <a:schemeClr val="accent4"/>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4"/>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5"/>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6"/>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7"/>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8"/>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9"/>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10"/>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11"/>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12"/>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4"/>
          </a:solidFill>
          <a:ln w="28575" cap="rnd">
            <a:solidFill>
              <a:schemeClr val="accent4"/>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23"/>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25"/>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27"/>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3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3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34"/>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4"/>
          </a:solidFill>
          <a:ln w="28575" cap="rnd">
            <a:solidFill>
              <a:schemeClr val="accent4"/>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38"/>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40"/>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4"/>
          </a:solidFill>
          <a:ln w="28575" cap="rnd">
            <a:solidFill>
              <a:schemeClr val="accent4"/>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43"/>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45"/>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4"/>
          </a:solidFill>
          <a:ln w="28575" cap="rnd">
            <a:noFill/>
            <a:round/>
          </a:ln>
          <a:effectLst/>
        </c:spPr>
        <c:marker>
          <c:symbol val="circle"/>
          <c:size val="5"/>
          <c:spPr>
            <a:solidFill>
              <a:schemeClr val="accent4">
                <a:tint val="65000"/>
              </a:schemeClr>
            </a:solidFill>
            <a:ln w="9525">
              <a:solidFill>
                <a:schemeClr val="accent4">
                  <a:tint val="65000"/>
                </a:schemeClr>
              </a:solidFill>
            </a:ln>
            <a:effectLst/>
          </c:spPr>
        </c:marker>
      </c:pivotFmt>
      <c:pivotFmt>
        <c:idx val="47"/>
        <c:spPr>
          <a:solidFill>
            <a:schemeClr val="accent4"/>
          </a:solidFill>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Lbl>
          <c:idx val="0"/>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50"/>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52"/>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4"/>
          </a:solidFill>
          <a:ln w="28575" cap="rnd">
            <a:noFill/>
            <a:round/>
          </a:ln>
          <a:effectLst/>
        </c:spPr>
        <c:marker>
          <c:symbol val="circle"/>
          <c:size val="5"/>
          <c:spPr>
            <a:solidFill>
              <a:schemeClr val="accent4"/>
            </a:solidFill>
            <a:ln w="9525">
              <a:solidFill>
                <a:schemeClr val="accent4"/>
              </a:solidFill>
            </a:ln>
            <a:effectLst/>
          </c:spPr>
        </c:marker>
      </c:pivotFmt>
      <c:pivotFmt>
        <c:idx val="54"/>
        <c:spPr>
          <a:solidFill>
            <a:schemeClr val="accent4"/>
          </a:solidFill>
          <a:ln w="28575" cap="rnd">
            <a:solidFill>
              <a:schemeClr val="accent4"/>
            </a:solidFill>
            <a:round/>
          </a:ln>
          <a:effectLst/>
        </c:spPr>
        <c:marker>
          <c:symbol val="circle"/>
          <c:size val="5"/>
          <c:spPr>
            <a:solidFill>
              <a:schemeClr val="accent4"/>
            </a:solidFill>
            <a:ln w="9525">
              <a:solidFill>
                <a:schemeClr val="accent4"/>
              </a:solidFill>
            </a:ln>
            <a:effectLst/>
          </c:spPr>
        </c:marker>
        <c:dLbl>
          <c:idx val="0"/>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4"/>
          </a:solidFill>
          <a:ln w="28575" cap="rnd">
            <a:solidFill>
              <a:schemeClr val="accent4"/>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58"/>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4"/>
          </a:solidFill>
          <a:ln w="28575" cap="rnd">
            <a:noFill/>
            <a:round/>
          </a:ln>
          <a:effectLst/>
        </c:spPr>
        <c:marker>
          <c:symbol val="circle"/>
          <c:size val="5"/>
          <c:spPr>
            <a:solidFill>
              <a:schemeClr val="accent4">
                <a:shade val="65000"/>
              </a:schemeClr>
            </a:solidFill>
            <a:ln w="9525">
              <a:solidFill>
                <a:schemeClr val="accent4">
                  <a:shade val="65000"/>
                </a:schemeClr>
              </a:solidFill>
            </a:ln>
            <a:effectLst/>
          </c:spPr>
        </c:marker>
      </c:pivotFmt>
      <c:pivotFmt>
        <c:idx val="60"/>
        <c:spPr>
          <a:solidFill>
            <a:schemeClr val="accent4"/>
          </a:solidFill>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Lbl>
          <c:idx val="0"/>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Sheet3!$B$3</c:f>
              <c:strCache>
                <c:ptCount val="1"/>
                <c:pt idx="0">
                  <c:v>Total </c:v>
                </c:pt>
              </c:strCache>
            </c:strRef>
          </c:tx>
          <c:spPr>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dPt>
            <c:idx val="0"/>
            <c:marker>
              <c:symbol val="circle"/>
              <c:size val="5"/>
              <c:spPr>
                <a:solidFill>
                  <a:schemeClr val="accent4">
                    <a:tint val="65000"/>
                  </a:schemeClr>
                </a:solidFill>
                <a:ln w="9525">
                  <a:solidFill>
                    <a:schemeClr val="accent4">
                      <a:tint val="65000"/>
                    </a:schemeClr>
                  </a:solidFill>
                </a:ln>
                <a:effectLst/>
              </c:spPr>
            </c:marker>
            <c:bubble3D val="0"/>
            <c:spPr>
              <a:ln w="28575" cap="rnd">
                <a:noFill/>
                <a:round/>
              </a:ln>
              <a:effectLst/>
            </c:spPr>
            <c:extLst>
              <c:ext xmlns:c16="http://schemas.microsoft.com/office/drawing/2014/chart" uri="{C3380CC4-5D6E-409C-BE32-E72D297353CC}">
                <c16:uniqueId val="{00000001-DBFB-4DF8-80B5-D010CAC240E1}"/>
              </c:ext>
            </c:extLst>
          </c:dPt>
          <c:dPt>
            <c:idx val="6"/>
            <c:marker>
              <c:symbol val="circle"/>
              <c:size val="5"/>
              <c:spPr>
                <a:solidFill>
                  <a:schemeClr val="accent4">
                    <a:tint val="65000"/>
                  </a:schemeClr>
                </a:solidFill>
                <a:ln w="9525">
                  <a:solidFill>
                    <a:schemeClr val="accent4">
                      <a:tint val="65000"/>
                    </a:schemeClr>
                  </a:solidFill>
                </a:ln>
                <a:effectLst/>
              </c:spPr>
            </c:marker>
            <c:bubble3D val="0"/>
            <c:spPr>
              <a:ln w="28575" cap="rnd">
                <a:noFill/>
                <a:round/>
              </a:ln>
              <a:effectLst/>
            </c:spPr>
            <c:extLst>
              <c:ext xmlns:c16="http://schemas.microsoft.com/office/drawing/2014/chart" uri="{C3380CC4-5D6E-409C-BE32-E72D297353CC}">
                <c16:uniqueId val="{00000003-DBFB-4DF8-80B5-D010CAC240E1}"/>
              </c:ext>
            </c:extLst>
          </c:dPt>
          <c:dPt>
            <c:idx val="12"/>
            <c:marker>
              <c:symbol val="circle"/>
              <c:size val="5"/>
              <c:spPr>
                <a:solidFill>
                  <a:schemeClr val="accent4">
                    <a:tint val="65000"/>
                  </a:schemeClr>
                </a:solidFill>
                <a:ln w="9525">
                  <a:solidFill>
                    <a:schemeClr val="accent4">
                      <a:tint val="65000"/>
                    </a:schemeClr>
                  </a:solidFill>
                </a:ln>
                <a:effectLst/>
              </c:spPr>
            </c:marker>
            <c:bubble3D val="0"/>
            <c:spPr>
              <a:ln w="28575" cap="rnd">
                <a:noFill/>
                <a:round/>
              </a:ln>
              <a:effectLst/>
            </c:spPr>
            <c:extLst>
              <c:ext xmlns:c16="http://schemas.microsoft.com/office/drawing/2014/chart" uri="{C3380CC4-5D6E-409C-BE32-E72D297353CC}">
                <c16:uniqueId val="{00000005-DBFB-4DF8-80B5-D010CAC240E1}"/>
              </c:ext>
            </c:extLst>
          </c:dPt>
          <c:dLbls>
            <c:dLbl>
              <c:idx val="5"/>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BFB-4DF8-80B5-D010CAC240E1}"/>
                </c:ext>
              </c:extLst>
            </c:dLbl>
            <c:dLbl>
              <c:idx val="1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BFB-4DF8-80B5-D010CAC240E1}"/>
                </c:ext>
              </c:extLst>
            </c:dLbl>
            <c:dLbl>
              <c:idx val="1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BFB-4DF8-80B5-D010CAC240E1}"/>
                </c:ext>
              </c:extLst>
            </c:dLbl>
            <c:spPr>
              <a:solidFill>
                <a:schemeClr val="tx2">
                  <a:lumMod val="25000"/>
                  <a:lumOff val="75000"/>
                </a:scheme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Sheet3!$A$4:$A$25</c:f>
              <c:multiLvlStrCache>
                <c:ptCount val="18"/>
                <c:lvl>
                  <c:pt idx="0">
                    <c:v>2019</c:v>
                  </c:pt>
                  <c:pt idx="1">
                    <c:v>2020</c:v>
                  </c:pt>
                  <c:pt idx="2">
                    <c:v>2021</c:v>
                  </c:pt>
                  <c:pt idx="3">
                    <c:v>2022</c:v>
                  </c:pt>
                  <c:pt idx="4">
                    <c:v>2023</c:v>
                  </c:pt>
                  <c:pt idx="5">
                    <c:v>2024</c:v>
                  </c:pt>
                  <c:pt idx="6">
                    <c:v>2019</c:v>
                  </c:pt>
                  <c:pt idx="7">
                    <c:v>2020</c:v>
                  </c:pt>
                  <c:pt idx="8">
                    <c:v>2021</c:v>
                  </c:pt>
                  <c:pt idx="9">
                    <c:v>2022</c:v>
                  </c:pt>
                  <c:pt idx="10">
                    <c:v>2023</c:v>
                  </c:pt>
                  <c:pt idx="11">
                    <c:v>2024</c:v>
                  </c:pt>
                  <c:pt idx="12">
                    <c:v>2019</c:v>
                  </c:pt>
                  <c:pt idx="13">
                    <c:v>2020</c:v>
                  </c:pt>
                  <c:pt idx="14">
                    <c:v>2021</c:v>
                  </c:pt>
                  <c:pt idx="15">
                    <c:v>2022</c:v>
                  </c:pt>
                  <c:pt idx="16">
                    <c:v>2023</c:v>
                  </c:pt>
                  <c:pt idx="17">
                    <c:v>2024</c:v>
                  </c:pt>
                </c:lvl>
                <c:lvl>
                  <c:pt idx="0">
                    <c:v>Habitacional</c:v>
                  </c:pt>
                  <c:pt idx="6">
                    <c:v>Cualitativo</c:v>
                  </c:pt>
                  <c:pt idx="12">
                    <c:v>Cuantitativo</c:v>
                  </c:pt>
                </c:lvl>
              </c:multiLvlStrCache>
            </c:multiLvlStrRef>
          </c:cat>
          <c:val>
            <c:numRef>
              <c:f>Sheet3!$B$4:$B$25</c:f>
              <c:numCache>
                <c:formatCode>0.00</c:formatCode>
                <c:ptCount val="18"/>
                <c:pt idx="0">
                  <c:v>32.792928199999999</c:v>
                </c:pt>
                <c:pt idx="1">
                  <c:v>31.398528599999999</c:v>
                </c:pt>
                <c:pt idx="2">
                  <c:v>30.990252000000002</c:v>
                </c:pt>
                <c:pt idx="3">
                  <c:v>30.401029399999999</c:v>
                </c:pt>
                <c:pt idx="4">
                  <c:v>28.866059140499999</c:v>
                </c:pt>
                <c:pt idx="5">
                  <c:v>26.8435935565</c:v>
                </c:pt>
                <c:pt idx="6">
                  <c:v>24.6117992</c:v>
                </c:pt>
                <c:pt idx="7">
                  <c:v>23.382763799999999</c:v>
                </c:pt>
                <c:pt idx="8">
                  <c:v>23.522615099999999</c:v>
                </c:pt>
                <c:pt idx="9">
                  <c:v>23.101554100000001</c:v>
                </c:pt>
                <c:pt idx="10">
                  <c:v>22.0960560925</c:v>
                </c:pt>
                <c:pt idx="11">
                  <c:v>20.027792998100001</c:v>
                </c:pt>
                <c:pt idx="12">
                  <c:v>8.1811290299999992</c:v>
                </c:pt>
                <c:pt idx="13">
                  <c:v>8.0157647599999997</c:v>
                </c:pt>
                <c:pt idx="14">
                  <c:v>7.4676369200000003</c:v>
                </c:pt>
                <c:pt idx="15">
                  <c:v>7.2994753299999999</c:v>
                </c:pt>
                <c:pt idx="16">
                  <c:v>6.7700030479000004</c:v>
                </c:pt>
                <c:pt idx="17">
                  <c:v>6.8158005585000003</c:v>
                </c:pt>
              </c:numCache>
            </c:numRef>
          </c:val>
          <c:smooth val="0"/>
          <c:extLst>
            <c:ext xmlns:c16="http://schemas.microsoft.com/office/drawing/2014/chart" uri="{C3380CC4-5D6E-409C-BE32-E72D297353CC}">
              <c16:uniqueId val="{00000009-DBFB-4DF8-80B5-D010CAC240E1}"/>
            </c:ext>
          </c:extLst>
        </c:ser>
        <c:ser>
          <c:idx val="1"/>
          <c:order val="1"/>
          <c:tx>
            <c:strRef>
              <c:f>Sheet3!$C$3</c:f>
              <c:strCache>
                <c:ptCount val="1"/>
                <c:pt idx="0">
                  <c:v>Cabeceras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Pt>
            <c:idx val="0"/>
            <c:marker>
              <c:symbol val="circle"/>
              <c:size val="5"/>
              <c:spPr>
                <a:solidFill>
                  <a:schemeClr val="accent4"/>
                </a:solidFill>
                <a:ln w="9525">
                  <a:solidFill>
                    <a:schemeClr val="accent4"/>
                  </a:solidFill>
                </a:ln>
                <a:effectLst/>
              </c:spPr>
            </c:marker>
            <c:bubble3D val="0"/>
            <c:spPr>
              <a:ln w="28575" cap="rnd">
                <a:noFill/>
                <a:round/>
              </a:ln>
              <a:effectLst/>
            </c:spPr>
            <c:extLst>
              <c:ext xmlns:c16="http://schemas.microsoft.com/office/drawing/2014/chart" uri="{C3380CC4-5D6E-409C-BE32-E72D297353CC}">
                <c16:uniqueId val="{0000000B-DBFB-4DF8-80B5-D010CAC240E1}"/>
              </c:ext>
            </c:extLst>
          </c:dPt>
          <c:dPt>
            <c:idx val="6"/>
            <c:marker>
              <c:symbol val="circle"/>
              <c:size val="5"/>
              <c:spPr>
                <a:solidFill>
                  <a:schemeClr val="accent4"/>
                </a:solidFill>
                <a:ln w="9525">
                  <a:solidFill>
                    <a:schemeClr val="accent4"/>
                  </a:solidFill>
                </a:ln>
                <a:effectLst/>
              </c:spPr>
            </c:marker>
            <c:bubble3D val="0"/>
            <c:spPr>
              <a:ln w="28575" cap="rnd">
                <a:noFill/>
                <a:round/>
              </a:ln>
              <a:effectLst/>
            </c:spPr>
            <c:extLst>
              <c:ext xmlns:c16="http://schemas.microsoft.com/office/drawing/2014/chart" uri="{C3380CC4-5D6E-409C-BE32-E72D297353CC}">
                <c16:uniqueId val="{0000000D-DBFB-4DF8-80B5-D010CAC240E1}"/>
              </c:ext>
            </c:extLst>
          </c:dPt>
          <c:dPt>
            <c:idx val="12"/>
            <c:marker>
              <c:symbol val="circle"/>
              <c:size val="5"/>
              <c:spPr>
                <a:solidFill>
                  <a:schemeClr val="accent4"/>
                </a:solidFill>
                <a:ln w="9525">
                  <a:solidFill>
                    <a:schemeClr val="accent4"/>
                  </a:solidFill>
                </a:ln>
                <a:effectLst/>
              </c:spPr>
            </c:marker>
            <c:bubble3D val="0"/>
            <c:spPr>
              <a:ln w="28575" cap="rnd">
                <a:noFill/>
                <a:round/>
              </a:ln>
              <a:effectLst/>
            </c:spPr>
            <c:extLst>
              <c:ext xmlns:c16="http://schemas.microsoft.com/office/drawing/2014/chart" uri="{C3380CC4-5D6E-409C-BE32-E72D297353CC}">
                <c16:uniqueId val="{0000000F-DBFB-4DF8-80B5-D010CAC240E1}"/>
              </c:ext>
            </c:extLst>
          </c:dPt>
          <c:dLbls>
            <c:dLbl>
              <c:idx val="5"/>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DBFB-4DF8-80B5-D010CAC240E1}"/>
                </c:ext>
              </c:extLst>
            </c:dLbl>
            <c:dLbl>
              <c:idx val="1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DBFB-4DF8-80B5-D010CAC240E1}"/>
                </c:ext>
              </c:extLst>
            </c:dLbl>
            <c:dLbl>
              <c:idx val="17"/>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DBFB-4DF8-80B5-D010CAC240E1}"/>
                </c:ext>
              </c:extLst>
            </c:dLbl>
            <c:spPr>
              <a:solidFill>
                <a:srgbClr val="00B0F0"/>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Sheet3!$A$4:$A$25</c:f>
              <c:multiLvlStrCache>
                <c:ptCount val="18"/>
                <c:lvl>
                  <c:pt idx="0">
                    <c:v>2019</c:v>
                  </c:pt>
                  <c:pt idx="1">
                    <c:v>2020</c:v>
                  </c:pt>
                  <c:pt idx="2">
                    <c:v>2021</c:v>
                  </c:pt>
                  <c:pt idx="3">
                    <c:v>2022</c:v>
                  </c:pt>
                  <c:pt idx="4">
                    <c:v>2023</c:v>
                  </c:pt>
                  <c:pt idx="5">
                    <c:v>2024</c:v>
                  </c:pt>
                  <c:pt idx="6">
                    <c:v>2019</c:v>
                  </c:pt>
                  <c:pt idx="7">
                    <c:v>2020</c:v>
                  </c:pt>
                  <c:pt idx="8">
                    <c:v>2021</c:v>
                  </c:pt>
                  <c:pt idx="9">
                    <c:v>2022</c:v>
                  </c:pt>
                  <c:pt idx="10">
                    <c:v>2023</c:v>
                  </c:pt>
                  <c:pt idx="11">
                    <c:v>2024</c:v>
                  </c:pt>
                  <c:pt idx="12">
                    <c:v>2019</c:v>
                  </c:pt>
                  <c:pt idx="13">
                    <c:v>2020</c:v>
                  </c:pt>
                  <c:pt idx="14">
                    <c:v>2021</c:v>
                  </c:pt>
                  <c:pt idx="15">
                    <c:v>2022</c:v>
                  </c:pt>
                  <c:pt idx="16">
                    <c:v>2023</c:v>
                  </c:pt>
                  <c:pt idx="17">
                    <c:v>2024</c:v>
                  </c:pt>
                </c:lvl>
                <c:lvl>
                  <c:pt idx="0">
                    <c:v>Habitacional</c:v>
                  </c:pt>
                  <c:pt idx="6">
                    <c:v>Cualitativo</c:v>
                  </c:pt>
                  <c:pt idx="12">
                    <c:v>Cuantitativo</c:v>
                  </c:pt>
                </c:lvl>
              </c:multiLvlStrCache>
            </c:multiLvlStrRef>
          </c:cat>
          <c:val>
            <c:numRef>
              <c:f>Sheet3!$C$4:$C$25</c:f>
              <c:numCache>
                <c:formatCode>0.00</c:formatCode>
                <c:ptCount val="18"/>
                <c:pt idx="0">
                  <c:v>21.5978937</c:v>
                </c:pt>
                <c:pt idx="1">
                  <c:v>21.6021857</c:v>
                </c:pt>
                <c:pt idx="2">
                  <c:v>20.382383300000001</c:v>
                </c:pt>
                <c:pt idx="3">
                  <c:v>20.5026321</c:v>
                </c:pt>
                <c:pt idx="4">
                  <c:v>19.572406866800002</c:v>
                </c:pt>
                <c:pt idx="5">
                  <c:v>17.2910104772</c:v>
                </c:pt>
                <c:pt idx="6">
                  <c:v>17.534175699999999</c:v>
                </c:pt>
                <c:pt idx="7">
                  <c:v>17.402425999999998</c:v>
                </c:pt>
                <c:pt idx="8">
                  <c:v>16.693263300000002</c:v>
                </c:pt>
                <c:pt idx="9">
                  <c:v>17.127818300000001</c:v>
                </c:pt>
                <c:pt idx="10">
                  <c:v>16.484508224599999</c:v>
                </c:pt>
                <c:pt idx="11">
                  <c:v>14.4868909975</c:v>
                </c:pt>
                <c:pt idx="12">
                  <c:v>4.0637180400000004</c:v>
                </c:pt>
                <c:pt idx="13">
                  <c:v>4.1997597799999999</c:v>
                </c:pt>
                <c:pt idx="14">
                  <c:v>3.6891200199999998</c:v>
                </c:pt>
                <c:pt idx="15">
                  <c:v>3.3748138600000002</c:v>
                </c:pt>
                <c:pt idx="16">
                  <c:v>3.0878986421999999</c:v>
                </c:pt>
                <c:pt idx="17">
                  <c:v>2.8041194797000002</c:v>
                </c:pt>
              </c:numCache>
            </c:numRef>
          </c:val>
          <c:smooth val="0"/>
          <c:extLst>
            <c:ext xmlns:c16="http://schemas.microsoft.com/office/drawing/2014/chart" uri="{C3380CC4-5D6E-409C-BE32-E72D297353CC}">
              <c16:uniqueId val="{00000013-DBFB-4DF8-80B5-D010CAC240E1}"/>
            </c:ext>
          </c:extLst>
        </c:ser>
        <c:ser>
          <c:idx val="2"/>
          <c:order val="2"/>
          <c:tx>
            <c:strRef>
              <c:f>Sheet3!$D$3</c:f>
              <c:strCache>
                <c:ptCount val="1"/>
                <c:pt idx="0">
                  <c:v>Centros poblados y rural disperso </c:v>
                </c:pt>
              </c:strCache>
            </c:strRef>
          </c:tx>
          <c:spPr>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dPt>
            <c:idx val="6"/>
            <c:marker>
              <c:symbol val="circle"/>
              <c:size val="5"/>
              <c:spPr>
                <a:solidFill>
                  <a:schemeClr val="accent4">
                    <a:shade val="65000"/>
                  </a:schemeClr>
                </a:solidFill>
                <a:ln w="9525">
                  <a:solidFill>
                    <a:schemeClr val="accent4">
                      <a:shade val="65000"/>
                    </a:schemeClr>
                  </a:solidFill>
                </a:ln>
                <a:effectLst/>
              </c:spPr>
            </c:marker>
            <c:bubble3D val="0"/>
            <c:spPr>
              <a:ln w="28575" cap="rnd">
                <a:noFill/>
                <a:round/>
              </a:ln>
              <a:effectLst/>
            </c:spPr>
            <c:extLst>
              <c:ext xmlns:c16="http://schemas.microsoft.com/office/drawing/2014/chart" uri="{C3380CC4-5D6E-409C-BE32-E72D297353CC}">
                <c16:uniqueId val="{00000015-DBFB-4DF8-80B5-D010CAC240E1}"/>
              </c:ext>
            </c:extLst>
          </c:dPt>
          <c:dPt>
            <c:idx val="12"/>
            <c:marker>
              <c:symbol val="circle"/>
              <c:size val="5"/>
              <c:spPr>
                <a:solidFill>
                  <a:schemeClr val="accent4">
                    <a:shade val="65000"/>
                  </a:schemeClr>
                </a:solidFill>
                <a:ln w="9525">
                  <a:solidFill>
                    <a:schemeClr val="accent4">
                      <a:shade val="65000"/>
                    </a:schemeClr>
                  </a:solidFill>
                </a:ln>
                <a:effectLst/>
              </c:spPr>
            </c:marker>
            <c:bubble3D val="0"/>
            <c:spPr>
              <a:ln w="28575" cap="rnd">
                <a:noFill/>
                <a:round/>
              </a:ln>
              <a:effectLst/>
            </c:spPr>
            <c:extLst>
              <c:ext xmlns:c16="http://schemas.microsoft.com/office/drawing/2014/chart" uri="{C3380CC4-5D6E-409C-BE32-E72D297353CC}">
                <c16:uniqueId val="{00000017-DBFB-4DF8-80B5-D010CAC240E1}"/>
              </c:ext>
            </c:extLst>
          </c:dPt>
          <c:dLbls>
            <c:dLbl>
              <c:idx val="5"/>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DBFB-4DF8-80B5-D010CAC240E1}"/>
                </c:ext>
              </c:extLst>
            </c:dLbl>
            <c:dLbl>
              <c:idx val="1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DBFB-4DF8-80B5-D010CAC240E1}"/>
                </c:ext>
              </c:extLst>
            </c:dLbl>
            <c:dLbl>
              <c:idx val="1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DBFB-4DF8-80B5-D010CAC240E1}"/>
                </c:ext>
              </c:extLst>
            </c:dLbl>
            <c:spPr>
              <a:solidFill>
                <a:schemeClr val="accent1"/>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Segoe UI" panose="020B0502040204020203" pitchFamily="34" charset="0"/>
                    <a:ea typeface="+mn-ea"/>
                    <a:cs typeface="Segoe UI" panose="020B0502040204020203"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Sheet3!$A$4:$A$25</c:f>
              <c:multiLvlStrCache>
                <c:ptCount val="18"/>
                <c:lvl>
                  <c:pt idx="0">
                    <c:v>2019</c:v>
                  </c:pt>
                  <c:pt idx="1">
                    <c:v>2020</c:v>
                  </c:pt>
                  <c:pt idx="2">
                    <c:v>2021</c:v>
                  </c:pt>
                  <c:pt idx="3">
                    <c:v>2022</c:v>
                  </c:pt>
                  <c:pt idx="4">
                    <c:v>2023</c:v>
                  </c:pt>
                  <c:pt idx="5">
                    <c:v>2024</c:v>
                  </c:pt>
                  <c:pt idx="6">
                    <c:v>2019</c:v>
                  </c:pt>
                  <c:pt idx="7">
                    <c:v>2020</c:v>
                  </c:pt>
                  <c:pt idx="8">
                    <c:v>2021</c:v>
                  </c:pt>
                  <c:pt idx="9">
                    <c:v>2022</c:v>
                  </c:pt>
                  <c:pt idx="10">
                    <c:v>2023</c:v>
                  </c:pt>
                  <c:pt idx="11">
                    <c:v>2024</c:v>
                  </c:pt>
                  <c:pt idx="12">
                    <c:v>2019</c:v>
                  </c:pt>
                  <c:pt idx="13">
                    <c:v>2020</c:v>
                  </c:pt>
                  <c:pt idx="14">
                    <c:v>2021</c:v>
                  </c:pt>
                  <c:pt idx="15">
                    <c:v>2022</c:v>
                  </c:pt>
                  <c:pt idx="16">
                    <c:v>2023</c:v>
                  </c:pt>
                  <c:pt idx="17">
                    <c:v>2024</c:v>
                  </c:pt>
                </c:lvl>
                <c:lvl>
                  <c:pt idx="0">
                    <c:v>Habitacional</c:v>
                  </c:pt>
                  <c:pt idx="6">
                    <c:v>Cualitativo</c:v>
                  </c:pt>
                  <c:pt idx="12">
                    <c:v>Cuantitativo</c:v>
                  </c:pt>
                </c:lvl>
              </c:multiLvlStrCache>
            </c:multiLvlStrRef>
          </c:cat>
          <c:val>
            <c:numRef>
              <c:f>Sheet3!$D$4:$D$25</c:f>
              <c:numCache>
                <c:formatCode>0.00</c:formatCode>
                <c:ptCount val="18"/>
                <c:pt idx="0">
                  <c:v>70.233281300000002</c:v>
                </c:pt>
                <c:pt idx="1">
                  <c:v>64.5460791</c:v>
                </c:pt>
                <c:pt idx="2">
                  <c:v>68.184967</c:v>
                </c:pt>
                <c:pt idx="3">
                  <c:v>65.486920799999993</c:v>
                </c:pt>
                <c:pt idx="4">
                  <c:v>62.066589958800002</c:v>
                </c:pt>
                <c:pt idx="5">
                  <c:v>61.203480023200001</c:v>
                </c:pt>
                <c:pt idx="6">
                  <c:v>48.282000799999999</c:v>
                </c:pt>
                <c:pt idx="7">
                  <c:v>43.618228700000003</c:v>
                </c:pt>
                <c:pt idx="8">
                  <c:v>47.468593400000003</c:v>
                </c:pt>
                <c:pt idx="9">
                  <c:v>44.276077600000001</c:v>
                </c:pt>
                <c:pt idx="10">
                  <c:v>42.142681729300001</c:v>
                </c:pt>
                <c:pt idx="11">
                  <c:v>39.957979637699999</c:v>
                </c:pt>
                <c:pt idx="12">
                  <c:v>21.951280499999999</c:v>
                </c:pt>
                <c:pt idx="13">
                  <c:v>20.927850400000001</c:v>
                </c:pt>
                <c:pt idx="14">
                  <c:v>20.716373600000001</c:v>
                </c:pt>
                <c:pt idx="15">
                  <c:v>21.210843199999999</c:v>
                </c:pt>
                <c:pt idx="16">
                  <c:v>19.9239082295</c:v>
                </c:pt>
                <c:pt idx="17">
                  <c:v>21.245500385500002</c:v>
                </c:pt>
              </c:numCache>
            </c:numRef>
          </c:val>
          <c:smooth val="0"/>
          <c:extLst>
            <c:ext xmlns:c16="http://schemas.microsoft.com/office/drawing/2014/chart" uri="{C3380CC4-5D6E-409C-BE32-E72D297353CC}">
              <c16:uniqueId val="{0000001B-DBFB-4DF8-80B5-D010CAC240E1}"/>
            </c:ext>
          </c:extLst>
        </c:ser>
        <c:dLbls>
          <c:showLegendKey val="0"/>
          <c:showVal val="0"/>
          <c:showCatName val="0"/>
          <c:showSerName val="0"/>
          <c:showPercent val="0"/>
          <c:showBubbleSize val="0"/>
        </c:dLbls>
        <c:marker val="1"/>
        <c:smooth val="0"/>
        <c:axId val="4246064"/>
        <c:axId val="1922039103"/>
      </c:lineChart>
      <c:catAx>
        <c:axId val="4246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crossAx val="1922039103"/>
        <c:crosses val="autoZero"/>
        <c:auto val="1"/>
        <c:lblAlgn val="ctr"/>
        <c:lblOffset val="100"/>
        <c:noMultiLvlLbl val="0"/>
      </c:catAx>
      <c:valAx>
        <c:axId val="192203910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crossAx val="4246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egoe UI" panose="020B0502040204020203" pitchFamily="34" charset="0"/>
              <a:ea typeface="+mn-ea"/>
              <a:cs typeface="Segoe UI" panose="020B0502040204020203"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b="0">
          <a:latin typeface="Segoe UI" panose="020B0502040204020203" pitchFamily="34" charset="0"/>
          <a:cs typeface="Segoe UI" panose="020B0502040204020203" pitchFamily="3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[TF_Base_de_Datos.xlsx]Sheet2!PivotTable3</c:name>
    <c:fmtId val="-1"/>
  </c:pivotSource>
  <c:chart>
    <c:autoTitleDeleted val="1"/>
    <c:pivotFmts>
      <c:pivotFmt>
        <c:idx val="0"/>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Total</c:v>
                </c:pt>
              </c:strCache>
            </c:strRef>
          </c:tx>
          <c:spPr>
            <a:solidFill>
              <a:schemeClr val="accent1"/>
            </a:solidFill>
            <a:ln>
              <a:noFill/>
            </a:ln>
            <a:effectLst/>
          </c:spPr>
          <c:invertIfNegative val="0"/>
          <c:dLbls>
            <c:numFmt formatCode="#,##0" sourceLinked="0"/>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Sheet2!$A$2:$A$9</c:f>
              <c:strCache>
                <c:ptCount val="7"/>
                <c:pt idx="0">
                  <c:v>2018</c:v>
                </c:pt>
                <c:pt idx="1">
                  <c:v>2019</c:v>
                </c:pt>
                <c:pt idx="2">
                  <c:v>2020</c:v>
                </c:pt>
                <c:pt idx="3">
                  <c:v>2021</c:v>
                </c:pt>
                <c:pt idx="4">
                  <c:v>2022</c:v>
                </c:pt>
                <c:pt idx="5">
                  <c:v>2023</c:v>
                </c:pt>
                <c:pt idx="6">
                  <c:v>2024</c:v>
                </c:pt>
              </c:strCache>
            </c:strRef>
          </c:cat>
          <c:val>
            <c:numRef>
              <c:f>Sheet2!$B$2:$B$9</c:f>
              <c:numCache>
                <c:formatCode>General</c:formatCode>
                <c:ptCount val="7"/>
                <c:pt idx="0">
                  <c:v>30269</c:v>
                </c:pt>
                <c:pt idx="1">
                  <c:v>31590</c:v>
                </c:pt>
                <c:pt idx="2">
                  <c:v>37407</c:v>
                </c:pt>
                <c:pt idx="3">
                  <c:v>66103</c:v>
                </c:pt>
                <c:pt idx="4">
                  <c:v>65406</c:v>
                </c:pt>
                <c:pt idx="5">
                  <c:v>50639</c:v>
                </c:pt>
                <c:pt idx="6">
                  <c:v>49580</c:v>
                </c:pt>
              </c:numCache>
            </c:numRef>
          </c:val>
          <c:extLst>
            <c:ext xmlns:c16="http://schemas.microsoft.com/office/drawing/2014/chart" uri="{C3380CC4-5D6E-409C-BE32-E72D297353CC}">
              <c16:uniqueId val="{00000000-115F-473B-AEEA-AD96F363016D}"/>
            </c:ext>
          </c:extLst>
        </c:ser>
        <c:dLbls>
          <c:dLblPos val="outEnd"/>
          <c:showLegendKey val="0"/>
          <c:showVal val="1"/>
          <c:showCatName val="0"/>
          <c:showSerName val="0"/>
          <c:showPercent val="0"/>
          <c:showBubbleSize val="0"/>
        </c:dLbls>
        <c:gapWidth val="219"/>
        <c:overlap val="-27"/>
        <c:axId val="849535535"/>
        <c:axId val="849537935"/>
      </c:barChart>
      <c:catAx>
        <c:axId val="84953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537935"/>
        <c:crosses val="autoZero"/>
        <c:auto val="1"/>
        <c:lblAlgn val="ctr"/>
        <c:lblOffset val="100"/>
        <c:noMultiLvlLbl val="0"/>
      </c:catAx>
      <c:valAx>
        <c:axId val="849537935"/>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535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[TF_Base_de_Datos.xlsx]Sheet3!PivotTable4</c:name>
    <c:fmtId val="-1"/>
  </c:pivotSource>
  <c:chart>
    <c:autoTitleDeleted val="0"/>
    <c:pivotFmts>
      <c:pivotFmt>
        <c:idx val="0"/>
        <c:spPr>
          <a:solidFill>
            <a:schemeClr val="accent1"/>
          </a:solidFill>
          <a:ln>
            <a:noFill/>
          </a:ln>
          <a:effectLst/>
        </c:spPr>
        <c:marker>
          <c:symbol val="none"/>
        </c:marker>
        <c:dLbl>
          <c:idx val="0"/>
          <c:numFmt formatCode="#,##0.00" sourceLinked="0"/>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C000"/>
            </a:solidFill>
            <a:round/>
          </a:ln>
          <a:effectLst/>
        </c:spPr>
        <c:marker>
          <c:symbol val="none"/>
        </c:marker>
        <c:dLbl>
          <c:idx val="0"/>
          <c:numFmt formatCode="#,##0.00" sourceLinked="0"/>
          <c:spPr>
            <a:solidFill>
              <a:srgbClr val="FFC0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 sourceLinked="0"/>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FFC000"/>
            </a:solidFill>
            <a:round/>
          </a:ln>
          <a:effectLst/>
        </c:spPr>
        <c:marker>
          <c:symbol val="none"/>
        </c:marker>
        <c:dLbl>
          <c:idx val="0"/>
          <c:numFmt formatCode="#,##0.00" sourceLinked="0"/>
          <c:spPr>
            <a:solidFill>
              <a:srgbClr val="FFC0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numFmt formatCode="#,##0.00" sourceLinked="0"/>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C000"/>
            </a:solidFill>
            <a:round/>
          </a:ln>
          <a:effectLst/>
        </c:spPr>
        <c:marker>
          <c:symbol val="none"/>
        </c:marker>
        <c:dLbl>
          <c:idx val="0"/>
          <c:numFmt formatCode="#,##0.00" sourceLinked="0"/>
          <c:spPr>
            <a:solidFill>
              <a:srgbClr val="FFC0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Sheet3!$B$1</c:f>
              <c:strCache>
                <c:ptCount val="1"/>
                <c:pt idx="0">
                  <c:v>Adultos con Crédito de Vivienda</c:v>
                </c:pt>
              </c:strCache>
            </c:strRef>
          </c:tx>
          <c:spPr>
            <a:solidFill>
              <a:schemeClr val="accent1"/>
            </a:solidFill>
            <a:ln>
              <a:noFill/>
            </a:ln>
            <a:effectLst/>
          </c:spPr>
          <c:invertIfNegative val="0"/>
          <c:dLbls>
            <c:numFmt formatCode="#,##0.00" sourceLinked="0"/>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Sheet3!$A$2:$A$9</c:f>
              <c:strCache>
                <c:ptCount val="7"/>
                <c:pt idx="0">
                  <c:v>2018</c:v>
                </c:pt>
                <c:pt idx="1">
                  <c:v>2019</c:v>
                </c:pt>
                <c:pt idx="2">
                  <c:v>2020</c:v>
                </c:pt>
                <c:pt idx="3">
                  <c:v>2021</c:v>
                </c:pt>
                <c:pt idx="4">
                  <c:v>2022</c:v>
                </c:pt>
                <c:pt idx="5">
                  <c:v>2023</c:v>
                </c:pt>
                <c:pt idx="6">
                  <c:v>2024</c:v>
                </c:pt>
              </c:strCache>
            </c:strRef>
          </c:cat>
          <c:val>
            <c:numRef>
              <c:f>Sheet3!$B$2:$B$9</c:f>
              <c:numCache>
                <c:formatCode>General</c:formatCode>
                <c:ptCount val="7"/>
                <c:pt idx="0">
                  <c:v>3244178</c:v>
                </c:pt>
                <c:pt idx="1">
                  <c:v>4524673</c:v>
                </c:pt>
                <c:pt idx="2">
                  <c:v>4640237</c:v>
                </c:pt>
                <c:pt idx="3">
                  <c:v>4803504</c:v>
                </c:pt>
                <c:pt idx="4">
                  <c:v>5018011</c:v>
                </c:pt>
                <c:pt idx="5">
                  <c:v>4529226</c:v>
                </c:pt>
                <c:pt idx="6">
                  <c:v>3565860</c:v>
                </c:pt>
              </c:numCache>
            </c:numRef>
          </c:val>
          <c:extLst>
            <c:ext xmlns:c16="http://schemas.microsoft.com/office/drawing/2014/chart" uri="{C3380CC4-5D6E-409C-BE32-E72D297353CC}">
              <c16:uniqueId val="{00000000-F308-4732-9F81-4BF94031B55E}"/>
            </c:ext>
          </c:extLst>
        </c:ser>
        <c:dLbls>
          <c:showLegendKey val="0"/>
          <c:showVal val="1"/>
          <c:showCatName val="0"/>
          <c:showSerName val="0"/>
          <c:showPercent val="0"/>
          <c:showBubbleSize val="0"/>
        </c:dLbls>
        <c:gapWidth val="219"/>
        <c:axId val="813521871"/>
        <c:axId val="813522351"/>
      </c:barChart>
      <c:lineChart>
        <c:grouping val="standard"/>
        <c:varyColors val="0"/>
        <c:ser>
          <c:idx val="1"/>
          <c:order val="1"/>
          <c:tx>
            <c:strRef>
              <c:f>Sheet3!$C$1</c:f>
              <c:strCache>
                <c:ptCount val="1"/>
                <c:pt idx="0">
                  <c:v>% Adultos con Crédito de Vivienda</c:v>
                </c:pt>
              </c:strCache>
            </c:strRef>
          </c:tx>
          <c:spPr>
            <a:ln w="28575" cap="rnd">
              <a:solidFill>
                <a:srgbClr val="FFC000"/>
              </a:solidFill>
              <a:round/>
            </a:ln>
            <a:effectLst/>
          </c:spPr>
          <c:marker>
            <c:symbol val="none"/>
          </c:marker>
          <c:dLbls>
            <c:numFmt formatCode="#,##0.00" sourceLinked="0"/>
            <c:spPr>
              <a:solidFill>
                <a:srgbClr val="FFC0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Sheet3!$A$2:$A$9</c:f>
              <c:strCache>
                <c:ptCount val="7"/>
                <c:pt idx="0">
                  <c:v>2018</c:v>
                </c:pt>
                <c:pt idx="1">
                  <c:v>2019</c:v>
                </c:pt>
                <c:pt idx="2">
                  <c:v>2020</c:v>
                </c:pt>
                <c:pt idx="3">
                  <c:v>2021</c:v>
                </c:pt>
                <c:pt idx="4">
                  <c:v>2022</c:v>
                </c:pt>
                <c:pt idx="5">
                  <c:v>2023</c:v>
                </c:pt>
                <c:pt idx="6">
                  <c:v>2024</c:v>
                </c:pt>
              </c:strCache>
            </c:strRef>
          </c:cat>
          <c:val>
            <c:numRef>
              <c:f>Sheet3!$C$2:$C$9</c:f>
              <c:numCache>
                <c:formatCode>General</c:formatCode>
                <c:ptCount val="7"/>
                <c:pt idx="0">
                  <c:v>1.8026661619380333</c:v>
                </c:pt>
                <c:pt idx="1">
                  <c:v>2.5025160275987663</c:v>
                </c:pt>
                <c:pt idx="2">
                  <c:v>2.4943442787564525</c:v>
                </c:pt>
                <c:pt idx="3">
                  <c:v>2.4500985235085855</c:v>
                </c:pt>
                <c:pt idx="4">
                  <c:v>2.5959604348962215</c:v>
                </c:pt>
                <c:pt idx="5">
                  <c:v>2.2923845229982436</c:v>
                </c:pt>
                <c:pt idx="6">
                  <c:v>1.7882622966524413</c:v>
                </c:pt>
              </c:numCache>
            </c:numRef>
          </c:val>
          <c:smooth val="0"/>
          <c:extLst>
            <c:ext xmlns:c16="http://schemas.microsoft.com/office/drawing/2014/chart" uri="{C3380CC4-5D6E-409C-BE32-E72D297353CC}">
              <c16:uniqueId val="{00000001-F308-4732-9F81-4BF94031B55E}"/>
            </c:ext>
          </c:extLst>
        </c:ser>
        <c:dLbls>
          <c:showLegendKey val="0"/>
          <c:showVal val="1"/>
          <c:showCatName val="0"/>
          <c:showSerName val="0"/>
          <c:showPercent val="0"/>
          <c:showBubbleSize val="0"/>
        </c:dLbls>
        <c:marker val="1"/>
        <c:smooth val="0"/>
        <c:axId val="1568640895"/>
        <c:axId val="1568640415"/>
      </c:lineChart>
      <c:catAx>
        <c:axId val="8135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522351"/>
        <c:crosses val="autoZero"/>
        <c:auto val="1"/>
        <c:lblAlgn val="ctr"/>
        <c:lblOffset val="100"/>
        <c:noMultiLvlLbl val="0"/>
      </c:catAx>
      <c:valAx>
        <c:axId val="813522351"/>
        <c:scaling>
          <c:orientation val="minMax"/>
          <c:max val="5000000"/>
        </c:scaling>
        <c:delete val="0"/>
        <c:axPos val="l"/>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521871"/>
        <c:crosses val="autoZero"/>
        <c:crossBetween val="between"/>
        <c:majorUnit val="1000000"/>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568640415"/>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640895"/>
        <c:crosses val="max"/>
        <c:crossBetween val="between"/>
      </c:valAx>
      <c:catAx>
        <c:axId val="1568640895"/>
        <c:scaling>
          <c:orientation val="minMax"/>
        </c:scaling>
        <c:delete val="1"/>
        <c:axPos val="b"/>
        <c:numFmt formatCode="General" sourceLinked="1"/>
        <c:majorTickMark val="out"/>
        <c:minorTickMark val="none"/>
        <c:tickLblPos val="nextTo"/>
        <c:crossAx val="156864041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14</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Links>
    <vt:vector size="30" baseType="variant">
      <vt:variant>
        <vt:i4>2031638</vt:i4>
      </vt:variant>
      <vt:variant>
        <vt:i4>12</vt:i4>
      </vt:variant>
      <vt:variant>
        <vt:i4>0</vt:i4>
      </vt:variant>
      <vt:variant>
        <vt:i4>5</vt:i4>
      </vt:variant>
      <vt:variant>
        <vt:lpwstr>https://www.funcionpublica.gov.co/eva/gestornormativo/norma.php?i=205943</vt:lpwstr>
      </vt:variant>
      <vt:variant>
        <vt:lpwstr/>
      </vt:variant>
      <vt:variant>
        <vt:i4>7667814</vt:i4>
      </vt:variant>
      <vt:variant>
        <vt:i4>9</vt:i4>
      </vt:variant>
      <vt:variant>
        <vt:i4>0</vt:i4>
      </vt:variant>
      <vt:variant>
        <vt:i4>5</vt:i4>
      </vt:variant>
      <vt:variant>
        <vt:lpwstr>https://www.aeaweb.org/articles?id=10.1257/aer.20150572</vt:lpwstr>
      </vt:variant>
      <vt:variant>
        <vt:lpwstr/>
      </vt:variant>
      <vt:variant>
        <vt:i4>14221516</vt:i4>
      </vt:variant>
      <vt:variant>
        <vt:i4>6</vt:i4>
      </vt:variant>
      <vt:variant>
        <vt:i4>0</vt:i4>
      </vt:variant>
      <vt:variant>
        <vt:i4>5</vt:i4>
      </vt:variant>
      <vt:variant>
        <vt:lpwstr>https://www.minvivienda.gov.co/sala-de-prensa/cifra-record-de-reduccion-del-deficit-habitacional-para-2024</vt:lpwstr>
      </vt:variant>
      <vt:variant>
        <vt:lpwstr>:~:text=La%20reducción%20se%20explica%20principalmente,de%20Déficit%20Habitacional%20en%202019</vt:lpwstr>
      </vt:variant>
      <vt:variant>
        <vt:i4>1376334</vt:i4>
      </vt:variant>
      <vt:variant>
        <vt:i4>3</vt:i4>
      </vt:variant>
      <vt:variant>
        <vt:i4>0</vt:i4>
      </vt:variant>
      <vt:variant>
        <vt:i4>5</vt:i4>
      </vt:variant>
      <vt:variant>
        <vt:lpwstr>https://camacol.co/sites/default/files/descargables/Datos que construyen - 28abr2025.pdf</vt:lpwstr>
      </vt:variant>
      <vt:variant>
        <vt:lpwstr/>
      </vt:variant>
      <vt:variant>
        <vt:i4>2359400</vt:i4>
      </vt:variant>
      <vt:variant>
        <vt:i4>0</vt:i4>
      </vt:variant>
      <vt:variant>
        <vt:i4>0</vt:i4>
      </vt:variant>
      <vt:variant>
        <vt:i4>5</vt:i4>
      </vt:variant>
      <vt:variant>
        <vt:lpwstr>https://www.dane.gov.co/files/operaciones/ECV/bol-ECV-2024.pdf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Melo Montero</dc:creator>
  <cp:keywords/>
  <dc:description/>
  <cp:lastModifiedBy>Santiago Melo Montero</cp:lastModifiedBy>
  <cp:revision>364</cp:revision>
  <dcterms:created xsi:type="dcterms:W3CDTF">2025-05-16T05:01:00Z</dcterms:created>
  <dcterms:modified xsi:type="dcterms:W3CDTF">2025-05-19T21:18:00Z</dcterms:modified>
</cp:coreProperties>
</file>