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6AD06B" w14:textId="2FF4F0A8" w:rsidR="0042611A" w:rsidRPr="00CD3A1F" w:rsidRDefault="00DC0910">
      <w:pPr>
        <w:rPr>
          <w:rFonts w:ascii="Segoe UI" w:hAnsi="Segoe UI" w:cs="Segoe UI"/>
          <w:b/>
          <w:bCs/>
          <w:sz w:val="22"/>
          <w:szCs w:val="22"/>
          <w:lang w:val="es-CO"/>
        </w:rPr>
      </w:pPr>
      <w:r w:rsidRPr="00CD3A1F">
        <w:rPr>
          <w:rFonts w:ascii="Segoe UI" w:hAnsi="Segoe UI" w:cs="Segoe UI"/>
          <w:b/>
          <w:bCs/>
          <w:sz w:val="22"/>
          <w:szCs w:val="22"/>
          <w:lang w:val="es-CO"/>
        </w:rPr>
        <w:t>Introducción</w:t>
      </w:r>
    </w:p>
    <w:p w14:paraId="28350844" w14:textId="67C3E6CA" w:rsidR="00DC0910" w:rsidRPr="00CD3A1F" w:rsidRDefault="000B595D">
      <w:pPr>
        <w:rPr>
          <w:rFonts w:ascii="Segoe UI" w:hAnsi="Segoe UI" w:cs="Segoe UI"/>
          <w:sz w:val="22"/>
          <w:szCs w:val="22"/>
          <w:lang w:val="es-CO"/>
        </w:rPr>
      </w:pPr>
      <w:r w:rsidRPr="00CD3A1F">
        <w:rPr>
          <w:rFonts w:ascii="Segoe UI" w:hAnsi="Segoe UI" w:cs="Segoe UI"/>
          <w:sz w:val="22"/>
          <w:szCs w:val="22"/>
          <w:highlight w:val="cyan"/>
          <w:lang w:val="es-CO"/>
        </w:rPr>
        <w:t>Estructura</w:t>
      </w:r>
    </w:p>
    <w:p w14:paraId="79C9D221" w14:textId="05ADE60F" w:rsidR="000B595D" w:rsidRPr="00CD3A1F" w:rsidRDefault="000B595D" w:rsidP="000B595D">
      <w:pPr>
        <w:pStyle w:val="ListParagraph"/>
        <w:numPr>
          <w:ilvl w:val="0"/>
          <w:numId w:val="1"/>
        </w:numPr>
        <w:rPr>
          <w:rFonts w:ascii="Segoe UI" w:hAnsi="Segoe UI" w:cs="Segoe UI"/>
          <w:sz w:val="22"/>
          <w:szCs w:val="22"/>
          <w:lang w:val="es-CO"/>
        </w:rPr>
      </w:pPr>
      <w:r w:rsidRPr="00CD3A1F">
        <w:rPr>
          <w:rFonts w:ascii="Segoe UI" w:hAnsi="Segoe UI" w:cs="Segoe UI"/>
          <w:sz w:val="22"/>
          <w:szCs w:val="22"/>
          <w:lang w:val="es-CO"/>
        </w:rPr>
        <w:t>¿Por qué estudiar la migración</w:t>
      </w:r>
      <w:r w:rsidR="003E29A5">
        <w:rPr>
          <w:rFonts w:ascii="Segoe UI" w:hAnsi="Segoe UI" w:cs="Segoe UI"/>
          <w:sz w:val="22"/>
          <w:szCs w:val="22"/>
          <w:lang w:val="es-CO"/>
        </w:rPr>
        <w:t xml:space="preserve"> y el déficit habitacional</w:t>
      </w:r>
      <w:r w:rsidRPr="00CD3A1F">
        <w:rPr>
          <w:rFonts w:ascii="Segoe UI" w:hAnsi="Segoe UI" w:cs="Segoe UI"/>
          <w:sz w:val="22"/>
          <w:szCs w:val="22"/>
          <w:lang w:val="es-CO"/>
        </w:rPr>
        <w:t>?</w:t>
      </w:r>
    </w:p>
    <w:p w14:paraId="4E8F4628" w14:textId="77777777" w:rsidR="000B595D" w:rsidRPr="00CD3A1F" w:rsidRDefault="000B595D" w:rsidP="000B595D">
      <w:pPr>
        <w:pStyle w:val="ListParagraph"/>
        <w:numPr>
          <w:ilvl w:val="0"/>
          <w:numId w:val="1"/>
        </w:numPr>
        <w:rPr>
          <w:rFonts w:ascii="Segoe UI" w:hAnsi="Segoe UI" w:cs="Segoe UI"/>
          <w:sz w:val="22"/>
          <w:szCs w:val="22"/>
          <w:lang w:val="es-CO"/>
        </w:rPr>
      </w:pPr>
      <w:r w:rsidRPr="00CD3A1F">
        <w:rPr>
          <w:rFonts w:ascii="Segoe UI" w:hAnsi="Segoe UI" w:cs="Segoe UI"/>
          <w:sz w:val="22"/>
          <w:szCs w:val="22"/>
          <w:lang w:val="es-CO"/>
        </w:rPr>
        <w:t>Dónde se ubican los principales migrantes</w:t>
      </w:r>
    </w:p>
    <w:p w14:paraId="69834445" w14:textId="77777777" w:rsidR="000B595D" w:rsidRPr="00CD3A1F" w:rsidRDefault="000B595D" w:rsidP="000B595D">
      <w:pPr>
        <w:pStyle w:val="ListParagraph"/>
        <w:numPr>
          <w:ilvl w:val="0"/>
          <w:numId w:val="1"/>
        </w:numPr>
        <w:rPr>
          <w:rFonts w:ascii="Segoe UI" w:hAnsi="Segoe UI" w:cs="Segoe UI"/>
          <w:sz w:val="22"/>
          <w:szCs w:val="22"/>
          <w:lang w:val="es-CO"/>
        </w:rPr>
      </w:pPr>
      <w:r w:rsidRPr="00CD3A1F">
        <w:rPr>
          <w:rFonts w:ascii="Segoe UI" w:hAnsi="Segoe UI" w:cs="Segoe UI"/>
          <w:sz w:val="22"/>
          <w:szCs w:val="22"/>
          <w:lang w:val="es-CO"/>
        </w:rPr>
        <w:t xml:space="preserve">¿Cuál es el impacto? ¿Qué se ha hecho para estudiarlo? </w:t>
      </w:r>
      <w:r w:rsidRPr="00CD3A1F">
        <w:rPr>
          <w:rFonts w:ascii="Segoe UI" w:hAnsi="Segoe UI" w:cs="Segoe UI"/>
          <w:sz w:val="22"/>
          <w:szCs w:val="22"/>
          <w:lang w:val="es-CO"/>
        </w:rPr>
        <w:sym w:font="Wingdings" w:char="F0E0"/>
      </w:r>
      <w:r w:rsidRPr="00CD3A1F">
        <w:rPr>
          <w:rFonts w:ascii="Segoe UI" w:hAnsi="Segoe UI" w:cs="Segoe UI"/>
          <w:sz w:val="22"/>
          <w:szCs w:val="22"/>
          <w:lang w:val="es-CO"/>
        </w:rPr>
        <w:t xml:space="preserve"> Revisión literatura</w:t>
      </w:r>
    </w:p>
    <w:p w14:paraId="6BDEFFCD" w14:textId="77777777" w:rsidR="000B595D" w:rsidRPr="00CD3A1F" w:rsidRDefault="000B595D" w:rsidP="000B595D">
      <w:pPr>
        <w:pStyle w:val="ListParagraph"/>
        <w:numPr>
          <w:ilvl w:val="0"/>
          <w:numId w:val="1"/>
        </w:numPr>
        <w:rPr>
          <w:rFonts w:ascii="Segoe UI" w:hAnsi="Segoe UI" w:cs="Segoe UI"/>
          <w:sz w:val="22"/>
          <w:szCs w:val="22"/>
          <w:lang w:val="es-CO"/>
        </w:rPr>
      </w:pPr>
      <w:r w:rsidRPr="00CD3A1F">
        <w:rPr>
          <w:rFonts w:ascii="Segoe UI" w:hAnsi="Segoe UI" w:cs="Segoe UI"/>
          <w:sz w:val="22"/>
          <w:szCs w:val="22"/>
          <w:lang w:val="es-CO"/>
        </w:rPr>
        <w:t xml:space="preserve">¿Qué queremos hacer con este </w:t>
      </w:r>
      <w:proofErr w:type="gramStart"/>
      <w:r w:rsidRPr="00CD3A1F">
        <w:rPr>
          <w:rFonts w:ascii="Segoe UI" w:hAnsi="Segoe UI" w:cs="Segoe UI"/>
          <w:sz w:val="22"/>
          <w:szCs w:val="22"/>
          <w:lang w:val="es-CO"/>
        </w:rPr>
        <w:t>paper</w:t>
      </w:r>
      <w:proofErr w:type="gramEnd"/>
      <w:r w:rsidRPr="00CD3A1F">
        <w:rPr>
          <w:rFonts w:ascii="Segoe UI" w:hAnsi="Segoe UI" w:cs="Segoe UI"/>
          <w:sz w:val="22"/>
          <w:szCs w:val="22"/>
          <w:lang w:val="es-CO"/>
        </w:rPr>
        <w:t xml:space="preserve">? </w:t>
      </w:r>
      <w:r w:rsidRPr="00CD3A1F">
        <w:rPr>
          <w:rFonts w:ascii="Segoe UI" w:hAnsi="Segoe UI" w:cs="Segoe UI"/>
          <w:sz w:val="22"/>
          <w:szCs w:val="22"/>
          <w:lang w:val="es-CO"/>
        </w:rPr>
        <w:sym w:font="Wingdings" w:char="F0E0"/>
      </w:r>
      <w:r w:rsidRPr="00CD3A1F">
        <w:rPr>
          <w:rFonts w:ascii="Segoe UI" w:hAnsi="Segoe UI" w:cs="Segoe UI"/>
          <w:sz w:val="22"/>
          <w:szCs w:val="22"/>
          <w:lang w:val="es-CO"/>
        </w:rPr>
        <w:t xml:space="preserve"> Resaltar la importancia de…</w:t>
      </w:r>
    </w:p>
    <w:p w14:paraId="65085B86" w14:textId="77777777" w:rsidR="000B595D" w:rsidRPr="00CD3A1F" w:rsidRDefault="000B595D" w:rsidP="000B595D">
      <w:pPr>
        <w:pStyle w:val="ListParagraph"/>
        <w:numPr>
          <w:ilvl w:val="0"/>
          <w:numId w:val="1"/>
        </w:numPr>
        <w:rPr>
          <w:rFonts w:ascii="Segoe UI" w:hAnsi="Segoe UI" w:cs="Segoe UI"/>
          <w:sz w:val="22"/>
          <w:szCs w:val="22"/>
          <w:lang w:val="es-CO"/>
        </w:rPr>
      </w:pPr>
      <w:r w:rsidRPr="00CD3A1F">
        <w:rPr>
          <w:rFonts w:ascii="Segoe UI" w:hAnsi="Segoe UI" w:cs="Segoe UI"/>
          <w:sz w:val="22"/>
          <w:szCs w:val="22"/>
          <w:lang w:val="es-CO"/>
        </w:rPr>
        <w:t>Breve resumen de los datos que usamos (usamos tal base y encontramos los siguientes resultados)</w:t>
      </w:r>
    </w:p>
    <w:p w14:paraId="0CAC0DDB" w14:textId="77777777" w:rsidR="000B595D" w:rsidRPr="00CD3A1F" w:rsidRDefault="000B595D" w:rsidP="000B595D">
      <w:pPr>
        <w:pStyle w:val="ListParagraph"/>
        <w:numPr>
          <w:ilvl w:val="0"/>
          <w:numId w:val="1"/>
        </w:numPr>
        <w:rPr>
          <w:rFonts w:ascii="Segoe UI" w:hAnsi="Segoe UI" w:cs="Segoe UI"/>
          <w:sz w:val="22"/>
          <w:szCs w:val="22"/>
          <w:lang w:val="es-CO"/>
        </w:rPr>
      </w:pPr>
      <w:r w:rsidRPr="00CD3A1F">
        <w:rPr>
          <w:rFonts w:ascii="Segoe UI" w:hAnsi="Segoe UI" w:cs="Segoe UI"/>
          <w:sz w:val="22"/>
          <w:szCs w:val="22"/>
          <w:lang w:val="es-CO"/>
        </w:rPr>
        <w:t>Para evitar posible endogeneidad utilizamos la siguiente metodología</w:t>
      </w:r>
    </w:p>
    <w:p w14:paraId="3F9C4CCC" w14:textId="77777777" w:rsidR="000B595D" w:rsidRPr="00CD3A1F" w:rsidRDefault="000B595D" w:rsidP="000B595D">
      <w:pPr>
        <w:pStyle w:val="ListParagraph"/>
        <w:numPr>
          <w:ilvl w:val="0"/>
          <w:numId w:val="1"/>
        </w:numPr>
        <w:rPr>
          <w:rFonts w:ascii="Segoe UI" w:hAnsi="Segoe UI" w:cs="Segoe UI"/>
          <w:sz w:val="22"/>
          <w:szCs w:val="22"/>
          <w:lang w:val="es-CO"/>
        </w:rPr>
      </w:pPr>
      <w:r w:rsidRPr="00CD3A1F">
        <w:rPr>
          <w:rFonts w:ascii="Segoe UI" w:hAnsi="Segoe UI" w:cs="Segoe UI"/>
          <w:sz w:val="22"/>
          <w:szCs w:val="22"/>
          <w:lang w:val="es-CO"/>
        </w:rPr>
        <w:t>Estos resultados contrastan o refuerzan lo encontrado en otra literatura donde…</w:t>
      </w:r>
    </w:p>
    <w:p w14:paraId="6A3AF776" w14:textId="77777777" w:rsidR="000B595D" w:rsidRPr="00CD3A1F" w:rsidRDefault="000B595D" w:rsidP="000B595D">
      <w:pPr>
        <w:pStyle w:val="ListParagraph"/>
        <w:numPr>
          <w:ilvl w:val="0"/>
          <w:numId w:val="1"/>
        </w:numPr>
        <w:rPr>
          <w:rFonts w:ascii="Segoe UI" w:hAnsi="Segoe UI" w:cs="Segoe UI"/>
          <w:sz w:val="22"/>
          <w:szCs w:val="22"/>
          <w:lang w:val="es-CO"/>
        </w:rPr>
      </w:pPr>
      <w:r w:rsidRPr="00CD3A1F">
        <w:rPr>
          <w:rFonts w:ascii="Segoe UI" w:hAnsi="Segoe UI" w:cs="Segoe UI"/>
          <w:sz w:val="22"/>
          <w:szCs w:val="22"/>
          <w:lang w:val="es-CO"/>
        </w:rPr>
        <w:t>Aportamos a la literatura revisando temas de calidad habitacional</w:t>
      </w:r>
    </w:p>
    <w:p w14:paraId="73346366" w14:textId="77777777" w:rsidR="000B595D" w:rsidRPr="00CD3A1F" w:rsidRDefault="000B595D" w:rsidP="000B595D">
      <w:pPr>
        <w:pStyle w:val="ListParagraph"/>
        <w:numPr>
          <w:ilvl w:val="0"/>
          <w:numId w:val="1"/>
        </w:numPr>
        <w:rPr>
          <w:rFonts w:ascii="Segoe UI" w:hAnsi="Segoe UI" w:cs="Segoe UI"/>
          <w:sz w:val="22"/>
          <w:szCs w:val="22"/>
          <w:lang w:val="es-CO"/>
        </w:rPr>
      </w:pPr>
      <w:r w:rsidRPr="00CD3A1F">
        <w:rPr>
          <w:rFonts w:ascii="Segoe UI" w:hAnsi="Segoe UI" w:cs="Segoe UI"/>
          <w:sz w:val="22"/>
          <w:szCs w:val="22"/>
          <w:lang w:val="es-CO"/>
        </w:rPr>
        <w:t>El resto del artículo se divide de la siguiente manera: 2. Bla, 3. Bla, etc.</w:t>
      </w:r>
    </w:p>
    <w:p w14:paraId="15C320B1" w14:textId="239B585D" w:rsidR="000B595D" w:rsidRDefault="00243E01">
      <w:pPr>
        <w:rPr>
          <w:rFonts w:ascii="Segoe UI" w:hAnsi="Segoe UI" w:cs="Segoe UI"/>
          <w:sz w:val="22"/>
          <w:szCs w:val="22"/>
          <w:lang w:val="es-CO"/>
        </w:rPr>
      </w:pPr>
      <w:r w:rsidRPr="00CD3A1F">
        <w:rPr>
          <w:rFonts w:ascii="Segoe UI" w:hAnsi="Segoe UI" w:cs="Segoe UI"/>
          <w:sz w:val="22"/>
          <w:szCs w:val="22"/>
          <w:highlight w:val="cyan"/>
          <w:lang w:val="es-CO"/>
        </w:rPr>
        <w:t>Redacción</w:t>
      </w:r>
    </w:p>
    <w:p w14:paraId="44C4F9A0" w14:textId="0A8EF976" w:rsidR="009F4039" w:rsidRDefault="00D370E7" w:rsidP="0035035F">
      <w:pPr>
        <w:jc w:val="both"/>
        <w:rPr>
          <w:rFonts w:ascii="Segoe UI" w:hAnsi="Segoe UI" w:cs="Segoe UI"/>
          <w:sz w:val="22"/>
          <w:szCs w:val="22"/>
          <w:lang w:val="es-CO"/>
        </w:rPr>
      </w:pPr>
      <w:r>
        <w:rPr>
          <w:rFonts w:ascii="Segoe UI" w:hAnsi="Segoe UI" w:cs="Segoe UI"/>
          <w:sz w:val="22"/>
          <w:szCs w:val="22"/>
          <w:lang w:val="es-CO"/>
        </w:rPr>
        <w:t>La migración venezolana</w:t>
      </w:r>
      <w:r w:rsidR="00101078">
        <w:rPr>
          <w:rFonts w:ascii="Segoe UI" w:hAnsi="Segoe UI" w:cs="Segoe UI"/>
          <w:sz w:val="22"/>
          <w:szCs w:val="22"/>
          <w:lang w:val="es-CO"/>
        </w:rPr>
        <w:t>, causada por la crisis económica</w:t>
      </w:r>
      <w:r w:rsidR="00C8047D">
        <w:rPr>
          <w:rFonts w:ascii="Segoe UI" w:hAnsi="Segoe UI" w:cs="Segoe UI"/>
          <w:sz w:val="22"/>
          <w:szCs w:val="22"/>
          <w:lang w:val="es-CO"/>
        </w:rPr>
        <w:t xml:space="preserve">, política y social </w:t>
      </w:r>
      <w:r w:rsidR="00015FC8">
        <w:rPr>
          <w:rFonts w:ascii="Segoe UI" w:hAnsi="Segoe UI" w:cs="Segoe UI"/>
          <w:sz w:val="22"/>
          <w:szCs w:val="22"/>
          <w:lang w:val="es-CO"/>
        </w:rPr>
        <w:t>que tuvo su origen a inicios de la década del 201</w:t>
      </w:r>
      <w:r w:rsidR="00CA195D">
        <w:rPr>
          <w:rFonts w:ascii="Segoe UI" w:hAnsi="Segoe UI" w:cs="Segoe UI"/>
          <w:sz w:val="22"/>
          <w:szCs w:val="22"/>
          <w:lang w:val="es-CO"/>
        </w:rPr>
        <w:t>0</w:t>
      </w:r>
      <w:r w:rsidR="00A061DF">
        <w:rPr>
          <w:rFonts w:ascii="Segoe UI" w:hAnsi="Segoe UI" w:cs="Segoe UI"/>
          <w:sz w:val="22"/>
          <w:szCs w:val="22"/>
          <w:lang w:val="es-CO"/>
        </w:rPr>
        <w:t xml:space="preserve">, ha transformado la dinámica sociodemográfica de Colombia gracias a un flujo constante de migrantes que ha generado presión sobre el déficit habitacional, especialmente en las </w:t>
      </w:r>
      <w:r w:rsidR="00F568F1">
        <w:rPr>
          <w:rFonts w:ascii="Segoe UI" w:hAnsi="Segoe UI" w:cs="Segoe UI"/>
          <w:sz w:val="22"/>
          <w:szCs w:val="22"/>
          <w:lang w:val="es-CO"/>
        </w:rPr>
        <w:t xml:space="preserve">principales ciudades receptoras del país. </w:t>
      </w:r>
      <w:r w:rsidR="009F4039">
        <w:rPr>
          <w:rFonts w:ascii="Segoe UI" w:hAnsi="Segoe UI" w:cs="Segoe UI"/>
          <w:sz w:val="22"/>
          <w:szCs w:val="22"/>
          <w:lang w:val="es-CO"/>
        </w:rPr>
        <w:t xml:space="preserve">A diciembre de 2024, Colombia ha sido receptora de 2.8 millones </w:t>
      </w:r>
      <w:r w:rsidR="00A1617E">
        <w:rPr>
          <w:rFonts w:ascii="Segoe UI" w:hAnsi="Segoe UI" w:cs="Segoe UI"/>
          <w:sz w:val="22"/>
          <w:szCs w:val="22"/>
          <w:lang w:val="es-CO"/>
        </w:rPr>
        <w:t xml:space="preserve">de </w:t>
      </w:r>
      <w:r w:rsidR="00A17497">
        <w:rPr>
          <w:rFonts w:ascii="Segoe UI" w:hAnsi="Segoe UI" w:cs="Segoe UI"/>
          <w:sz w:val="22"/>
          <w:szCs w:val="22"/>
          <w:lang w:val="es-CO"/>
        </w:rPr>
        <w:t xml:space="preserve">personas </w:t>
      </w:r>
      <w:r w:rsidR="00A1617E">
        <w:rPr>
          <w:rFonts w:ascii="Segoe UI" w:hAnsi="Segoe UI" w:cs="Segoe UI"/>
          <w:sz w:val="22"/>
          <w:szCs w:val="22"/>
          <w:lang w:val="es-CO"/>
        </w:rPr>
        <w:t>d</w:t>
      </w:r>
      <w:r w:rsidR="007453E8">
        <w:rPr>
          <w:rFonts w:ascii="Segoe UI" w:hAnsi="Segoe UI" w:cs="Segoe UI"/>
          <w:sz w:val="22"/>
          <w:szCs w:val="22"/>
          <w:lang w:val="es-CO"/>
        </w:rPr>
        <w:t>e los 6.7 millones</w:t>
      </w:r>
      <w:r w:rsidR="00A17497">
        <w:rPr>
          <w:rFonts w:ascii="Segoe UI" w:hAnsi="Segoe UI" w:cs="Segoe UI"/>
          <w:sz w:val="22"/>
          <w:szCs w:val="22"/>
          <w:lang w:val="es-CO"/>
        </w:rPr>
        <w:t xml:space="preserve"> de migrantes venezolanos</w:t>
      </w:r>
      <w:r w:rsidR="00A1617E">
        <w:rPr>
          <w:rFonts w:ascii="Segoe UI" w:hAnsi="Segoe UI" w:cs="Segoe UI"/>
          <w:sz w:val="22"/>
          <w:szCs w:val="22"/>
          <w:lang w:val="es-CO"/>
        </w:rPr>
        <w:t xml:space="preserve">, es decir, cerca del </w:t>
      </w:r>
      <w:r w:rsidR="00572CB6">
        <w:rPr>
          <w:rFonts w:ascii="Segoe UI" w:hAnsi="Segoe UI" w:cs="Segoe UI"/>
          <w:sz w:val="22"/>
          <w:szCs w:val="22"/>
          <w:lang w:val="es-CO"/>
        </w:rPr>
        <w:t>42%</w:t>
      </w:r>
      <w:r w:rsidR="00A17497">
        <w:rPr>
          <w:rFonts w:ascii="Segoe UI" w:hAnsi="Segoe UI" w:cs="Segoe UI"/>
          <w:sz w:val="22"/>
          <w:szCs w:val="22"/>
          <w:lang w:val="es-CO"/>
        </w:rPr>
        <w:t>.</w:t>
      </w:r>
      <w:r w:rsidR="00175397">
        <w:rPr>
          <w:rFonts w:ascii="Segoe UI" w:hAnsi="Segoe UI" w:cs="Segoe UI"/>
          <w:sz w:val="22"/>
          <w:szCs w:val="22"/>
          <w:lang w:val="es-CO"/>
        </w:rPr>
        <w:t xml:space="preserve"> Si bien, esta población se encuentra distribuida </w:t>
      </w:r>
      <w:r w:rsidR="00A96C4A">
        <w:rPr>
          <w:rFonts w:ascii="Segoe UI" w:hAnsi="Segoe UI" w:cs="Segoe UI"/>
          <w:sz w:val="22"/>
          <w:szCs w:val="22"/>
          <w:lang w:val="es-CO"/>
        </w:rPr>
        <w:t>en 997 municipios de Colombia, esta tiende a concentrarse en un número reducido del territorio</w:t>
      </w:r>
      <w:r w:rsidR="00AE4B43">
        <w:rPr>
          <w:rFonts w:ascii="Segoe UI" w:hAnsi="Segoe UI" w:cs="Segoe UI"/>
          <w:sz w:val="22"/>
          <w:szCs w:val="22"/>
          <w:lang w:val="es-CO"/>
        </w:rPr>
        <w:t>. La mayor proporción se ubicó en Bogotá con 591.462 migrantes (21%)</w:t>
      </w:r>
      <w:r w:rsidR="0061044B">
        <w:rPr>
          <w:rFonts w:ascii="Segoe UI" w:hAnsi="Segoe UI" w:cs="Segoe UI"/>
          <w:sz w:val="22"/>
          <w:szCs w:val="22"/>
          <w:lang w:val="es-CO"/>
        </w:rPr>
        <w:t>, seguido por Medellín (8,5%), Cúcuta (7,7%), Barranquilla (4,9%) y Cali (4,6%)</w:t>
      </w:r>
      <w:r w:rsidR="00AE4B43">
        <w:rPr>
          <w:rFonts w:ascii="Segoe UI" w:hAnsi="Segoe UI" w:cs="Segoe UI"/>
          <w:sz w:val="22"/>
          <w:szCs w:val="22"/>
          <w:lang w:val="es-CO"/>
        </w:rPr>
        <w:t xml:space="preserve"> </w:t>
      </w:r>
      <w:r w:rsidR="007E0398">
        <w:rPr>
          <w:rFonts w:ascii="Segoe UI" w:hAnsi="Segoe UI" w:cs="Segoe UI"/>
          <w:sz w:val="22"/>
          <w:szCs w:val="22"/>
          <w:lang w:val="es-CO"/>
        </w:rPr>
        <w:t>(Migración Colombia, 2025)</w:t>
      </w:r>
      <w:r w:rsidR="00765FD1">
        <w:rPr>
          <w:rFonts w:ascii="Segoe UI" w:hAnsi="Segoe UI" w:cs="Segoe UI"/>
          <w:sz w:val="22"/>
          <w:szCs w:val="22"/>
          <w:lang w:val="es-CO"/>
        </w:rPr>
        <w:t>.</w:t>
      </w:r>
    </w:p>
    <w:p w14:paraId="0003891A" w14:textId="51005CAE" w:rsidR="00CF1011" w:rsidRDefault="00DA1039" w:rsidP="0035035F">
      <w:pPr>
        <w:jc w:val="both"/>
        <w:rPr>
          <w:rFonts w:ascii="Segoe UI" w:hAnsi="Segoe UI" w:cs="Segoe UI"/>
          <w:sz w:val="22"/>
          <w:szCs w:val="22"/>
          <w:lang w:val="es-CO"/>
        </w:rPr>
      </w:pPr>
      <w:r>
        <w:rPr>
          <w:rFonts w:ascii="Segoe UI" w:hAnsi="Segoe UI" w:cs="Segoe UI"/>
          <w:sz w:val="22"/>
          <w:szCs w:val="22"/>
          <w:lang w:val="es-CO"/>
        </w:rPr>
        <w:t xml:space="preserve">Esta población </w:t>
      </w:r>
      <w:r w:rsidR="00B87F91">
        <w:rPr>
          <w:rFonts w:ascii="Segoe UI" w:hAnsi="Segoe UI" w:cs="Segoe UI"/>
          <w:sz w:val="22"/>
          <w:szCs w:val="22"/>
          <w:lang w:val="es-CO"/>
        </w:rPr>
        <w:t xml:space="preserve">migrante se caracteriza por una informalidad laboral que </w:t>
      </w:r>
      <w:r w:rsidR="0088084E">
        <w:rPr>
          <w:rFonts w:ascii="Segoe UI" w:hAnsi="Segoe UI" w:cs="Segoe UI"/>
          <w:sz w:val="22"/>
          <w:szCs w:val="22"/>
          <w:lang w:val="es-CO"/>
        </w:rPr>
        <w:t xml:space="preserve">resulta en brechas salariales significativas, dificultando más su situación. Según estimaciones del </w:t>
      </w:r>
      <w:r w:rsidR="006A61D1">
        <w:rPr>
          <w:rFonts w:ascii="Segoe UI" w:hAnsi="Segoe UI" w:cs="Segoe UI"/>
          <w:sz w:val="22"/>
          <w:szCs w:val="22"/>
          <w:lang w:val="es-CO"/>
        </w:rPr>
        <w:t>Observatorio de Migraciones, Migrantes y Movilidad Urbana (2025)</w:t>
      </w:r>
      <w:r w:rsidR="00EE6BFA">
        <w:rPr>
          <w:rFonts w:ascii="Segoe UI" w:hAnsi="Segoe UI" w:cs="Segoe UI"/>
          <w:sz w:val="22"/>
          <w:szCs w:val="22"/>
          <w:lang w:val="es-CO"/>
        </w:rPr>
        <w:t xml:space="preserve">, en 2024, 2.274.684 migrantes estaban siendo o habían sido regularizados en el marco del </w:t>
      </w:r>
      <w:r w:rsidR="003C03F1" w:rsidRPr="003C03F1">
        <w:rPr>
          <w:rFonts w:ascii="Segoe UI" w:hAnsi="Segoe UI" w:cs="Segoe UI"/>
          <w:sz w:val="22"/>
          <w:szCs w:val="22"/>
          <w:lang w:val="es-CO"/>
        </w:rPr>
        <w:t>Estatuto Temporal de Protección para Migrantes Venezolanos</w:t>
      </w:r>
      <w:r w:rsidR="003C03F1">
        <w:rPr>
          <w:rFonts w:ascii="Segoe UI" w:hAnsi="Segoe UI" w:cs="Segoe UI"/>
          <w:sz w:val="22"/>
          <w:szCs w:val="22"/>
          <w:lang w:val="es-CO"/>
        </w:rPr>
        <w:t xml:space="preserve">, de los cuales </w:t>
      </w:r>
      <w:r w:rsidR="00534061">
        <w:rPr>
          <w:rFonts w:ascii="Segoe UI" w:hAnsi="Segoe UI" w:cs="Segoe UI"/>
          <w:sz w:val="22"/>
          <w:szCs w:val="22"/>
          <w:lang w:val="es-CO"/>
        </w:rPr>
        <w:t>cerca de 1.9 millones se regularizaron con un Permiso de Protección Temporal (PPT) autorizado, mientras 0.35 millones no han culminado la fase de autorización de su PPT</w:t>
      </w:r>
      <w:r w:rsidR="00AF0FDC">
        <w:rPr>
          <w:rFonts w:ascii="Segoe UI" w:hAnsi="Segoe UI" w:cs="Segoe UI"/>
          <w:sz w:val="22"/>
          <w:szCs w:val="22"/>
          <w:lang w:val="es-CO"/>
        </w:rPr>
        <w:t>; n</w:t>
      </w:r>
      <w:r w:rsidR="00536928">
        <w:rPr>
          <w:rFonts w:ascii="Segoe UI" w:hAnsi="Segoe UI" w:cs="Segoe UI"/>
          <w:sz w:val="22"/>
          <w:szCs w:val="22"/>
          <w:lang w:val="es-CO"/>
        </w:rPr>
        <w:t>o obstante, c</w:t>
      </w:r>
      <w:r w:rsidR="00AF0FDC">
        <w:rPr>
          <w:rFonts w:ascii="Segoe UI" w:hAnsi="Segoe UI" w:cs="Segoe UI"/>
          <w:sz w:val="22"/>
          <w:szCs w:val="22"/>
          <w:lang w:val="es-CO"/>
        </w:rPr>
        <w:t>asi medio millón de migrantes (454.514) se encuentran en situación migratoria irregular.</w:t>
      </w:r>
      <w:r w:rsidR="001F0FA0">
        <w:rPr>
          <w:rFonts w:ascii="Segoe UI" w:hAnsi="Segoe UI" w:cs="Segoe UI"/>
          <w:sz w:val="22"/>
          <w:szCs w:val="22"/>
          <w:lang w:val="es-CO"/>
        </w:rPr>
        <w:t xml:space="preserve"> </w:t>
      </w:r>
      <w:r w:rsidR="002E684D">
        <w:rPr>
          <w:rFonts w:ascii="Segoe UI" w:hAnsi="Segoe UI" w:cs="Segoe UI"/>
          <w:sz w:val="22"/>
          <w:szCs w:val="22"/>
          <w:lang w:val="es-CO"/>
        </w:rPr>
        <w:t xml:space="preserve">Si bien el PPT ha sido una estrategia para fomentar la legalización </w:t>
      </w:r>
      <w:r w:rsidR="006A1AE1">
        <w:rPr>
          <w:rFonts w:ascii="Segoe UI" w:hAnsi="Segoe UI" w:cs="Segoe UI"/>
          <w:sz w:val="22"/>
          <w:szCs w:val="22"/>
          <w:lang w:val="es-CO"/>
        </w:rPr>
        <w:t xml:space="preserve">y combatir la informalidad </w:t>
      </w:r>
      <w:r w:rsidR="002E684D">
        <w:rPr>
          <w:rFonts w:ascii="Segoe UI" w:hAnsi="Segoe UI" w:cs="Segoe UI"/>
          <w:sz w:val="22"/>
          <w:szCs w:val="22"/>
          <w:lang w:val="es-CO"/>
        </w:rPr>
        <w:t xml:space="preserve">de los venezolanos, </w:t>
      </w:r>
      <w:r w:rsidR="00D6729E">
        <w:rPr>
          <w:rFonts w:ascii="Segoe UI" w:hAnsi="Segoe UI" w:cs="Segoe UI"/>
          <w:sz w:val="22"/>
          <w:szCs w:val="22"/>
          <w:lang w:val="es-CO"/>
        </w:rPr>
        <w:t>aún persisten diferencias en las condiciones laborales con respecto a la población migrante.</w:t>
      </w:r>
      <w:r w:rsidR="00BC3E8F">
        <w:rPr>
          <w:rFonts w:ascii="Segoe UI" w:hAnsi="Segoe UI" w:cs="Segoe UI"/>
          <w:sz w:val="22"/>
          <w:szCs w:val="22"/>
          <w:lang w:val="es-CO"/>
        </w:rPr>
        <w:t xml:space="preserve"> </w:t>
      </w:r>
      <w:r w:rsidR="006A1AE1">
        <w:rPr>
          <w:rFonts w:ascii="Segoe UI" w:hAnsi="Segoe UI" w:cs="Segoe UI"/>
          <w:sz w:val="22"/>
          <w:szCs w:val="22"/>
          <w:lang w:val="es-CO"/>
        </w:rPr>
        <w:t>Esta situación se convierte en un tema esencial que limita los ingresos, dificulta el acceso a vivienda y contribuye al déficit habitacional.</w:t>
      </w:r>
    </w:p>
    <w:p w14:paraId="7F684104" w14:textId="51835F16" w:rsidR="00243E01" w:rsidRDefault="0064701C" w:rsidP="0035035F">
      <w:pPr>
        <w:jc w:val="both"/>
        <w:rPr>
          <w:rFonts w:ascii="Segoe UI" w:hAnsi="Segoe UI" w:cs="Segoe UI"/>
          <w:sz w:val="22"/>
          <w:szCs w:val="22"/>
          <w:lang w:val="es-CO"/>
        </w:rPr>
      </w:pPr>
      <w:r>
        <w:rPr>
          <w:rFonts w:ascii="Segoe UI" w:hAnsi="Segoe UI" w:cs="Segoe UI"/>
          <w:sz w:val="22"/>
          <w:szCs w:val="22"/>
          <w:lang w:val="es-CO"/>
        </w:rPr>
        <w:t>En Colombia, e</w:t>
      </w:r>
      <w:r w:rsidR="00243E01" w:rsidRPr="00CD3A1F">
        <w:rPr>
          <w:rFonts w:ascii="Segoe UI" w:hAnsi="Segoe UI" w:cs="Segoe UI"/>
          <w:sz w:val="22"/>
          <w:szCs w:val="22"/>
          <w:lang w:val="es-CO"/>
        </w:rPr>
        <w:t xml:space="preserve">l déficit habitacional es un problema definido por la falta de viviendas adecuadas, ya sea por una escasez de unidades (deficiencias estructurales o déficit cuantitativo) o por la mala </w:t>
      </w:r>
      <w:r w:rsidR="00243E01" w:rsidRPr="00CD3A1F">
        <w:rPr>
          <w:rFonts w:ascii="Segoe UI" w:hAnsi="Segoe UI" w:cs="Segoe UI"/>
          <w:sz w:val="22"/>
          <w:szCs w:val="22"/>
          <w:lang w:val="es-CO"/>
        </w:rPr>
        <w:lastRenderedPageBreak/>
        <w:t xml:space="preserve">calidad de las viviendas existentes (deficiencias no estructurales o déficit cualitativo). Durante los últimos años, </w:t>
      </w:r>
      <w:r>
        <w:rPr>
          <w:rFonts w:ascii="Segoe UI" w:hAnsi="Segoe UI" w:cs="Segoe UI"/>
          <w:sz w:val="22"/>
          <w:szCs w:val="22"/>
          <w:lang w:val="es-CO"/>
        </w:rPr>
        <w:t xml:space="preserve">se </w:t>
      </w:r>
      <w:r w:rsidR="00243E01" w:rsidRPr="00CD3A1F">
        <w:rPr>
          <w:rFonts w:ascii="Segoe UI" w:hAnsi="Segoe UI" w:cs="Segoe UI"/>
          <w:sz w:val="22"/>
          <w:szCs w:val="22"/>
          <w:lang w:val="es-CO"/>
        </w:rPr>
        <w:t xml:space="preserve">ha logrado reducir </w:t>
      </w:r>
      <w:r w:rsidR="009C5868">
        <w:rPr>
          <w:rFonts w:ascii="Segoe UI" w:hAnsi="Segoe UI" w:cs="Segoe UI"/>
          <w:sz w:val="22"/>
          <w:szCs w:val="22"/>
          <w:lang w:val="es-CO"/>
        </w:rPr>
        <w:t>este</w:t>
      </w:r>
      <w:r w:rsidR="00243E01" w:rsidRPr="00CD3A1F">
        <w:rPr>
          <w:rFonts w:ascii="Segoe UI" w:hAnsi="Segoe UI" w:cs="Segoe UI"/>
          <w:sz w:val="22"/>
          <w:szCs w:val="22"/>
          <w:lang w:val="es-CO"/>
        </w:rPr>
        <w:t xml:space="preserve"> déficit. De acuerdo con la Encuesta de Calidad de Vida del DANE, el porcentaje de hogares que habitan viviendas con déficit habitacional en el 2024 es del 26,8%, es decir, aproximadamente 4,9 millones de hogares. Si bien, la reducción desde el 2019 (32,8%) ha sido consistente, la cantidad de hogares en déficit habitacional resulta preocupante.</w:t>
      </w:r>
    </w:p>
    <w:p w14:paraId="415E2400" w14:textId="27DDA5A2" w:rsidR="00BD6B6B" w:rsidRDefault="00784A7C" w:rsidP="00353257">
      <w:pPr>
        <w:jc w:val="both"/>
        <w:rPr>
          <w:rFonts w:ascii="Segoe UI" w:hAnsi="Segoe UI" w:cs="Segoe UI"/>
          <w:sz w:val="22"/>
          <w:szCs w:val="22"/>
          <w:lang w:val="es-CO"/>
        </w:rPr>
      </w:pPr>
      <w:r>
        <w:rPr>
          <w:rFonts w:ascii="Segoe UI" w:hAnsi="Segoe UI" w:cs="Segoe UI"/>
          <w:sz w:val="22"/>
          <w:szCs w:val="22"/>
          <w:lang w:val="es-CO"/>
        </w:rPr>
        <w:t>La Encuesta Multipropósito de 2021 resalta la desigualdad salarial como un aspecto principal en el déficit habitacional de la población venezolana. Según esta, el migrante venezolano cuenta con un ingreso promedio mensual de COP $1.752.911, un 30% menor que el de un bogotano.</w:t>
      </w:r>
      <w:r w:rsidR="00946BAE">
        <w:rPr>
          <w:rFonts w:ascii="Segoe UI" w:hAnsi="Segoe UI" w:cs="Segoe UI"/>
          <w:sz w:val="22"/>
          <w:szCs w:val="22"/>
          <w:lang w:val="es-CO"/>
        </w:rPr>
        <w:t xml:space="preserve"> Con el fin de destinar un máximo del 30% de los ingresos</w:t>
      </w:r>
      <w:r>
        <w:rPr>
          <w:rFonts w:ascii="Segoe UI" w:hAnsi="Segoe UI" w:cs="Segoe UI"/>
          <w:sz w:val="22"/>
          <w:szCs w:val="22"/>
          <w:lang w:val="es-CO"/>
        </w:rPr>
        <w:t xml:space="preserve"> </w:t>
      </w:r>
      <w:r w:rsidR="00456127">
        <w:rPr>
          <w:rFonts w:ascii="Segoe UI" w:hAnsi="Segoe UI" w:cs="Segoe UI"/>
          <w:sz w:val="22"/>
          <w:szCs w:val="22"/>
          <w:lang w:val="es-CO"/>
        </w:rPr>
        <w:t xml:space="preserve">a gastos asociados a vivienda, los hogares venezolanos deberían </w:t>
      </w:r>
      <w:r w:rsidR="00522E95">
        <w:rPr>
          <w:rFonts w:ascii="Segoe UI" w:hAnsi="Segoe UI" w:cs="Segoe UI"/>
          <w:sz w:val="22"/>
          <w:szCs w:val="22"/>
          <w:lang w:val="es-CO"/>
        </w:rPr>
        <w:t xml:space="preserve">gastar cerca de </w:t>
      </w:r>
      <w:r w:rsidR="00A00230">
        <w:rPr>
          <w:rFonts w:ascii="Segoe UI" w:hAnsi="Segoe UI" w:cs="Segoe UI"/>
          <w:sz w:val="22"/>
          <w:szCs w:val="22"/>
          <w:lang w:val="es-CO"/>
        </w:rPr>
        <w:t>COP $550.000, sin embargo, los arrendamientos de estratos 1, 2 y 3 suelen superar los COP $750.000 (</w:t>
      </w:r>
      <w:proofErr w:type="spellStart"/>
      <w:r w:rsidR="00A00230">
        <w:rPr>
          <w:rFonts w:ascii="Segoe UI" w:hAnsi="Segoe UI" w:cs="Segoe UI"/>
          <w:sz w:val="22"/>
          <w:szCs w:val="22"/>
          <w:lang w:val="es-CO"/>
        </w:rPr>
        <w:t>Procolombia</w:t>
      </w:r>
      <w:proofErr w:type="spellEnd"/>
      <w:r w:rsidR="00A00230">
        <w:rPr>
          <w:rFonts w:ascii="Segoe UI" w:hAnsi="Segoe UI" w:cs="Segoe UI"/>
          <w:sz w:val="22"/>
          <w:szCs w:val="22"/>
          <w:lang w:val="es-CO"/>
        </w:rPr>
        <w:t>, 2023).</w:t>
      </w:r>
      <w:r w:rsidR="003F76C0">
        <w:rPr>
          <w:rFonts w:ascii="Segoe UI" w:hAnsi="Segoe UI" w:cs="Segoe UI"/>
          <w:sz w:val="22"/>
          <w:szCs w:val="22"/>
          <w:lang w:val="es-CO"/>
        </w:rPr>
        <w:t xml:space="preserve"> Este desfaz de ingresos manifiesta la dificultad de los hogares para asegurar una vivienda sin comprometer una parte importante de sus ingresos.</w:t>
      </w:r>
      <w:r w:rsidR="001F2716">
        <w:rPr>
          <w:rFonts w:ascii="Segoe UI" w:hAnsi="Segoe UI" w:cs="Segoe UI"/>
          <w:sz w:val="22"/>
          <w:szCs w:val="22"/>
          <w:lang w:val="es-CO"/>
        </w:rPr>
        <w:t xml:space="preserve"> </w:t>
      </w:r>
      <w:r w:rsidR="0035035F">
        <w:rPr>
          <w:rFonts w:ascii="Segoe UI" w:hAnsi="Segoe UI" w:cs="Segoe UI"/>
          <w:sz w:val="22"/>
          <w:szCs w:val="22"/>
          <w:lang w:val="es-CO"/>
        </w:rPr>
        <w:t>Aunque</w:t>
      </w:r>
      <w:r w:rsidR="001F768E">
        <w:rPr>
          <w:rFonts w:ascii="Segoe UI" w:hAnsi="Segoe UI" w:cs="Segoe UI"/>
          <w:sz w:val="22"/>
          <w:szCs w:val="22"/>
          <w:lang w:val="es-CO"/>
        </w:rPr>
        <w:t xml:space="preserve"> la</w:t>
      </w:r>
      <w:r w:rsidR="001C43D1">
        <w:rPr>
          <w:rFonts w:ascii="Segoe UI" w:hAnsi="Segoe UI" w:cs="Segoe UI"/>
          <w:sz w:val="22"/>
          <w:szCs w:val="22"/>
          <w:lang w:val="es-CO"/>
        </w:rPr>
        <w:t>s</w:t>
      </w:r>
      <w:r w:rsidR="001F768E">
        <w:rPr>
          <w:rFonts w:ascii="Segoe UI" w:hAnsi="Segoe UI" w:cs="Segoe UI"/>
          <w:sz w:val="22"/>
          <w:szCs w:val="22"/>
          <w:lang w:val="es-CO"/>
        </w:rPr>
        <w:t xml:space="preserve"> dificultade</w:t>
      </w:r>
      <w:r w:rsidR="001C43D1">
        <w:rPr>
          <w:rFonts w:ascii="Segoe UI" w:hAnsi="Segoe UI" w:cs="Segoe UI"/>
          <w:sz w:val="22"/>
          <w:szCs w:val="22"/>
          <w:lang w:val="es-CO"/>
        </w:rPr>
        <w:t>s</w:t>
      </w:r>
      <w:r w:rsidR="001F768E">
        <w:rPr>
          <w:rFonts w:ascii="Segoe UI" w:hAnsi="Segoe UI" w:cs="Segoe UI"/>
          <w:sz w:val="22"/>
          <w:szCs w:val="22"/>
          <w:lang w:val="es-CO"/>
        </w:rPr>
        <w:t xml:space="preserve"> para el acceso a soluciones de vivienda de calidad </w:t>
      </w:r>
      <w:r w:rsidR="00AC7604">
        <w:rPr>
          <w:rFonts w:ascii="Segoe UI" w:hAnsi="Segoe UI" w:cs="Segoe UI"/>
          <w:sz w:val="22"/>
          <w:szCs w:val="22"/>
          <w:lang w:val="es-CO"/>
        </w:rPr>
        <w:t>son</w:t>
      </w:r>
      <w:r w:rsidR="001F768E">
        <w:rPr>
          <w:rFonts w:ascii="Segoe UI" w:hAnsi="Segoe UI" w:cs="Segoe UI"/>
          <w:sz w:val="22"/>
          <w:szCs w:val="22"/>
          <w:lang w:val="es-CO"/>
        </w:rPr>
        <w:t xml:space="preserve"> un problema que vive la población migrante a nivel nacional, la situación en las principales ciudades receptoras, como Bogotá, </w:t>
      </w:r>
      <w:r w:rsidR="00756D4A">
        <w:rPr>
          <w:rFonts w:ascii="Segoe UI" w:hAnsi="Segoe UI" w:cs="Segoe UI"/>
          <w:sz w:val="22"/>
          <w:szCs w:val="22"/>
          <w:lang w:val="es-CO"/>
        </w:rPr>
        <w:t>resulta</w:t>
      </w:r>
      <w:r w:rsidR="00890087">
        <w:rPr>
          <w:rFonts w:ascii="Segoe UI" w:hAnsi="Segoe UI" w:cs="Segoe UI"/>
          <w:sz w:val="22"/>
          <w:szCs w:val="22"/>
          <w:lang w:val="es-CO"/>
        </w:rPr>
        <w:t xml:space="preserve"> aún</w:t>
      </w:r>
      <w:r w:rsidR="00756D4A">
        <w:rPr>
          <w:rFonts w:ascii="Segoe UI" w:hAnsi="Segoe UI" w:cs="Segoe UI"/>
          <w:sz w:val="22"/>
          <w:szCs w:val="22"/>
          <w:lang w:val="es-CO"/>
        </w:rPr>
        <w:t xml:space="preserve"> mayor</w:t>
      </w:r>
      <w:r w:rsidR="00BD6B6B">
        <w:rPr>
          <w:rFonts w:ascii="Segoe UI" w:hAnsi="Segoe UI" w:cs="Segoe UI"/>
          <w:sz w:val="22"/>
          <w:szCs w:val="22"/>
          <w:lang w:val="es-CO"/>
        </w:rPr>
        <w:t xml:space="preserve">. </w:t>
      </w:r>
    </w:p>
    <w:p w14:paraId="385E19F7" w14:textId="51745E0D" w:rsidR="00895B85" w:rsidRDefault="00EF0E6D" w:rsidP="00353257">
      <w:pPr>
        <w:jc w:val="both"/>
        <w:rPr>
          <w:rFonts w:ascii="Segoe UI" w:hAnsi="Segoe UI" w:cs="Segoe UI"/>
          <w:sz w:val="22"/>
          <w:szCs w:val="22"/>
          <w:lang w:val="es-CO"/>
        </w:rPr>
      </w:pPr>
      <w:r>
        <w:rPr>
          <w:rFonts w:ascii="Segoe UI" w:hAnsi="Segoe UI" w:cs="Segoe UI"/>
          <w:sz w:val="22"/>
          <w:szCs w:val="22"/>
          <w:lang w:val="es-CO"/>
        </w:rPr>
        <w:t xml:space="preserve">Si bien la literatura sobre migración y urbanismo es extensa, gran parte de esta se ha concentrado en el mercado laboral y </w:t>
      </w:r>
      <w:r w:rsidR="00B540E0">
        <w:rPr>
          <w:rFonts w:ascii="Segoe UI" w:hAnsi="Segoe UI" w:cs="Segoe UI"/>
          <w:sz w:val="22"/>
          <w:szCs w:val="22"/>
          <w:lang w:val="es-CO"/>
        </w:rPr>
        <w:t>en el mercado de vivienda.</w:t>
      </w:r>
      <w:r w:rsidR="00AA58B3">
        <w:rPr>
          <w:rFonts w:ascii="Segoe UI" w:hAnsi="Segoe UI" w:cs="Segoe UI"/>
          <w:sz w:val="22"/>
          <w:szCs w:val="22"/>
          <w:lang w:val="es-CO"/>
        </w:rPr>
        <w:t xml:space="preserve"> Por una parte, trabajos como los de </w:t>
      </w:r>
      <w:proofErr w:type="spellStart"/>
      <w:r w:rsidR="00AA58B3">
        <w:rPr>
          <w:rFonts w:ascii="Segoe UI" w:hAnsi="Segoe UI" w:cs="Segoe UI"/>
          <w:sz w:val="22"/>
          <w:szCs w:val="22"/>
          <w:lang w:val="es-CO"/>
        </w:rPr>
        <w:t>Card</w:t>
      </w:r>
      <w:proofErr w:type="spellEnd"/>
      <w:r w:rsidR="00AA58B3">
        <w:rPr>
          <w:rFonts w:ascii="Segoe UI" w:hAnsi="Segoe UI" w:cs="Segoe UI"/>
          <w:sz w:val="22"/>
          <w:szCs w:val="22"/>
          <w:lang w:val="es-CO"/>
        </w:rPr>
        <w:t xml:space="preserve"> (2001)</w:t>
      </w:r>
      <w:r w:rsidR="007B342D">
        <w:rPr>
          <w:rFonts w:ascii="Segoe UI" w:hAnsi="Segoe UI" w:cs="Segoe UI"/>
          <w:sz w:val="22"/>
          <w:szCs w:val="22"/>
          <w:lang w:val="es-CO"/>
        </w:rPr>
        <w:t xml:space="preserve"> </w:t>
      </w:r>
      <w:r w:rsidR="00747ED7">
        <w:rPr>
          <w:rFonts w:ascii="Segoe UI" w:hAnsi="Segoe UI" w:cs="Segoe UI"/>
          <w:sz w:val="22"/>
          <w:szCs w:val="22"/>
          <w:lang w:val="es-CO"/>
        </w:rPr>
        <w:t>analizan el impacto de la migración sobre los mercados laborales locales en Estados Unidos</w:t>
      </w:r>
      <w:r w:rsidR="007349AE">
        <w:rPr>
          <w:rFonts w:ascii="Segoe UI" w:hAnsi="Segoe UI" w:cs="Segoe UI"/>
          <w:sz w:val="22"/>
          <w:szCs w:val="22"/>
          <w:lang w:val="es-CO"/>
        </w:rPr>
        <w:t xml:space="preserve">, para esto identifica un patrón de entrada de migrantes y de salida de nativos </w:t>
      </w:r>
      <w:r w:rsidR="00375A78">
        <w:rPr>
          <w:rFonts w:ascii="Segoe UI" w:hAnsi="Segoe UI" w:cs="Segoe UI"/>
          <w:sz w:val="22"/>
          <w:szCs w:val="22"/>
          <w:lang w:val="es-CO"/>
        </w:rPr>
        <w:t>(desplazados), mostrando que á</w:t>
      </w:r>
      <w:r w:rsidR="00664FEA">
        <w:rPr>
          <w:rFonts w:ascii="Segoe UI" w:hAnsi="Segoe UI" w:cs="Segoe UI"/>
          <w:sz w:val="22"/>
          <w:szCs w:val="22"/>
          <w:lang w:val="es-CO"/>
        </w:rPr>
        <w:t xml:space="preserve">reas con mayores ingresos no generan reducciones significativas en salarios o empleos locales, sino un ajuste en población. Igualmente, </w:t>
      </w:r>
      <w:proofErr w:type="spellStart"/>
      <w:r w:rsidR="00664FEA">
        <w:rPr>
          <w:rFonts w:ascii="Segoe UI" w:hAnsi="Segoe UI" w:cs="Segoe UI"/>
          <w:sz w:val="22"/>
          <w:szCs w:val="22"/>
          <w:lang w:val="es-CO"/>
        </w:rPr>
        <w:t>Card</w:t>
      </w:r>
      <w:proofErr w:type="spellEnd"/>
      <w:r w:rsidR="00664FEA">
        <w:rPr>
          <w:rFonts w:ascii="Segoe UI" w:hAnsi="Segoe UI" w:cs="Segoe UI"/>
          <w:sz w:val="22"/>
          <w:szCs w:val="22"/>
          <w:lang w:val="es-CO"/>
        </w:rPr>
        <w:t xml:space="preserve"> (2009) amplia esta investigación </w:t>
      </w:r>
      <w:r w:rsidR="0024258F">
        <w:rPr>
          <w:rFonts w:ascii="Segoe UI" w:hAnsi="Segoe UI" w:cs="Segoe UI"/>
          <w:sz w:val="22"/>
          <w:szCs w:val="22"/>
          <w:lang w:val="es-CO"/>
        </w:rPr>
        <w:t>observando el efecto sobre la desigualdad salarial, y haciendo uso de la variación geográfica de la llega</w:t>
      </w:r>
      <w:r w:rsidR="00DC107C">
        <w:rPr>
          <w:rFonts w:ascii="Segoe UI" w:hAnsi="Segoe UI" w:cs="Segoe UI"/>
          <w:sz w:val="22"/>
          <w:szCs w:val="22"/>
          <w:lang w:val="es-CO"/>
        </w:rPr>
        <w:t>da</w:t>
      </w:r>
      <w:r w:rsidR="0024258F">
        <w:rPr>
          <w:rFonts w:ascii="Segoe UI" w:hAnsi="Segoe UI" w:cs="Segoe UI"/>
          <w:sz w:val="22"/>
          <w:szCs w:val="22"/>
          <w:lang w:val="es-CO"/>
        </w:rPr>
        <w:t xml:space="preserve"> de </w:t>
      </w:r>
      <w:r w:rsidR="00DC107C">
        <w:rPr>
          <w:rFonts w:ascii="Segoe UI" w:hAnsi="Segoe UI" w:cs="Segoe UI"/>
          <w:sz w:val="22"/>
          <w:szCs w:val="22"/>
          <w:lang w:val="es-CO"/>
        </w:rPr>
        <w:t xml:space="preserve">migrantes </w:t>
      </w:r>
      <w:r w:rsidR="0024258F">
        <w:rPr>
          <w:rFonts w:ascii="Segoe UI" w:hAnsi="Segoe UI" w:cs="Segoe UI"/>
          <w:sz w:val="22"/>
          <w:szCs w:val="22"/>
          <w:lang w:val="es-CO"/>
        </w:rPr>
        <w:t xml:space="preserve">a Estados Unidos, introduce el instrumento </w:t>
      </w:r>
      <w:r w:rsidR="0024258F">
        <w:rPr>
          <w:rFonts w:ascii="Segoe UI" w:hAnsi="Segoe UI" w:cs="Segoe UI"/>
          <w:i/>
          <w:iCs/>
          <w:sz w:val="22"/>
          <w:szCs w:val="22"/>
          <w:lang w:val="es-CO"/>
        </w:rPr>
        <w:t>shift-share</w:t>
      </w:r>
      <w:r w:rsidR="00182E61">
        <w:rPr>
          <w:rFonts w:ascii="Segoe UI" w:hAnsi="Segoe UI" w:cs="Segoe UI"/>
          <w:i/>
          <w:iCs/>
          <w:sz w:val="22"/>
          <w:szCs w:val="22"/>
          <w:lang w:val="es-CO"/>
        </w:rPr>
        <w:t xml:space="preserve">, </w:t>
      </w:r>
      <w:r w:rsidR="00A26576">
        <w:rPr>
          <w:rFonts w:ascii="Segoe UI" w:hAnsi="Segoe UI" w:cs="Segoe UI"/>
          <w:sz w:val="22"/>
          <w:szCs w:val="22"/>
          <w:lang w:val="es-CO"/>
        </w:rPr>
        <w:t xml:space="preserve">suponiendo que </w:t>
      </w:r>
      <w:r w:rsidR="00413A85">
        <w:rPr>
          <w:rFonts w:ascii="Segoe UI" w:hAnsi="Segoe UI" w:cs="Segoe UI"/>
          <w:sz w:val="22"/>
          <w:szCs w:val="22"/>
          <w:lang w:val="es-CO"/>
        </w:rPr>
        <w:t>la distribución de las redes migratorias puede</w:t>
      </w:r>
      <w:r w:rsidR="006E7FCC">
        <w:rPr>
          <w:rFonts w:ascii="Segoe UI" w:hAnsi="Segoe UI" w:cs="Segoe UI"/>
          <w:sz w:val="22"/>
          <w:szCs w:val="22"/>
          <w:lang w:val="es-CO"/>
        </w:rPr>
        <w:t xml:space="preserve"> predecir </w:t>
      </w:r>
      <w:r w:rsidR="00BD3F22">
        <w:rPr>
          <w:rFonts w:ascii="Segoe UI" w:hAnsi="Segoe UI" w:cs="Segoe UI"/>
          <w:sz w:val="22"/>
          <w:szCs w:val="22"/>
          <w:lang w:val="es-CO"/>
        </w:rPr>
        <w:t>la llegada futura de migrantes.</w:t>
      </w:r>
      <w:r w:rsidR="00AE054A">
        <w:rPr>
          <w:rFonts w:ascii="Segoe UI" w:hAnsi="Segoe UI" w:cs="Segoe UI"/>
          <w:sz w:val="22"/>
          <w:szCs w:val="22"/>
          <w:lang w:val="es-CO"/>
        </w:rPr>
        <w:t xml:space="preserve"> </w:t>
      </w:r>
      <w:r w:rsidR="00BD07C4">
        <w:rPr>
          <w:rFonts w:ascii="Segoe UI" w:hAnsi="Segoe UI" w:cs="Segoe UI"/>
          <w:sz w:val="22"/>
          <w:szCs w:val="22"/>
          <w:lang w:val="es-CO"/>
        </w:rPr>
        <w:t>Por otra parte,</w:t>
      </w:r>
      <w:r w:rsidR="00AE054A">
        <w:rPr>
          <w:rFonts w:ascii="Segoe UI" w:hAnsi="Segoe UI" w:cs="Segoe UI"/>
          <w:sz w:val="22"/>
          <w:szCs w:val="22"/>
          <w:lang w:val="es-CO"/>
        </w:rPr>
        <w:t xml:space="preserve"> trabajos como los de</w:t>
      </w:r>
      <w:r w:rsidR="00BD07C4">
        <w:rPr>
          <w:rFonts w:ascii="Segoe UI" w:hAnsi="Segoe UI" w:cs="Segoe UI"/>
          <w:sz w:val="22"/>
          <w:szCs w:val="22"/>
          <w:lang w:val="es-CO"/>
        </w:rPr>
        <w:t xml:space="preserve"> </w:t>
      </w:r>
      <w:r w:rsidR="00C7009B">
        <w:rPr>
          <w:rFonts w:ascii="Segoe UI" w:hAnsi="Segoe UI" w:cs="Segoe UI"/>
          <w:sz w:val="22"/>
          <w:szCs w:val="22"/>
          <w:lang w:val="es-CO"/>
        </w:rPr>
        <w:t xml:space="preserve">Saiz (2007) y Sanchis-Guarner (2023) han realizado aportes en temas de mercado de vivienda, demostrando que la población </w:t>
      </w:r>
      <w:r w:rsidR="005C2C03">
        <w:rPr>
          <w:rFonts w:ascii="Segoe UI" w:hAnsi="Segoe UI" w:cs="Segoe UI"/>
          <w:sz w:val="22"/>
          <w:szCs w:val="22"/>
          <w:lang w:val="es-CO"/>
        </w:rPr>
        <w:t>inmigrante incrementa la demanda local de vivienda y ejercen presión sobre los precios y los arriendo</w:t>
      </w:r>
      <w:r w:rsidR="00453FF5">
        <w:rPr>
          <w:rFonts w:ascii="Segoe UI" w:hAnsi="Segoe UI" w:cs="Segoe UI"/>
          <w:sz w:val="22"/>
          <w:szCs w:val="22"/>
          <w:lang w:val="es-CO"/>
        </w:rPr>
        <w:t>s; ambos autores haciendo uso de una estrategia de variables instrumentales</w:t>
      </w:r>
      <w:r w:rsidR="00CF6285">
        <w:rPr>
          <w:rFonts w:ascii="Segoe UI" w:hAnsi="Segoe UI" w:cs="Segoe UI"/>
          <w:sz w:val="22"/>
          <w:szCs w:val="22"/>
          <w:lang w:val="es-CO"/>
        </w:rPr>
        <w:t xml:space="preserve"> de tipo </w:t>
      </w:r>
      <w:r w:rsidR="00CF6285">
        <w:rPr>
          <w:rFonts w:ascii="Segoe UI" w:hAnsi="Segoe UI" w:cs="Segoe UI"/>
          <w:i/>
          <w:iCs/>
          <w:sz w:val="22"/>
          <w:szCs w:val="22"/>
          <w:lang w:val="es-CO"/>
        </w:rPr>
        <w:t>shift-share</w:t>
      </w:r>
      <w:r w:rsidR="00CF6285">
        <w:rPr>
          <w:rFonts w:ascii="Segoe UI" w:hAnsi="Segoe UI" w:cs="Segoe UI"/>
          <w:sz w:val="22"/>
          <w:szCs w:val="22"/>
          <w:lang w:val="es-CO"/>
        </w:rPr>
        <w:t xml:space="preserve"> usando los niveles nacionales de migración hacia las áreas metropolitanas en Estados Unidos y España, respectivamente.</w:t>
      </w:r>
      <w:r w:rsidR="000F0EBC">
        <w:rPr>
          <w:rFonts w:ascii="Segoe UI" w:hAnsi="Segoe UI" w:cs="Segoe UI"/>
          <w:sz w:val="22"/>
          <w:szCs w:val="22"/>
          <w:lang w:val="es-CO"/>
        </w:rPr>
        <w:t xml:space="preserve"> </w:t>
      </w:r>
      <w:r w:rsidR="00F77A4F">
        <w:rPr>
          <w:rFonts w:ascii="Segoe UI" w:hAnsi="Segoe UI" w:cs="Segoe UI"/>
          <w:sz w:val="22"/>
          <w:szCs w:val="22"/>
          <w:lang w:val="es-CO"/>
        </w:rPr>
        <w:t xml:space="preserve">En el caso colombiano, Mutis et al. (2021) analizan </w:t>
      </w:r>
      <w:r w:rsidR="00362CFD">
        <w:rPr>
          <w:rFonts w:ascii="Segoe UI" w:hAnsi="Segoe UI" w:cs="Segoe UI"/>
          <w:sz w:val="22"/>
          <w:szCs w:val="22"/>
          <w:lang w:val="es-CO"/>
        </w:rPr>
        <w:t xml:space="preserve">como el choque migratorio venezolano ha afectado la productividad, la informalidad y la estructura del empleo, </w:t>
      </w:r>
      <w:r w:rsidR="00E46535">
        <w:rPr>
          <w:rFonts w:ascii="Segoe UI" w:hAnsi="Segoe UI" w:cs="Segoe UI"/>
          <w:sz w:val="22"/>
          <w:szCs w:val="22"/>
          <w:lang w:val="es-CO"/>
        </w:rPr>
        <w:t>argumentando que existe un sesgo de autoselección por parte de los migrantes para ocuparse en departamentos con mayor productividad</w:t>
      </w:r>
      <w:r w:rsidR="001D22CA">
        <w:rPr>
          <w:rFonts w:ascii="Segoe UI" w:hAnsi="Segoe UI" w:cs="Segoe UI"/>
          <w:sz w:val="22"/>
          <w:szCs w:val="22"/>
          <w:lang w:val="es-CO"/>
        </w:rPr>
        <w:t xml:space="preserve"> y</w:t>
      </w:r>
      <w:r w:rsidR="007077A5">
        <w:rPr>
          <w:rFonts w:ascii="Segoe UI" w:hAnsi="Segoe UI" w:cs="Segoe UI"/>
          <w:sz w:val="22"/>
          <w:szCs w:val="22"/>
          <w:lang w:val="es-CO"/>
        </w:rPr>
        <w:t xml:space="preserve"> </w:t>
      </w:r>
      <w:r w:rsidR="00C7452F">
        <w:rPr>
          <w:rFonts w:ascii="Segoe UI" w:hAnsi="Segoe UI" w:cs="Segoe UI"/>
          <w:sz w:val="22"/>
          <w:szCs w:val="22"/>
          <w:lang w:val="es-CO"/>
        </w:rPr>
        <w:t>abarcan</w:t>
      </w:r>
      <w:r w:rsidR="009A21A6">
        <w:rPr>
          <w:rFonts w:ascii="Segoe UI" w:hAnsi="Segoe UI" w:cs="Segoe UI"/>
          <w:sz w:val="22"/>
          <w:szCs w:val="22"/>
          <w:lang w:val="es-CO"/>
        </w:rPr>
        <w:t xml:space="preserve">do </w:t>
      </w:r>
      <w:r w:rsidR="001D22CA">
        <w:rPr>
          <w:rFonts w:ascii="Segoe UI" w:hAnsi="Segoe UI" w:cs="Segoe UI"/>
          <w:sz w:val="22"/>
          <w:szCs w:val="22"/>
          <w:lang w:val="es-CO"/>
        </w:rPr>
        <w:t xml:space="preserve">esta </w:t>
      </w:r>
      <w:r w:rsidR="009A21A6">
        <w:rPr>
          <w:rFonts w:ascii="Segoe UI" w:hAnsi="Segoe UI" w:cs="Segoe UI"/>
          <w:sz w:val="22"/>
          <w:szCs w:val="22"/>
          <w:lang w:val="es-CO"/>
        </w:rPr>
        <w:t>problemática</w:t>
      </w:r>
      <w:r w:rsidR="00C7452F">
        <w:rPr>
          <w:rFonts w:ascii="Segoe UI" w:hAnsi="Segoe UI" w:cs="Segoe UI"/>
          <w:sz w:val="22"/>
          <w:szCs w:val="22"/>
          <w:lang w:val="es-CO"/>
        </w:rPr>
        <w:t xml:space="preserve"> a partir del uso de variables instrumentales. </w:t>
      </w:r>
    </w:p>
    <w:p w14:paraId="468965CA" w14:textId="77777777" w:rsidR="007B42FB" w:rsidRDefault="00900EA9" w:rsidP="009A21A6">
      <w:pPr>
        <w:jc w:val="both"/>
        <w:rPr>
          <w:rFonts w:ascii="Segoe UI" w:hAnsi="Segoe UI" w:cs="Segoe UI"/>
          <w:sz w:val="22"/>
          <w:szCs w:val="22"/>
          <w:lang w:val="es-CO"/>
        </w:rPr>
      </w:pPr>
      <w:r>
        <w:rPr>
          <w:rFonts w:ascii="Segoe UI" w:hAnsi="Segoe UI" w:cs="Segoe UI"/>
          <w:sz w:val="22"/>
          <w:szCs w:val="22"/>
          <w:lang w:val="es-CO"/>
        </w:rPr>
        <w:t xml:space="preserve">Cabe resaltar que una parte importante de esta literatura utiliza instrumentos de tipo </w:t>
      </w:r>
      <w:r>
        <w:rPr>
          <w:rFonts w:ascii="Segoe UI" w:hAnsi="Segoe UI" w:cs="Segoe UI"/>
          <w:i/>
          <w:iCs/>
          <w:sz w:val="22"/>
          <w:szCs w:val="22"/>
          <w:lang w:val="es-CO"/>
        </w:rPr>
        <w:t>shift-share</w:t>
      </w:r>
      <w:r w:rsidR="00D46555">
        <w:rPr>
          <w:rFonts w:ascii="Segoe UI" w:hAnsi="Segoe UI" w:cs="Segoe UI"/>
          <w:sz w:val="22"/>
          <w:szCs w:val="22"/>
          <w:lang w:val="es-CO"/>
        </w:rPr>
        <w:t xml:space="preserve"> </w:t>
      </w:r>
      <w:proofErr w:type="spellStart"/>
      <w:r w:rsidR="003E5EF9">
        <w:rPr>
          <w:rFonts w:ascii="Segoe UI" w:hAnsi="Segoe UI" w:cs="Segoe UI"/>
          <w:sz w:val="22"/>
          <w:szCs w:val="22"/>
          <w:lang w:val="es-CO"/>
        </w:rPr>
        <w:t>Bartik</w:t>
      </w:r>
      <w:proofErr w:type="spellEnd"/>
      <w:r w:rsidR="003E5EF9">
        <w:rPr>
          <w:rFonts w:ascii="Segoe UI" w:hAnsi="Segoe UI" w:cs="Segoe UI"/>
          <w:sz w:val="22"/>
          <w:szCs w:val="22"/>
          <w:lang w:val="es-CO"/>
        </w:rPr>
        <w:t xml:space="preserve"> (1991)</w:t>
      </w:r>
      <w:r w:rsidR="00D46555">
        <w:rPr>
          <w:rFonts w:ascii="Segoe UI" w:hAnsi="Segoe UI" w:cs="Segoe UI"/>
          <w:sz w:val="22"/>
          <w:szCs w:val="22"/>
          <w:lang w:val="es-CO"/>
        </w:rPr>
        <w:t>. E</w:t>
      </w:r>
      <w:r w:rsidR="00AA50D6">
        <w:rPr>
          <w:rFonts w:ascii="Segoe UI" w:hAnsi="Segoe UI" w:cs="Segoe UI"/>
          <w:sz w:val="22"/>
          <w:szCs w:val="22"/>
          <w:lang w:val="es-CO"/>
        </w:rPr>
        <w:t xml:space="preserve">ste diseño busca construir choques locales a partir de choques agregados (o </w:t>
      </w:r>
      <w:proofErr w:type="spellStart"/>
      <w:r w:rsidR="00AA50D6">
        <w:rPr>
          <w:rFonts w:ascii="Segoe UI" w:hAnsi="Segoe UI" w:cs="Segoe UI"/>
          <w:sz w:val="22"/>
          <w:szCs w:val="22"/>
          <w:lang w:val="es-CO"/>
        </w:rPr>
        <w:t>shifts</w:t>
      </w:r>
      <w:proofErr w:type="spellEnd"/>
      <w:r w:rsidR="00AA50D6">
        <w:rPr>
          <w:rFonts w:ascii="Segoe UI" w:hAnsi="Segoe UI" w:cs="Segoe UI"/>
          <w:sz w:val="22"/>
          <w:szCs w:val="22"/>
          <w:lang w:val="es-CO"/>
        </w:rPr>
        <w:t>)</w:t>
      </w:r>
      <w:r w:rsidR="000D38EE">
        <w:rPr>
          <w:rFonts w:ascii="Segoe UI" w:hAnsi="Segoe UI" w:cs="Segoe UI"/>
          <w:sz w:val="22"/>
          <w:szCs w:val="22"/>
          <w:lang w:val="es-CO"/>
        </w:rPr>
        <w:t xml:space="preserve"> </w:t>
      </w:r>
      <w:r w:rsidR="000D38EE">
        <w:rPr>
          <w:rFonts w:ascii="Segoe UI" w:hAnsi="Segoe UI" w:cs="Segoe UI"/>
          <w:sz w:val="22"/>
          <w:szCs w:val="22"/>
          <w:lang w:val="es-CO"/>
        </w:rPr>
        <w:lastRenderedPageBreak/>
        <w:t>ponderados por exposiciones históricas específicas (o shares)</w:t>
      </w:r>
      <w:r w:rsidR="003D0448">
        <w:rPr>
          <w:rFonts w:ascii="Segoe UI" w:hAnsi="Segoe UI" w:cs="Segoe UI"/>
          <w:sz w:val="22"/>
          <w:szCs w:val="22"/>
          <w:lang w:val="es-CO"/>
        </w:rPr>
        <w:t>. A</w:t>
      </w:r>
      <w:r w:rsidR="00761E3A">
        <w:rPr>
          <w:rFonts w:ascii="Segoe UI" w:hAnsi="Segoe UI" w:cs="Segoe UI"/>
          <w:sz w:val="22"/>
          <w:szCs w:val="22"/>
          <w:lang w:val="es-CO"/>
        </w:rPr>
        <w:t xml:space="preserve">utores como </w:t>
      </w:r>
      <w:r w:rsidR="001E419B" w:rsidRPr="001E419B">
        <w:rPr>
          <w:rFonts w:ascii="Segoe UI" w:hAnsi="Segoe UI" w:cs="Segoe UI"/>
          <w:sz w:val="22"/>
          <w:szCs w:val="22"/>
          <w:lang w:val="es-CO"/>
        </w:rPr>
        <w:t>Goldsmith-</w:t>
      </w:r>
      <w:proofErr w:type="spellStart"/>
      <w:r w:rsidR="001E419B" w:rsidRPr="001E419B">
        <w:rPr>
          <w:rFonts w:ascii="Segoe UI" w:hAnsi="Segoe UI" w:cs="Segoe UI"/>
          <w:sz w:val="22"/>
          <w:szCs w:val="22"/>
          <w:lang w:val="es-CO"/>
        </w:rPr>
        <w:t>Pinkham</w:t>
      </w:r>
      <w:proofErr w:type="spellEnd"/>
      <w:r w:rsidR="005C43A7">
        <w:rPr>
          <w:rFonts w:ascii="Segoe UI" w:hAnsi="Segoe UI" w:cs="Segoe UI"/>
          <w:sz w:val="22"/>
          <w:szCs w:val="22"/>
          <w:lang w:val="es-CO"/>
        </w:rPr>
        <w:t xml:space="preserve"> et al.</w:t>
      </w:r>
      <w:r w:rsidR="001E419B" w:rsidRPr="001E419B">
        <w:rPr>
          <w:rFonts w:ascii="Segoe UI" w:hAnsi="Segoe UI" w:cs="Segoe UI"/>
          <w:sz w:val="22"/>
          <w:szCs w:val="22"/>
          <w:lang w:val="es-CO"/>
        </w:rPr>
        <w:t xml:space="preserve"> (2020) </w:t>
      </w:r>
      <w:r w:rsidR="007E0691">
        <w:rPr>
          <w:rFonts w:ascii="Segoe UI" w:hAnsi="Segoe UI" w:cs="Segoe UI"/>
          <w:sz w:val="22"/>
          <w:szCs w:val="22"/>
          <w:lang w:val="es-CO"/>
        </w:rPr>
        <w:t xml:space="preserve">muestran como el uso del instrumento </w:t>
      </w:r>
      <w:r w:rsidR="001E419B" w:rsidRPr="001E419B">
        <w:rPr>
          <w:rFonts w:ascii="Segoe UI" w:hAnsi="Segoe UI" w:cs="Segoe UI"/>
          <w:sz w:val="22"/>
          <w:szCs w:val="22"/>
          <w:lang w:val="es-CO"/>
        </w:rPr>
        <w:t xml:space="preserve">de </w:t>
      </w:r>
      <w:proofErr w:type="spellStart"/>
      <w:r w:rsidR="001E419B" w:rsidRPr="001E419B">
        <w:rPr>
          <w:rFonts w:ascii="Segoe UI" w:hAnsi="Segoe UI" w:cs="Segoe UI"/>
          <w:sz w:val="22"/>
          <w:szCs w:val="22"/>
          <w:lang w:val="es-CO"/>
        </w:rPr>
        <w:t>Bartik</w:t>
      </w:r>
      <w:proofErr w:type="spellEnd"/>
      <w:r w:rsidR="001E419B" w:rsidRPr="001E419B">
        <w:rPr>
          <w:rFonts w:ascii="Segoe UI" w:hAnsi="Segoe UI" w:cs="Segoe UI"/>
          <w:sz w:val="22"/>
          <w:szCs w:val="22"/>
          <w:lang w:val="es-CO"/>
        </w:rPr>
        <w:t xml:space="preserve"> </w:t>
      </w:r>
      <w:r w:rsidR="007E0691">
        <w:rPr>
          <w:rFonts w:ascii="Segoe UI" w:hAnsi="Segoe UI" w:cs="Segoe UI"/>
          <w:sz w:val="22"/>
          <w:szCs w:val="22"/>
          <w:lang w:val="es-CO"/>
        </w:rPr>
        <w:t>asume</w:t>
      </w:r>
      <w:r w:rsidR="001E419B" w:rsidRPr="001E419B">
        <w:rPr>
          <w:rFonts w:ascii="Segoe UI" w:hAnsi="Segoe UI" w:cs="Segoe UI"/>
          <w:sz w:val="22"/>
          <w:szCs w:val="22"/>
          <w:lang w:val="es-CO"/>
        </w:rPr>
        <w:t xml:space="preserve"> un diseño de exposición agrupada</w:t>
      </w:r>
      <w:r w:rsidR="007E0691">
        <w:rPr>
          <w:rFonts w:ascii="Segoe UI" w:hAnsi="Segoe UI" w:cs="Segoe UI"/>
          <w:sz w:val="22"/>
          <w:szCs w:val="22"/>
          <w:lang w:val="es-CO"/>
        </w:rPr>
        <w:t xml:space="preserve"> e ilustran sus resultados a partir de dos aplicaciones en temas de mercado laboral y elasticidad de sustitución entre migrantes y nativos. </w:t>
      </w:r>
      <w:r w:rsidR="00D3633E">
        <w:rPr>
          <w:rFonts w:ascii="Segoe UI" w:hAnsi="Segoe UI" w:cs="Segoe UI"/>
          <w:sz w:val="22"/>
          <w:szCs w:val="22"/>
          <w:lang w:val="es-CO"/>
        </w:rPr>
        <w:t>Se resalta</w:t>
      </w:r>
      <w:r w:rsidR="004501B8">
        <w:rPr>
          <w:rFonts w:ascii="Segoe UI" w:hAnsi="Segoe UI" w:cs="Segoe UI"/>
          <w:sz w:val="22"/>
          <w:szCs w:val="22"/>
          <w:lang w:val="es-CO"/>
        </w:rPr>
        <w:t xml:space="preserve"> el estudio de</w:t>
      </w:r>
      <w:r w:rsidR="007E0691">
        <w:rPr>
          <w:rFonts w:ascii="Segoe UI" w:hAnsi="Segoe UI" w:cs="Segoe UI"/>
          <w:sz w:val="22"/>
          <w:szCs w:val="22"/>
          <w:lang w:val="es-CO"/>
        </w:rPr>
        <w:t xml:space="preserve"> </w:t>
      </w:r>
      <w:proofErr w:type="spellStart"/>
      <w:r w:rsidR="001E419B" w:rsidRPr="001E419B">
        <w:rPr>
          <w:rFonts w:ascii="Segoe UI" w:hAnsi="Segoe UI" w:cs="Segoe UI"/>
          <w:sz w:val="22"/>
          <w:szCs w:val="22"/>
          <w:lang w:val="es-CO"/>
        </w:rPr>
        <w:t>Borusyak</w:t>
      </w:r>
      <w:proofErr w:type="spellEnd"/>
      <w:r w:rsidR="001E419B" w:rsidRPr="001E419B">
        <w:rPr>
          <w:rFonts w:ascii="Segoe UI" w:hAnsi="Segoe UI" w:cs="Segoe UI"/>
          <w:sz w:val="22"/>
          <w:szCs w:val="22"/>
          <w:lang w:val="es-CO"/>
        </w:rPr>
        <w:t xml:space="preserve"> </w:t>
      </w:r>
      <w:r w:rsidR="007E0691">
        <w:rPr>
          <w:rFonts w:ascii="Segoe UI" w:hAnsi="Segoe UI" w:cs="Segoe UI"/>
          <w:sz w:val="22"/>
          <w:szCs w:val="22"/>
          <w:lang w:val="es-CO"/>
        </w:rPr>
        <w:t xml:space="preserve">et al. </w:t>
      </w:r>
      <w:r w:rsidR="001E419B" w:rsidRPr="001E419B">
        <w:rPr>
          <w:rFonts w:ascii="Segoe UI" w:hAnsi="Segoe UI" w:cs="Segoe UI"/>
          <w:sz w:val="22"/>
          <w:szCs w:val="22"/>
          <w:lang w:val="es-CO"/>
        </w:rPr>
        <w:t xml:space="preserve">(2025) </w:t>
      </w:r>
      <w:r w:rsidR="004501B8">
        <w:rPr>
          <w:rFonts w:ascii="Segoe UI" w:hAnsi="Segoe UI" w:cs="Segoe UI"/>
          <w:sz w:val="22"/>
          <w:szCs w:val="22"/>
          <w:lang w:val="es-CO"/>
        </w:rPr>
        <w:t xml:space="preserve">en el que se explica este tipo de </w:t>
      </w:r>
      <w:r w:rsidR="00D8346D">
        <w:rPr>
          <w:rFonts w:ascii="Segoe UI" w:hAnsi="Segoe UI" w:cs="Segoe UI"/>
          <w:sz w:val="22"/>
          <w:szCs w:val="22"/>
          <w:lang w:val="es-CO"/>
        </w:rPr>
        <w:t>instrumentos</w:t>
      </w:r>
      <w:r w:rsidR="004501B8">
        <w:rPr>
          <w:rFonts w:ascii="Segoe UI" w:hAnsi="Segoe UI" w:cs="Segoe UI"/>
          <w:sz w:val="22"/>
          <w:szCs w:val="22"/>
          <w:lang w:val="es-CO"/>
        </w:rPr>
        <w:t>,</w:t>
      </w:r>
      <w:r w:rsidR="001E419B" w:rsidRPr="001E419B">
        <w:rPr>
          <w:rFonts w:ascii="Segoe UI" w:hAnsi="Segoe UI" w:cs="Segoe UI"/>
          <w:sz w:val="22"/>
          <w:szCs w:val="22"/>
          <w:lang w:val="es-CO"/>
        </w:rPr>
        <w:t xml:space="preserve"> su implementación, interpretaciones y requisitos de validez</w:t>
      </w:r>
      <w:r w:rsidR="001E419B">
        <w:rPr>
          <w:rFonts w:ascii="Segoe UI" w:hAnsi="Segoe UI" w:cs="Segoe UI"/>
          <w:sz w:val="22"/>
          <w:szCs w:val="22"/>
          <w:lang w:val="es-CO"/>
        </w:rPr>
        <w:t>.</w:t>
      </w:r>
      <w:r w:rsidR="00895B85">
        <w:rPr>
          <w:rFonts w:ascii="Segoe UI" w:hAnsi="Segoe UI" w:cs="Segoe UI"/>
          <w:sz w:val="22"/>
          <w:szCs w:val="22"/>
          <w:lang w:val="es-CO"/>
        </w:rPr>
        <w:t xml:space="preserve"> </w:t>
      </w:r>
    </w:p>
    <w:p w14:paraId="11560C28" w14:textId="7DF9DEB8" w:rsidR="009A21A6" w:rsidRDefault="007B42FB" w:rsidP="009A21A6">
      <w:pPr>
        <w:jc w:val="both"/>
        <w:rPr>
          <w:rFonts w:ascii="Segoe UI" w:hAnsi="Segoe UI" w:cs="Segoe UI"/>
          <w:sz w:val="22"/>
          <w:szCs w:val="22"/>
          <w:lang w:val="es-CO"/>
        </w:rPr>
      </w:pPr>
      <w:r>
        <w:rPr>
          <w:rFonts w:ascii="Segoe UI" w:hAnsi="Segoe UI" w:cs="Segoe UI"/>
          <w:sz w:val="22"/>
          <w:szCs w:val="22"/>
          <w:lang w:val="es-CO"/>
        </w:rPr>
        <w:t xml:space="preserve">En conjunto, la </w:t>
      </w:r>
      <w:r w:rsidR="00CA1C81">
        <w:rPr>
          <w:rFonts w:ascii="Segoe UI" w:hAnsi="Segoe UI" w:cs="Segoe UI"/>
          <w:sz w:val="22"/>
          <w:szCs w:val="22"/>
          <w:lang w:val="es-CO"/>
        </w:rPr>
        <w:t xml:space="preserve">revisión de </w:t>
      </w:r>
      <w:r>
        <w:rPr>
          <w:rFonts w:ascii="Segoe UI" w:hAnsi="Segoe UI" w:cs="Segoe UI"/>
          <w:sz w:val="22"/>
          <w:szCs w:val="22"/>
          <w:lang w:val="es-CO"/>
        </w:rPr>
        <w:t>literatura muestra</w:t>
      </w:r>
      <w:r w:rsidR="00FB1913">
        <w:rPr>
          <w:rFonts w:ascii="Segoe UI" w:hAnsi="Segoe UI" w:cs="Segoe UI"/>
          <w:sz w:val="22"/>
          <w:szCs w:val="22"/>
          <w:lang w:val="es-CO"/>
        </w:rPr>
        <w:t xml:space="preserve"> una amplia investigación en como la migración afecta los mercados laborales y de vivienda,</w:t>
      </w:r>
      <w:r w:rsidR="00631FAB">
        <w:rPr>
          <w:rFonts w:ascii="Segoe UI" w:hAnsi="Segoe UI" w:cs="Segoe UI"/>
          <w:sz w:val="22"/>
          <w:szCs w:val="22"/>
          <w:lang w:val="es-CO"/>
        </w:rPr>
        <w:t xml:space="preserve"> y que los instrumentos </w:t>
      </w:r>
      <w:r w:rsidR="00631FAB">
        <w:rPr>
          <w:rFonts w:ascii="Segoe UI" w:hAnsi="Segoe UI" w:cs="Segoe UI"/>
          <w:i/>
          <w:iCs/>
          <w:sz w:val="22"/>
          <w:szCs w:val="22"/>
          <w:lang w:val="es-CO"/>
        </w:rPr>
        <w:t xml:space="preserve">shift-share </w:t>
      </w:r>
      <w:r w:rsidR="00CA1C81">
        <w:rPr>
          <w:rFonts w:ascii="Segoe UI" w:hAnsi="Segoe UI" w:cs="Segoe UI"/>
          <w:sz w:val="22"/>
          <w:szCs w:val="22"/>
          <w:lang w:val="es-CO"/>
        </w:rPr>
        <w:t>son una herramienta estándar para identificar este tipo de impactos. N</w:t>
      </w:r>
      <w:r w:rsidR="009A21A6">
        <w:rPr>
          <w:rFonts w:ascii="Segoe UI" w:hAnsi="Segoe UI" w:cs="Segoe UI"/>
          <w:sz w:val="22"/>
          <w:szCs w:val="22"/>
          <w:lang w:val="es-CO"/>
        </w:rPr>
        <w:t xml:space="preserve">o obstante, parece ser que </w:t>
      </w:r>
      <w:r w:rsidR="00CA1C81">
        <w:rPr>
          <w:rFonts w:ascii="Segoe UI" w:hAnsi="Segoe UI" w:cs="Segoe UI"/>
          <w:sz w:val="22"/>
          <w:szCs w:val="22"/>
          <w:lang w:val="es-CO"/>
        </w:rPr>
        <w:t xml:space="preserve">esta </w:t>
      </w:r>
      <w:r w:rsidR="009A21A6">
        <w:rPr>
          <w:rFonts w:ascii="Segoe UI" w:hAnsi="Segoe UI" w:cs="Segoe UI"/>
          <w:sz w:val="22"/>
          <w:szCs w:val="22"/>
          <w:lang w:val="es-CO"/>
        </w:rPr>
        <w:t>ha profundizado en menor medida en como la migración afecta la calidad de la vivienda, la habitabilidad o el déficit habitacional, lo que puede representar un vacío importante en países donde los mercados de vivienda son altamente segmentados y la oferta de vivienda inelástica.</w:t>
      </w:r>
    </w:p>
    <w:p w14:paraId="0373EA85" w14:textId="7A9441A0" w:rsidR="00AA77DE" w:rsidRPr="00900EA9" w:rsidRDefault="00AA77DE" w:rsidP="009A21A6">
      <w:pPr>
        <w:jc w:val="both"/>
        <w:rPr>
          <w:rFonts w:ascii="Segoe UI" w:hAnsi="Segoe UI" w:cs="Segoe UI"/>
          <w:sz w:val="22"/>
          <w:szCs w:val="22"/>
          <w:lang w:val="es-CO"/>
        </w:rPr>
      </w:pPr>
      <w:r>
        <w:rPr>
          <w:rFonts w:ascii="Segoe UI" w:hAnsi="Segoe UI" w:cs="Segoe UI"/>
          <w:sz w:val="22"/>
          <w:szCs w:val="22"/>
          <w:lang w:val="es-CO"/>
        </w:rPr>
        <w:t xml:space="preserve">En este sentido, </w:t>
      </w:r>
      <w:r w:rsidR="00776914">
        <w:rPr>
          <w:rFonts w:ascii="Segoe UI" w:hAnsi="Segoe UI" w:cs="Segoe UI"/>
          <w:sz w:val="22"/>
          <w:szCs w:val="22"/>
          <w:lang w:val="es-CO"/>
        </w:rPr>
        <w:t>a partir de las Encuestas Multipropósito</w:t>
      </w:r>
      <w:r w:rsidR="00AE1029">
        <w:rPr>
          <w:rFonts w:ascii="Segoe UI" w:hAnsi="Segoe UI" w:cs="Segoe UI"/>
          <w:sz w:val="22"/>
          <w:szCs w:val="22"/>
          <w:lang w:val="es-CO"/>
        </w:rPr>
        <w:t>, que contienen información con respecto a las condiciones sociales, económicas y del entorno de los hogares y habitantes de Bogotá</w:t>
      </w:r>
      <w:r w:rsidR="001F2716">
        <w:rPr>
          <w:rFonts w:ascii="Segoe UI" w:hAnsi="Segoe UI" w:cs="Segoe UI"/>
          <w:sz w:val="22"/>
          <w:szCs w:val="22"/>
          <w:lang w:val="es-CO"/>
        </w:rPr>
        <w:t xml:space="preserve">, </w:t>
      </w:r>
      <w:r w:rsidR="00F72B11">
        <w:rPr>
          <w:rFonts w:ascii="Segoe UI" w:hAnsi="Segoe UI" w:cs="Segoe UI"/>
          <w:sz w:val="22"/>
          <w:szCs w:val="22"/>
          <w:lang w:val="es-CO"/>
        </w:rPr>
        <w:t>este trabajo busca entender los mecanismos a través de los cuales el choque migratorio venezolano afecta el déficit habitacional en Bogotá tanto en su componente cualitativo como cuantitativo</w:t>
      </w:r>
      <w:r w:rsidR="00F72B11" w:rsidRPr="00CD3A1F">
        <w:rPr>
          <w:rStyle w:val="FootnoteReference"/>
          <w:rFonts w:ascii="Segoe UI" w:hAnsi="Segoe UI" w:cs="Segoe UI"/>
          <w:sz w:val="22"/>
          <w:szCs w:val="22"/>
          <w:lang w:val="es-CO"/>
        </w:rPr>
        <w:footnoteReference w:id="1"/>
      </w:r>
      <w:r w:rsidR="00F72B11" w:rsidRPr="00CD3A1F">
        <w:rPr>
          <w:rFonts w:ascii="Segoe UI" w:hAnsi="Segoe UI" w:cs="Segoe UI"/>
          <w:sz w:val="22"/>
          <w:szCs w:val="22"/>
          <w:lang w:val="es-CO"/>
        </w:rPr>
        <w:t>.</w:t>
      </w:r>
      <w:r w:rsidR="00F72B11">
        <w:rPr>
          <w:rFonts w:ascii="Segoe UI" w:hAnsi="Segoe UI" w:cs="Segoe UI"/>
          <w:sz w:val="22"/>
          <w:szCs w:val="22"/>
          <w:lang w:val="es-CO"/>
        </w:rPr>
        <w:t xml:space="preserve"> </w:t>
      </w:r>
      <w:r w:rsidR="0052245D">
        <w:rPr>
          <w:rFonts w:ascii="Segoe UI" w:hAnsi="Segoe UI" w:cs="Segoe UI"/>
          <w:sz w:val="22"/>
          <w:szCs w:val="22"/>
          <w:lang w:val="es-CO"/>
        </w:rPr>
        <w:t>Al igual que en Mutis et al. (2021), se presume un sesgo de selección</w:t>
      </w:r>
      <w:r w:rsidR="00764146">
        <w:rPr>
          <w:rFonts w:ascii="Segoe UI" w:hAnsi="Segoe UI" w:cs="Segoe UI"/>
          <w:sz w:val="22"/>
          <w:szCs w:val="22"/>
          <w:lang w:val="es-CO"/>
        </w:rPr>
        <w:t xml:space="preserve"> por parte de los migrantes para dirigirse a ciudades con mayor oferta de vivienda y mayores niveles de productividad. </w:t>
      </w:r>
      <w:r w:rsidR="00F72B11">
        <w:rPr>
          <w:rFonts w:ascii="Segoe UI" w:hAnsi="Segoe UI" w:cs="Segoe UI"/>
          <w:sz w:val="22"/>
          <w:szCs w:val="22"/>
          <w:lang w:val="es-CO"/>
        </w:rPr>
        <w:t>Para identificar este efecto causal</w:t>
      </w:r>
      <w:r w:rsidR="00764146">
        <w:rPr>
          <w:rFonts w:ascii="Segoe UI" w:hAnsi="Segoe UI" w:cs="Segoe UI"/>
          <w:sz w:val="22"/>
          <w:szCs w:val="22"/>
          <w:lang w:val="es-CO"/>
        </w:rPr>
        <w:t xml:space="preserve"> y combatir el sesgo de selección</w:t>
      </w:r>
      <w:r w:rsidR="00F72B11">
        <w:rPr>
          <w:rFonts w:ascii="Segoe UI" w:hAnsi="Segoe UI" w:cs="Segoe UI"/>
          <w:sz w:val="22"/>
          <w:szCs w:val="22"/>
          <w:lang w:val="es-CO"/>
        </w:rPr>
        <w:t xml:space="preserve">, se propone un análisis mediante una estrategia de variable instrumental tipo </w:t>
      </w:r>
      <w:r w:rsidR="00F72B11">
        <w:rPr>
          <w:rFonts w:ascii="Segoe UI" w:hAnsi="Segoe UI" w:cs="Segoe UI"/>
          <w:i/>
          <w:iCs/>
          <w:sz w:val="22"/>
          <w:szCs w:val="22"/>
          <w:lang w:val="es-CO"/>
        </w:rPr>
        <w:t xml:space="preserve">shift-share </w:t>
      </w:r>
      <w:r w:rsidR="00F72B11">
        <w:rPr>
          <w:rFonts w:ascii="Segoe UI" w:hAnsi="Segoe UI" w:cs="Segoe UI"/>
          <w:sz w:val="22"/>
          <w:szCs w:val="22"/>
          <w:lang w:val="es-CO"/>
        </w:rPr>
        <w:t>(</w:t>
      </w:r>
      <w:proofErr w:type="spellStart"/>
      <w:r w:rsidR="00F72B11">
        <w:rPr>
          <w:rFonts w:ascii="Segoe UI" w:hAnsi="Segoe UI" w:cs="Segoe UI"/>
          <w:sz w:val="22"/>
          <w:szCs w:val="22"/>
          <w:lang w:val="es-CO"/>
        </w:rPr>
        <w:t>Bartik</w:t>
      </w:r>
      <w:proofErr w:type="spellEnd"/>
      <w:r w:rsidR="00F72B11">
        <w:rPr>
          <w:rFonts w:ascii="Segoe UI" w:hAnsi="Segoe UI" w:cs="Segoe UI"/>
          <w:sz w:val="22"/>
          <w:szCs w:val="22"/>
          <w:lang w:val="es-CO"/>
        </w:rPr>
        <w:t>, 1991), que permite aislar la variación exógena de la llegada de migrantes venezolanos y estimar el efecto causal local de la migración sobre el déficit habitacional en la ciudad</w:t>
      </w:r>
      <w:r w:rsidR="00D2324B">
        <w:rPr>
          <w:rFonts w:ascii="Segoe UI" w:hAnsi="Segoe UI" w:cs="Segoe UI"/>
          <w:sz w:val="22"/>
          <w:szCs w:val="22"/>
          <w:lang w:val="es-CO"/>
        </w:rPr>
        <w:t xml:space="preserve">, asumiendo el shift como </w:t>
      </w:r>
      <w:r w:rsidR="00052FB8">
        <w:rPr>
          <w:rFonts w:ascii="Segoe UI" w:hAnsi="Segoe UI" w:cs="Segoe UI"/>
          <w:sz w:val="22"/>
          <w:szCs w:val="22"/>
          <w:lang w:val="es-CO"/>
        </w:rPr>
        <w:t>la variación agregada de</w:t>
      </w:r>
      <w:r w:rsidR="005D35CB">
        <w:rPr>
          <w:rFonts w:ascii="Segoe UI" w:hAnsi="Segoe UI" w:cs="Segoe UI"/>
          <w:sz w:val="22"/>
          <w:szCs w:val="22"/>
          <w:lang w:val="es-CO"/>
        </w:rPr>
        <w:t xml:space="preserve">l flujo </w:t>
      </w:r>
      <w:r w:rsidR="00052FB8">
        <w:rPr>
          <w:rFonts w:ascii="Segoe UI" w:hAnsi="Segoe UI" w:cs="Segoe UI"/>
          <w:sz w:val="22"/>
          <w:szCs w:val="22"/>
          <w:lang w:val="es-CO"/>
        </w:rPr>
        <w:t xml:space="preserve">de migrantes a nivel nacional </w:t>
      </w:r>
      <w:r w:rsidR="005D35CB">
        <w:rPr>
          <w:rFonts w:ascii="Segoe UI" w:hAnsi="Segoe UI" w:cs="Segoe UI"/>
          <w:sz w:val="22"/>
          <w:szCs w:val="22"/>
          <w:lang w:val="es-CO"/>
        </w:rPr>
        <w:t xml:space="preserve">en el periodo </w:t>
      </w:r>
      <w:r w:rsidR="005D35CB" w:rsidRPr="001B627F">
        <w:rPr>
          <w:rFonts w:ascii="Segoe UI" w:hAnsi="Segoe UI" w:cs="Segoe UI"/>
          <w:i/>
          <w:iCs/>
          <w:sz w:val="22"/>
          <w:szCs w:val="22"/>
          <w:lang w:val="es-CO"/>
        </w:rPr>
        <w:t>t</w:t>
      </w:r>
      <w:r w:rsidR="005D35CB">
        <w:rPr>
          <w:rFonts w:ascii="Segoe UI" w:hAnsi="Segoe UI" w:cs="Segoe UI"/>
          <w:sz w:val="22"/>
          <w:szCs w:val="22"/>
          <w:lang w:val="es-CO"/>
        </w:rPr>
        <w:t xml:space="preserve">; y el share como el número de venezolanos en la localidad </w:t>
      </w:r>
      <w:r w:rsidR="001B627F">
        <w:rPr>
          <w:rFonts w:ascii="Segoe UI" w:hAnsi="Segoe UI" w:cs="Segoe UI"/>
          <w:i/>
          <w:iCs/>
          <w:sz w:val="22"/>
          <w:szCs w:val="22"/>
          <w:lang w:val="es-CO"/>
        </w:rPr>
        <w:t xml:space="preserve">l </w:t>
      </w:r>
      <w:r w:rsidR="001B627F" w:rsidRPr="001B627F">
        <w:rPr>
          <w:rFonts w:ascii="Segoe UI" w:hAnsi="Segoe UI" w:cs="Segoe UI"/>
          <w:sz w:val="22"/>
          <w:szCs w:val="22"/>
          <w:lang w:val="es-CO"/>
        </w:rPr>
        <w:t>sobre el total de ven</w:t>
      </w:r>
      <w:r w:rsidR="001B627F">
        <w:rPr>
          <w:rFonts w:ascii="Segoe UI" w:hAnsi="Segoe UI" w:cs="Segoe UI"/>
          <w:sz w:val="22"/>
          <w:szCs w:val="22"/>
          <w:lang w:val="es-CO"/>
        </w:rPr>
        <w:t>ezolanos en la ciudad de Bogotá para el año base 200</w:t>
      </w:r>
      <w:r w:rsidR="000767A7">
        <w:rPr>
          <w:rFonts w:ascii="Segoe UI" w:hAnsi="Segoe UI" w:cs="Segoe UI"/>
          <w:sz w:val="22"/>
          <w:szCs w:val="22"/>
          <w:lang w:val="es-CO"/>
        </w:rPr>
        <w:t>5</w:t>
      </w:r>
      <w:r w:rsidR="001B627F">
        <w:rPr>
          <w:rFonts w:ascii="Segoe UI" w:hAnsi="Segoe UI" w:cs="Segoe UI"/>
          <w:sz w:val="22"/>
          <w:szCs w:val="22"/>
          <w:lang w:val="es-CO"/>
        </w:rPr>
        <w:t xml:space="preserve">, </w:t>
      </w:r>
      <w:r w:rsidR="000767A7">
        <w:rPr>
          <w:rFonts w:ascii="Segoe UI" w:hAnsi="Segoe UI" w:cs="Segoe UI"/>
          <w:sz w:val="22"/>
          <w:szCs w:val="22"/>
          <w:lang w:val="es-CO"/>
        </w:rPr>
        <w:t>haciendo uso de la información del Censo Nacional General de ese año</w:t>
      </w:r>
      <w:r w:rsidR="00F72B11">
        <w:rPr>
          <w:rFonts w:ascii="Segoe UI" w:hAnsi="Segoe UI" w:cs="Segoe UI"/>
          <w:sz w:val="22"/>
          <w:szCs w:val="22"/>
          <w:lang w:val="es-CO"/>
        </w:rPr>
        <w:t>.</w:t>
      </w:r>
    </w:p>
    <w:p w14:paraId="138B1CFB" w14:textId="38A33646" w:rsidR="00900EA9" w:rsidRPr="00900EA9" w:rsidRDefault="00E1334F" w:rsidP="00353257">
      <w:pPr>
        <w:jc w:val="both"/>
        <w:rPr>
          <w:rFonts w:ascii="Segoe UI" w:hAnsi="Segoe UI" w:cs="Segoe UI"/>
          <w:sz w:val="22"/>
          <w:szCs w:val="22"/>
          <w:lang w:val="es-CO"/>
        </w:rPr>
      </w:pPr>
      <w:r>
        <w:rPr>
          <w:rFonts w:ascii="Segoe UI" w:hAnsi="Segoe UI" w:cs="Segoe UI"/>
          <w:sz w:val="22"/>
          <w:szCs w:val="22"/>
          <w:lang w:val="es-CO"/>
        </w:rPr>
        <w:t xml:space="preserve">El </w:t>
      </w:r>
      <w:r w:rsidR="00073C27">
        <w:rPr>
          <w:rFonts w:ascii="Segoe UI" w:hAnsi="Segoe UI" w:cs="Segoe UI"/>
          <w:sz w:val="22"/>
          <w:szCs w:val="22"/>
          <w:lang w:val="es-CO"/>
        </w:rPr>
        <w:t>artículo</w:t>
      </w:r>
      <w:r>
        <w:rPr>
          <w:rFonts w:ascii="Segoe UI" w:hAnsi="Segoe UI" w:cs="Segoe UI"/>
          <w:sz w:val="22"/>
          <w:szCs w:val="22"/>
          <w:lang w:val="es-CO"/>
        </w:rPr>
        <w:t xml:space="preserve"> se</w:t>
      </w:r>
      <w:r w:rsidR="00DA379F">
        <w:rPr>
          <w:rFonts w:ascii="Segoe UI" w:hAnsi="Segoe UI" w:cs="Segoe UI"/>
          <w:sz w:val="22"/>
          <w:szCs w:val="22"/>
          <w:lang w:val="es-CO"/>
        </w:rPr>
        <w:t xml:space="preserve"> divide de la siguiente manera</w:t>
      </w:r>
      <w:r w:rsidR="00073C27">
        <w:rPr>
          <w:rFonts w:ascii="Segoe UI" w:hAnsi="Segoe UI" w:cs="Segoe UI"/>
          <w:sz w:val="22"/>
          <w:szCs w:val="22"/>
          <w:lang w:val="es-CO"/>
        </w:rPr>
        <w:t xml:space="preserve">. La sección 2 muestra el </w:t>
      </w:r>
      <w:r w:rsidR="00482F06">
        <w:rPr>
          <w:rFonts w:ascii="Segoe UI" w:hAnsi="Segoe UI" w:cs="Segoe UI"/>
          <w:sz w:val="22"/>
          <w:szCs w:val="22"/>
          <w:lang w:val="es-CO"/>
        </w:rPr>
        <w:t xml:space="preserve">diseño de investigación, el marco de trabajo causal, la estrategia de identificación y se detalla </w:t>
      </w:r>
      <w:r w:rsidR="00054E75">
        <w:rPr>
          <w:rFonts w:ascii="Segoe UI" w:hAnsi="Segoe UI" w:cs="Segoe UI"/>
          <w:sz w:val="22"/>
          <w:szCs w:val="22"/>
          <w:lang w:val="es-CO"/>
        </w:rPr>
        <w:t xml:space="preserve">el uso de la estrategia de estimación por variable instrumental. La sección 3 </w:t>
      </w:r>
      <w:r w:rsidR="00AB53EC">
        <w:rPr>
          <w:rFonts w:ascii="Segoe UI" w:hAnsi="Segoe UI" w:cs="Segoe UI"/>
          <w:sz w:val="22"/>
          <w:szCs w:val="22"/>
          <w:lang w:val="es-CO"/>
        </w:rPr>
        <w:t>describe la fuente de los datos. La sección 4 muestra los resultados del trabajo. La sección 5 concluye.</w:t>
      </w:r>
    </w:p>
    <w:p w14:paraId="78BD345D" w14:textId="77777777" w:rsidR="006C20E4" w:rsidRDefault="006C20E4" w:rsidP="00353257">
      <w:pPr>
        <w:jc w:val="both"/>
        <w:rPr>
          <w:rFonts w:ascii="Segoe UI" w:hAnsi="Segoe UI" w:cs="Segoe UI"/>
          <w:sz w:val="22"/>
          <w:szCs w:val="22"/>
          <w:lang w:val="es-CO"/>
        </w:rPr>
      </w:pPr>
    </w:p>
    <w:p w14:paraId="386DA501" w14:textId="77777777" w:rsidR="006C20E4" w:rsidRDefault="006C20E4" w:rsidP="00353257">
      <w:pPr>
        <w:jc w:val="both"/>
        <w:rPr>
          <w:rFonts w:ascii="Segoe UI" w:hAnsi="Segoe UI" w:cs="Segoe UI"/>
          <w:sz w:val="22"/>
          <w:szCs w:val="22"/>
          <w:lang w:val="es-CO"/>
        </w:rPr>
      </w:pPr>
    </w:p>
    <w:p w14:paraId="37A9D597" w14:textId="12CD264D" w:rsidR="006C20E4" w:rsidRDefault="006C20E4" w:rsidP="00353257">
      <w:pPr>
        <w:jc w:val="both"/>
        <w:rPr>
          <w:rFonts w:ascii="Segoe UI" w:hAnsi="Segoe UI" w:cs="Segoe UI"/>
          <w:sz w:val="22"/>
          <w:szCs w:val="22"/>
          <w:lang w:val="es-CO"/>
        </w:rPr>
      </w:pPr>
      <w:r>
        <w:rPr>
          <w:rFonts w:ascii="Segoe UI" w:hAnsi="Segoe UI" w:cs="Segoe UI"/>
          <w:sz w:val="22"/>
          <w:szCs w:val="22"/>
          <w:lang w:val="es-CO"/>
        </w:rPr>
        <w:lastRenderedPageBreak/>
        <w:t xml:space="preserve">Se usaron los datos de bla </w:t>
      </w:r>
      <w:proofErr w:type="spellStart"/>
      <w:r>
        <w:rPr>
          <w:rFonts w:ascii="Segoe UI" w:hAnsi="Segoe UI" w:cs="Segoe UI"/>
          <w:sz w:val="22"/>
          <w:szCs w:val="22"/>
          <w:lang w:val="es-CO"/>
        </w:rPr>
        <w:t>bla</w:t>
      </w:r>
      <w:proofErr w:type="spellEnd"/>
    </w:p>
    <w:p w14:paraId="082BF435" w14:textId="77777777" w:rsidR="00C84585" w:rsidRDefault="00C84585" w:rsidP="00353257">
      <w:pPr>
        <w:jc w:val="both"/>
        <w:rPr>
          <w:rFonts w:ascii="Segoe UI" w:hAnsi="Segoe UI" w:cs="Segoe UI"/>
          <w:sz w:val="22"/>
          <w:szCs w:val="22"/>
          <w:lang w:val="es-CO"/>
        </w:rPr>
      </w:pPr>
    </w:p>
    <w:p w14:paraId="59275B6B" w14:textId="7CB6B433" w:rsidR="00243E01" w:rsidRPr="00CD3A1F" w:rsidRDefault="00243E01" w:rsidP="00353257">
      <w:pPr>
        <w:jc w:val="both"/>
        <w:rPr>
          <w:rFonts w:ascii="Segoe UI" w:hAnsi="Segoe UI" w:cs="Segoe UI"/>
          <w:i/>
          <w:iCs/>
          <w:color w:val="EE0000"/>
          <w:sz w:val="22"/>
          <w:szCs w:val="22"/>
          <w:lang w:val="es-CO"/>
        </w:rPr>
      </w:pPr>
      <w:r w:rsidRPr="00CD3A1F">
        <w:rPr>
          <w:rFonts w:ascii="Segoe UI" w:hAnsi="Segoe UI" w:cs="Segoe UI"/>
          <w:i/>
          <w:iCs/>
          <w:color w:val="EE0000"/>
          <w:sz w:val="22"/>
          <w:szCs w:val="22"/>
          <w:lang w:val="es-CO"/>
        </w:rPr>
        <w:t>Como ejercicio adicional, se podría analizar la heterogeneidad entre tipos de hogares y territorios, como una forma de aportar evidencia empírica para el diseño de políticas públicas focalizadas.</w:t>
      </w:r>
    </w:p>
    <w:p w14:paraId="792A6FE4" w14:textId="0242552C" w:rsidR="00353257" w:rsidRPr="00CD3A1F" w:rsidRDefault="00353257" w:rsidP="00353257">
      <w:pPr>
        <w:jc w:val="both"/>
        <w:rPr>
          <w:rFonts w:ascii="Segoe UI" w:hAnsi="Segoe UI" w:cs="Segoe UI"/>
          <w:i/>
          <w:iCs/>
          <w:color w:val="EE0000"/>
          <w:sz w:val="22"/>
          <w:szCs w:val="22"/>
          <w:lang w:val="es-CO"/>
        </w:rPr>
      </w:pPr>
      <w:r w:rsidRPr="00CD3A1F">
        <w:rPr>
          <w:rFonts w:ascii="Segoe UI" w:hAnsi="Segoe UI" w:cs="Segoe UI"/>
          <w:i/>
          <w:iCs/>
          <w:color w:val="EE0000"/>
          <w:sz w:val="22"/>
          <w:szCs w:val="22"/>
          <w:lang w:val="es-CO"/>
        </w:rPr>
        <w:t>Falta incluir en los números la cantidad de venezolanos.</w:t>
      </w:r>
    </w:p>
    <w:p w14:paraId="7A90E016" w14:textId="77777777" w:rsidR="00353257" w:rsidRPr="00CD3A1F" w:rsidRDefault="00353257" w:rsidP="00353257">
      <w:pPr>
        <w:jc w:val="both"/>
        <w:rPr>
          <w:rFonts w:ascii="Segoe UI" w:hAnsi="Segoe UI" w:cs="Segoe UI"/>
          <w:sz w:val="22"/>
          <w:szCs w:val="22"/>
          <w:lang w:val="es-CO"/>
        </w:rPr>
      </w:pPr>
    </w:p>
    <w:p w14:paraId="7534C73C" w14:textId="77777777" w:rsidR="00243E01" w:rsidRPr="00CD3A1F" w:rsidRDefault="00243E01">
      <w:pPr>
        <w:rPr>
          <w:rFonts w:ascii="Segoe UI" w:hAnsi="Segoe UI" w:cs="Segoe UI"/>
          <w:sz w:val="22"/>
          <w:szCs w:val="22"/>
          <w:lang w:val="es-CO"/>
        </w:rPr>
      </w:pPr>
    </w:p>
    <w:sectPr w:rsidR="00243E01" w:rsidRPr="00CD3A1F">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FAF393" w14:textId="77777777" w:rsidR="004071C6" w:rsidRDefault="004071C6" w:rsidP="00243E01">
      <w:pPr>
        <w:spacing w:after="0" w:line="240" w:lineRule="auto"/>
      </w:pPr>
      <w:r>
        <w:separator/>
      </w:r>
    </w:p>
  </w:endnote>
  <w:endnote w:type="continuationSeparator" w:id="0">
    <w:p w14:paraId="19734AF0" w14:textId="77777777" w:rsidR="004071C6" w:rsidRDefault="004071C6" w:rsidP="00243E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A76F2A" w14:textId="77777777" w:rsidR="004071C6" w:rsidRDefault="004071C6" w:rsidP="00243E01">
      <w:pPr>
        <w:spacing w:after="0" w:line="240" w:lineRule="auto"/>
      </w:pPr>
      <w:r>
        <w:separator/>
      </w:r>
    </w:p>
  </w:footnote>
  <w:footnote w:type="continuationSeparator" w:id="0">
    <w:p w14:paraId="667FF2BA" w14:textId="77777777" w:rsidR="004071C6" w:rsidRDefault="004071C6" w:rsidP="00243E01">
      <w:pPr>
        <w:spacing w:after="0" w:line="240" w:lineRule="auto"/>
      </w:pPr>
      <w:r>
        <w:continuationSeparator/>
      </w:r>
    </w:p>
  </w:footnote>
  <w:footnote w:id="1">
    <w:p w14:paraId="18331F89" w14:textId="77777777" w:rsidR="00F72B11" w:rsidRPr="006C20E4" w:rsidRDefault="00F72B11" w:rsidP="00F72B11">
      <w:pPr>
        <w:pStyle w:val="FootnoteText"/>
        <w:rPr>
          <w:rFonts w:ascii="Segoe UI" w:hAnsi="Segoe UI" w:cs="Segoe UI"/>
          <w:lang w:val="es-CO"/>
        </w:rPr>
      </w:pPr>
      <w:r w:rsidRPr="006C20E4">
        <w:rPr>
          <w:rStyle w:val="FootnoteReference"/>
          <w:rFonts w:ascii="Segoe UI" w:hAnsi="Segoe UI" w:cs="Segoe UI"/>
          <w:sz w:val="18"/>
          <w:szCs w:val="18"/>
        </w:rPr>
        <w:footnoteRef/>
      </w:r>
      <w:r w:rsidRPr="006C20E4">
        <w:rPr>
          <w:rFonts w:ascii="Segoe UI" w:hAnsi="Segoe UI" w:cs="Segoe UI"/>
          <w:sz w:val="18"/>
          <w:szCs w:val="18"/>
          <w:lang w:val="es-CO"/>
        </w:rPr>
        <w:t xml:space="preserve"> La metodología del DANE está diseñada de tal manera que los cálculos del déficit cuantitativo y el déficit cualitativo sean excluyentes. Eso significa que, si se identifica un hogar en déficit cuantitativo, no se contabiliza en el déficit cualitativo.</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1C780E"/>
    <w:multiLevelType w:val="hybridMultilevel"/>
    <w:tmpl w:val="85A6D00E"/>
    <w:lvl w:ilvl="0" w:tplc="BEFC4D4A">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513008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2971"/>
    <w:rsid w:val="00015FC8"/>
    <w:rsid w:val="00052FB8"/>
    <w:rsid w:val="00054E75"/>
    <w:rsid w:val="00073C27"/>
    <w:rsid w:val="000767A7"/>
    <w:rsid w:val="00076ED5"/>
    <w:rsid w:val="000864DB"/>
    <w:rsid w:val="000B595D"/>
    <w:rsid w:val="000D38EE"/>
    <w:rsid w:val="000D5252"/>
    <w:rsid w:val="000E3DFE"/>
    <w:rsid w:val="000F0EBC"/>
    <w:rsid w:val="00101078"/>
    <w:rsid w:val="00104ED0"/>
    <w:rsid w:val="00170D1D"/>
    <w:rsid w:val="00175397"/>
    <w:rsid w:val="00182E61"/>
    <w:rsid w:val="001B627F"/>
    <w:rsid w:val="001C43D1"/>
    <w:rsid w:val="001D22CA"/>
    <w:rsid w:val="001D58D7"/>
    <w:rsid w:val="001E419B"/>
    <w:rsid w:val="001F0FA0"/>
    <w:rsid w:val="001F2716"/>
    <w:rsid w:val="001F768E"/>
    <w:rsid w:val="0020550C"/>
    <w:rsid w:val="00216A2B"/>
    <w:rsid w:val="00224816"/>
    <w:rsid w:val="0023541D"/>
    <w:rsid w:val="002363A4"/>
    <w:rsid w:val="0023747D"/>
    <w:rsid w:val="00240F38"/>
    <w:rsid w:val="0024258F"/>
    <w:rsid w:val="00243E01"/>
    <w:rsid w:val="002532AB"/>
    <w:rsid w:val="00261D07"/>
    <w:rsid w:val="002A69DB"/>
    <w:rsid w:val="002B577C"/>
    <w:rsid w:val="002E684D"/>
    <w:rsid w:val="002F0E97"/>
    <w:rsid w:val="00332069"/>
    <w:rsid w:val="0035035F"/>
    <w:rsid w:val="00353257"/>
    <w:rsid w:val="00362CFD"/>
    <w:rsid w:val="00375A78"/>
    <w:rsid w:val="003C03F1"/>
    <w:rsid w:val="003D0448"/>
    <w:rsid w:val="003D36CC"/>
    <w:rsid w:val="003E29A5"/>
    <w:rsid w:val="003E5EF9"/>
    <w:rsid w:val="003F76C0"/>
    <w:rsid w:val="004071C6"/>
    <w:rsid w:val="00413A85"/>
    <w:rsid w:val="0042611A"/>
    <w:rsid w:val="004501B8"/>
    <w:rsid w:val="00453FF5"/>
    <w:rsid w:val="00456127"/>
    <w:rsid w:val="00482F06"/>
    <w:rsid w:val="004A3B33"/>
    <w:rsid w:val="004C070B"/>
    <w:rsid w:val="005018D2"/>
    <w:rsid w:val="0052245D"/>
    <w:rsid w:val="00522E95"/>
    <w:rsid w:val="00534061"/>
    <w:rsid w:val="0053609A"/>
    <w:rsid w:val="00536928"/>
    <w:rsid w:val="00572CB6"/>
    <w:rsid w:val="005A3DB7"/>
    <w:rsid w:val="005B37F7"/>
    <w:rsid w:val="005C2C03"/>
    <w:rsid w:val="005C43A7"/>
    <w:rsid w:val="005C53D0"/>
    <w:rsid w:val="005D35CB"/>
    <w:rsid w:val="0061044B"/>
    <w:rsid w:val="00631FAB"/>
    <w:rsid w:val="0064701C"/>
    <w:rsid w:val="00663B39"/>
    <w:rsid w:val="00664FEA"/>
    <w:rsid w:val="00670BB1"/>
    <w:rsid w:val="006715A4"/>
    <w:rsid w:val="00694312"/>
    <w:rsid w:val="006A1AE1"/>
    <w:rsid w:val="006A61D1"/>
    <w:rsid w:val="006C20E4"/>
    <w:rsid w:val="006E7FCC"/>
    <w:rsid w:val="006F2ED6"/>
    <w:rsid w:val="00706FAB"/>
    <w:rsid w:val="007077A5"/>
    <w:rsid w:val="007349AE"/>
    <w:rsid w:val="007453E8"/>
    <w:rsid w:val="00747ED7"/>
    <w:rsid w:val="00756D4A"/>
    <w:rsid w:val="0076079B"/>
    <w:rsid w:val="00761E3A"/>
    <w:rsid w:val="00764146"/>
    <w:rsid w:val="00765FD1"/>
    <w:rsid w:val="00776914"/>
    <w:rsid w:val="00784A7C"/>
    <w:rsid w:val="00793531"/>
    <w:rsid w:val="007B342D"/>
    <w:rsid w:val="007B42FB"/>
    <w:rsid w:val="007D050C"/>
    <w:rsid w:val="007E0398"/>
    <w:rsid w:val="007E0691"/>
    <w:rsid w:val="00806BC2"/>
    <w:rsid w:val="008273DC"/>
    <w:rsid w:val="008400E3"/>
    <w:rsid w:val="00844D5E"/>
    <w:rsid w:val="0088084E"/>
    <w:rsid w:val="00890087"/>
    <w:rsid w:val="00893757"/>
    <w:rsid w:val="00895B85"/>
    <w:rsid w:val="008B7EBC"/>
    <w:rsid w:val="00900EA9"/>
    <w:rsid w:val="00946BAE"/>
    <w:rsid w:val="00950682"/>
    <w:rsid w:val="00952796"/>
    <w:rsid w:val="009A21A6"/>
    <w:rsid w:val="009C5868"/>
    <w:rsid w:val="009E5BB1"/>
    <w:rsid w:val="009F4039"/>
    <w:rsid w:val="00A00230"/>
    <w:rsid w:val="00A061DF"/>
    <w:rsid w:val="00A1617E"/>
    <w:rsid w:val="00A17497"/>
    <w:rsid w:val="00A26576"/>
    <w:rsid w:val="00A71C86"/>
    <w:rsid w:val="00A93CEF"/>
    <w:rsid w:val="00A96C4A"/>
    <w:rsid w:val="00AA50D6"/>
    <w:rsid w:val="00AA58B3"/>
    <w:rsid w:val="00AA77DE"/>
    <w:rsid w:val="00AB53EC"/>
    <w:rsid w:val="00AB7C5C"/>
    <w:rsid w:val="00AC7604"/>
    <w:rsid w:val="00AE054A"/>
    <w:rsid w:val="00AE1029"/>
    <w:rsid w:val="00AE38A7"/>
    <w:rsid w:val="00AE4B43"/>
    <w:rsid w:val="00AF0FDC"/>
    <w:rsid w:val="00AF43D1"/>
    <w:rsid w:val="00B108D1"/>
    <w:rsid w:val="00B540E0"/>
    <w:rsid w:val="00B87F91"/>
    <w:rsid w:val="00B93EE3"/>
    <w:rsid w:val="00BC3E8F"/>
    <w:rsid w:val="00BD07C4"/>
    <w:rsid w:val="00BD3F22"/>
    <w:rsid w:val="00BD6B6B"/>
    <w:rsid w:val="00C00F0F"/>
    <w:rsid w:val="00C63B94"/>
    <w:rsid w:val="00C7009B"/>
    <w:rsid w:val="00C7452F"/>
    <w:rsid w:val="00C8047D"/>
    <w:rsid w:val="00C84585"/>
    <w:rsid w:val="00C904F2"/>
    <w:rsid w:val="00C97CB3"/>
    <w:rsid w:val="00CA195D"/>
    <w:rsid w:val="00CA1C81"/>
    <w:rsid w:val="00CA2971"/>
    <w:rsid w:val="00CD34BE"/>
    <w:rsid w:val="00CD3A1F"/>
    <w:rsid w:val="00CF1011"/>
    <w:rsid w:val="00CF6285"/>
    <w:rsid w:val="00D04312"/>
    <w:rsid w:val="00D07FC8"/>
    <w:rsid w:val="00D112B2"/>
    <w:rsid w:val="00D12C38"/>
    <w:rsid w:val="00D2324B"/>
    <w:rsid w:val="00D3633E"/>
    <w:rsid w:val="00D370E7"/>
    <w:rsid w:val="00D46555"/>
    <w:rsid w:val="00D66C8C"/>
    <w:rsid w:val="00D6729E"/>
    <w:rsid w:val="00D8346D"/>
    <w:rsid w:val="00DA1039"/>
    <w:rsid w:val="00DA379F"/>
    <w:rsid w:val="00DB0B8D"/>
    <w:rsid w:val="00DB6614"/>
    <w:rsid w:val="00DC0910"/>
    <w:rsid w:val="00DC107C"/>
    <w:rsid w:val="00E117B6"/>
    <w:rsid w:val="00E1334F"/>
    <w:rsid w:val="00E46535"/>
    <w:rsid w:val="00E64BCF"/>
    <w:rsid w:val="00E71E12"/>
    <w:rsid w:val="00E97E24"/>
    <w:rsid w:val="00EE6BFA"/>
    <w:rsid w:val="00EF0E6D"/>
    <w:rsid w:val="00F245A1"/>
    <w:rsid w:val="00F25B51"/>
    <w:rsid w:val="00F317EF"/>
    <w:rsid w:val="00F568F1"/>
    <w:rsid w:val="00F72B11"/>
    <w:rsid w:val="00F77A4F"/>
    <w:rsid w:val="00FB1913"/>
    <w:rsid w:val="00FF1E6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EAD884"/>
  <w15:chartTrackingRefBased/>
  <w15:docId w15:val="{EDF9AF25-E073-4857-8A12-FC01AD171B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29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29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29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29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29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29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29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29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29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29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29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29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29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29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29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29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29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2971"/>
    <w:rPr>
      <w:rFonts w:eastAsiaTheme="majorEastAsia" w:cstheme="majorBidi"/>
      <w:color w:val="272727" w:themeColor="text1" w:themeTint="D8"/>
    </w:rPr>
  </w:style>
  <w:style w:type="paragraph" w:styleId="Title">
    <w:name w:val="Title"/>
    <w:basedOn w:val="Normal"/>
    <w:next w:val="Normal"/>
    <w:link w:val="TitleChar"/>
    <w:uiPriority w:val="10"/>
    <w:qFormat/>
    <w:rsid w:val="00CA29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29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29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29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2971"/>
    <w:pPr>
      <w:spacing w:before="160"/>
      <w:jc w:val="center"/>
    </w:pPr>
    <w:rPr>
      <w:i/>
      <w:iCs/>
      <w:color w:val="404040" w:themeColor="text1" w:themeTint="BF"/>
    </w:rPr>
  </w:style>
  <w:style w:type="character" w:customStyle="1" w:styleId="QuoteChar">
    <w:name w:val="Quote Char"/>
    <w:basedOn w:val="DefaultParagraphFont"/>
    <w:link w:val="Quote"/>
    <w:uiPriority w:val="29"/>
    <w:rsid w:val="00CA2971"/>
    <w:rPr>
      <w:i/>
      <w:iCs/>
      <w:color w:val="404040" w:themeColor="text1" w:themeTint="BF"/>
    </w:rPr>
  </w:style>
  <w:style w:type="paragraph" w:styleId="ListParagraph">
    <w:name w:val="List Paragraph"/>
    <w:basedOn w:val="Normal"/>
    <w:uiPriority w:val="34"/>
    <w:qFormat/>
    <w:rsid w:val="00CA2971"/>
    <w:pPr>
      <w:ind w:left="720"/>
      <w:contextualSpacing/>
    </w:pPr>
  </w:style>
  <w:style w:type="character" w:styleId="IntenseEmphasis">
    <w:name w:val="Intense Emphasis"/>
    <w:basedOn w:val="DefaultParagraphFont"/>
    <w:uiPriority w:val="21"/>
    <w:qFormat/>
    <w:rsid w:val="00CA2971"/>
    <w:rPr>
      <w:i/>
      <w:iCs/>
      <w:color w:val="0F4761" w:themeColor="accent1" w:themeShade="BF"/>
    </w:rPr>
  </w:style>
  <w:style w:type="paragraph" w:styleId="IntenseQuote">
    <w:name w:val="Intense Quote"/>
    <w:basedOn w:val="Normal"/>
    <w:next w:val="Normal"/>
    <w:link w:val="IntenseQuoteChar"/>
    <w:uiPriority w:val="30"/>
    <w:qFormat/>
    <w:rsid w:val="00CA29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2971"/>
    <w:rPr>
      <w:i/>
      <w:iCs/>
      <w:color w:val="0F4761" w:themeColor="accent1" w:themeShade="BF"/>
    </w:rPr>
  </w:style>
  <w:style w:type="character" w:styleId="IntenseReference">
    <w:name w:val="Intense Reference"/>
    <w:basedOn w:val="DefaultParagraphFont"/>
    <w:uiPriority w:val="32"/>
    <w:qFormat/>
    <w:rsid w:val="00CA2971"/>
    <w:rPr>
      <w:b/>
      <w:bCs/>
      <w:smallCaps/>
      <w:color w:val="0F4761" w:themeColor="accent1" w:themeShade="BF"/>
      <w:spacing w:val="5"/>
    </w:rPr>
  </w:style>
  <w:style w:type="paragraph" w:styleId="FootnoteText">
    <w:name w:val="footnote text"/>
    <w:basedOn w:val="Normal"/>
    <w:link w:val="FootnoteTextChar"/>
    <w:uiPriority w:val="99"/>
    <w:semiHidden/>
    <w:unhideWhenUsed/>
    <w:rsid w:val="00243E0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43E01"/>
    <w:rPr>
      <w:sz w:val="20"/>
      <w:szCs w:val="20"/>
    </w:rPr>
  </w:style>
  <w:style w:type="character" w:styleId="FootnoteReference">
    <w:name w:val="footnote reference"/>
    <w:basedOn w:val="DefaultParagraphFont"/>
    <w:uiPriority w:val="99"/>
    <w:semiHidden/>
    <w:unhideWhenUsed/>
    <w:rsid w:val="00243E0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132</TotalTime>
  <Pages>4</Pages>
  <Words>1328</Words>
  <Characters>7574</Characters>
  <Application>Microsoft Office Word</Application>
  <DocSecurity>0</DocSecurity>
  <Lines>63</Lines>
  <Paragraphs>17</Paragraphs>
  <ScaleCrop>false</ScaleCrop>
  <Company/>
  <LinksUpToDate>false</LinksUpToDate>
  <CharactersWithSpaces>8885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Santiago Melo</dc:creator>
  <cp:keywords/>
  <dc:description/>
  <cp:lastModifiedBy>Santiago Melo</cp:lastModifiedBy>
  <cp:revision>89</cp:revision>
  <dcterms:created xsi:type="dcterms:W3CDTF">2025-12-03T07:13:00Z</dcterms:created>
  <dcterms:modified xsi:type="dcterms:W3CDTF">2025-12-03T18:43:00Z</dcterms:modified>
</cp:coreProperties>
</file>