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C44F4" w14:textId="365E4C58" w:rsidR="0042611A" w:rsidRDefault="007A089A">
      <w:pPr>
        <w:rPr>
          <w:rFonts w:ascii="Segoe UI" w:hAnsi="Segoe UI" w:cs="Segoe UI"/>
          <w:sz w:val="22"/>
          <w:szCs w:val="22"/>
          <w:lang w:val="es-CO"/>
        </w:rPr>
      </w:pPr>
      <w:r w:rsidRPr="007A089A">
        <w:rPr>
          <w:rFonts w:ascii="Segoe UI" w:hAnsi="Segoe UI" w:cs="Segoe UI"/>
          <w:sz w:val="22"/>
          <w:szCs w:val="22"/>
          <w:highlight w:val="cyan"/>
          <w:lang w:val="es-CO"/>
        </w:rPr>
        <w:t>Datos</w:t>
      </w:r>
    </w:p>
    <w:p w14:paraId="5F1E6172" w14:textId="69D91F85" w:rsidR="007A089A" w:rsidRDefault="00033992">
      <w:pPr>
        <w:rPr>
          <w:rFonts w:ascii="Segoe UI" w:hAnsi="Segoe UI" w:cs="Segoe UI"/>
          <w:sz w:val="22"/>
          <w:szCs w:val="22"/>
          <w:lang w:val="es-CO"/>
        </w:rPr>
      </w:pPr>
      <w:r>
        <w:rPr>
          <w:rFonts w:ascii="Segoe UI" w:hAnsi="Segoe UI" w:cs="Segoe UI"/>
          <w:sz w:val="22"/>
          <w:szCs w:val="22"/>
          <w:lang w:val="es-CO"/>
        </w:rPr>
        <w:t xml:space="preserve">Generar datos sintéticos pero que estén construidos de manera que reflejen </w:t>
      </w:r>
      <w:r w:rsidR="00B22760">
        <w:rPr>
          <w:rFonts w:ascii="Segoe UI" w:hAnsi="Segoe UI" w:cs="Segoe UI"/>
          <w:sz w:val="22"/>
          <w:szCs w:val="22"/>
          <w:lang w:val="es-CO"/>
        </w:rPr>
        <w:t>de manera realística la propuesta empírica.</w:t>
      </w:r>
    </w:p>
    <w:p w14:paraId="5F4C4991" w14:textId="10D7D2D0" w:rsidR="00B22760" w:rsidRDefault="00376DA1" w:rsidP="00376DA1">
      <w:pPr>
        <w:pStyle w:val="ListParagraph"/>
        <w:numPr>
          <w:ilvl w:val="0"/>
          <w:numId w:val="1"/>
        </w:numPr>
        <w:rPr>
          <w:rFonts w:ascii="Segoe UI" w:hAnsi="Segoe UI" w:cs="Segoe UI"/>
          <w:sz w:val="22"/>
          <w:szCs w:val="22"/>
          <w:lang w:val="es-CO"/>
        </w:rPr>
      </w:pPr>
      <w:r>
        <w:rPr>
          <w:rFonts w:ascii="Segoe UI" w:hAnsi="Segoe UI" w:cs="Segoe UI"/>
          <w:sz w:val="22"/>
          <w:szCs w:val="22"/>
          <w:lang w:val="es-CO"/>
        </w:rPr>
        <w:t>¿Cuáles son las unidades en mis datos? ¿Cuántas unidades simulo?</w:t>
      </w:r>
      <w:r w:rsidR="00F95282">
        <w:rPr>
          <w:rFonts w:ascii="Segoe UI" w:hAnsi="Segoe UI" w:cs="Segoe UI"/>
          <w:sz w:val="22"/>
          <w:szCs w:val="22"/>
          <w:lang w:val="es-CO"/>
        </w:rPr>
        <w:t xml:space="preserve">: Teniendo en cuenta que solo estoy analizando las localidades de Bogotá, sin incluir Usme </w:t>
      </w:r>
      <w:r w:rsidR="0024303D">
        <w:rPr>
          <w:rFonts w:ascii="Segoe UI" w:hAnsi="Segoe UI" w:cs="Segoe UI"/>
          <w:sz w:val="22"/>
          <w:szCs w:val="22"/>
          <w:lang w:val="es-CO"/>
        </w:rPr>
        <w:t>-</w:t>
      </w:r>
      <w:r w:rsidR="00F95282">
        <w:rPr>
          <w:rFonts w:ascii="Segoe UI" w:hAnsi="Segoe UI" w:cs="Segoe UI"/>
          <w:sz w:val="22"/>
          <w:szCs w:val="22"/>
          <w:lang w:val="es-CO"/>
        </w:rPr>
        <w:t>debido a que es mayoritariamente</w:t>
      </w:r>
      <w:r w:rsidR="0024303D">
        <w:rPr>
          <w:rFonts w:ascii="Segoe UI" w:hAnsi="Segoe UI" w:cs="Segoe UI"/>
          <w:sz w:val="22"/>
          <w:szCs w:val="22"/>
          <w:lang w:val="es-CO"/>
        </w:rPr>
        <w:t xml:space="preserve"> rural-, y que tenemos un dato panel que toma </w:t>
      </w:r>
      <w:r w:rsidR="00AD0D96">
        <w:rPr>
          <w:rFonts w:ascii="Segoe UI" w:hAnsi="Segoe UI" w:cs="Segoe UI"/>
          <w:sz w:val="22"/>
          <w:szCs w:val="22"/>
          <w:lang w:val="es-CO"/>
        </w:rPr>
        <w:t>desde el 2014 hasta el 2021 (¿vale la pena incluir 2020 aunque haya habido pandemia?).</w:t>
      </w:r>
    </w:p>
    <w:p w14:paraId="31314542" w14:textId="649C3E74" w:rsidR="00B677B3" w:rsidRDefault="00C721C8" w:rsidP="00376DA1">
      <w:pPr>
        <w:pStyle w:val="ListParagraph"/>
        <w:numPr>
          <w:ilvl w:val="0"/>
          <w:numId w:val="1"/>
        </w:numPr>
        <w:rPr>
          <w:rFonts w:ascii="Segoe UI" w:hAnsi="Segoe UI" w:cs="Segoe UI"/>
          <w:sz w:val="22"/>
          <w:szCs w:val="22"/>
          <w:lang w:val="es-CO"/>
        </w:rPr>
      </w:pPr>
      <w:r>
        <w:rPr>
          <w:rFonts w:ascii="Segoe UI" w:hAnsi="Segoe UI" w:cs="Segoe UI"/>
          <w:sz w:val="22"/>
          <w:szCs w:val="22"/>
          <w:lang w:val="es-CO"/>
        </w:rPr>
        <w:t>¿Cómo se asignó el tratamiento a la simulación?: Asumo que es el choque</w:t>
      </w:r>
      <w:r w:rsidR="005566CE">
        <w:rPr>
          <w:rFonts w:ascii="Segoe UI" w:hAnsi="Segoe UI" w:cs="Segoe UI"/>
          <w:sz w:val="22"/>
          <w:szCs w:val="22"/>
          <w:lang w:val="es-CO"/>
        </w:rPr>
        <w:t xml:space="preserve"> migratorio hacia ciertas localidades</w:t>
      </w:r>
      <w:r w:rsidR="00607F4A">
        <w:rPr>
          <w:rFonts w:ascii="Segoe UI" w:hAnsi="Segoe UI" w:cs="Segoe UI"/>
          <w:sz w:val="22"/>
          <w:szCs w:val="22"/>
          <w:lang w:val="es-CO"/>
        </w:rPr>
        <w:t xml:space="preserve">; pero </w:t>
      </w:r>
      <w:r w:rsidR="006A275D">
        <w:rPr>
          <w:rFonts w:ascii="Segoe UI" w:hAnsi="Segoe UI" w:cs="Segoe UI"/>
          <w:sz w:val="22"/>
          <w:szCs w:val="22"/>
          <w:lang w:val="es-CO"/>
        </w:rPr>
        <w:t>si,</w:t>
      </w:r>
      <w:r w:rsidR="00607F4A">
        <w:rPr>
          <w:rFonts w:ascii="Segoe UI" w:hAnsi="Segoe UI" w:cs="Segoe UI"/>
          <w:sz w:val="22"/>
          <w:szCs w:val="22"/>
          <w:lang w:val="es-CO"/>
        </w:rPr>
        <w:t xml:space="preserve"> por ejemplo, en el 2014 </w:t>
      </w:r>
      <w:r w:rsidR="006A275D">
        <w:rPr>
          <w:rFonts w:ascii="Segoe UI" w:hAnsi="Segoe UI" w:cs="Segoe UI"/>
          <w:sz w:val="22"/>
          <w:szCs w:val="22"/>
          <w:lang w:val="es-CO"/>
        </w:rPr>
        <w:t>Suba no está tratado, y solamente es tratado hasta 2018, ¿la estrategia de variable instrumental corrige esto? ¿los efectos fijos corrigen esto?</w:t>
      </w:r>
    </w:p>
    <w:p w14:paraId="7D448551" w14:textId="71F3B549" w:rsidR="00051717" w:rsidRDefault="00EA3775" w:rsidP="00376DA1">
      <w:pPr>
        <w:pStyle w:val="ListParagraph"/>
        <w:numPr>
          <w:ilvl w:val="0"/>
          <w:numId w:val="1"/>
        </w:numPr>
        <w:rPr>
          <w:rFonts w:ascii="Segoe UI" w:hAnsi="Segoe UI" w:cs="Segoe UI"/>
          <w:sz w:val="22"/>
          <w:szCs w:val="22"/>
          <w:lang w:val="es-CO"/>
        </w:rPr>
      </w:pPr>
      <w:r>
        <w:rPr>
          <w:rFonts w:ascii="Segoe UI" w:hAnsi="Segoe UI" w:cs="Segoe UI"/>
          <w:sz w:val="22"/>
          <w:szCs w:val="22"/>
          <w:lang w:val="es-CO"/>
        </w:rPr>
        <w:t xml:space="preserve">La variable de resultado: ¿cómo se generó la variable Y? Especificar la forma funcional, el rol de la covariables, </w:t>
      </w:r>
      <w:r w:rsidR="007A25AD">
        <w:rPr>
          <w:rFonts w:ascii="Segoe UI" w:hAnsi="Segoe UI" w:cs="Segoe UI"/>
          <w:sz w:val="22"/>
          <w:szCs w:val="22"/>
          <w:lang w:val="es-CO"/>
        </w:rPr>
        <w:t>la distribución del término de error y sus propiedades</w:t>
      </w:r>
      <w:r w:rsidR="00D94453">
        <w:rPr>
          <w:rFonts w:ascii="Segoe UI" w:hAnsi="Segoe UI" w:cs="Segoe UI"/>
          <w:sz w:val="22"/>
          <w:szCs w:val="22"/>
          <w:lang w:val="es-CO"/>
        </w:rPr>
        <w:t xml:space="preserve"> (homocedástico o heterocedástico, clusterizado, correlación serial)</w:t>
      </w:r>
    </w:p>
    <w:p w14:paraId="391AE097" w14:textId="5535CD86" w:rsidR="007A25AD" w:rsidRDefault="007A25AD" w:rsidP="00376DA1">
      <w:pPr>
        <w:pStyle w:val="ListParagraph"/>
        <w:numPr>
          <w:ilvl w:val="0"/>
          <w:numId w:val="1"/>
        </w:numPr>
        <w:rPr>
          <w:rFonts w:ascii="Segoe UI" w:hAnsi="Segoe UI" w:cs="Segoe UI"/>
          <w:sz w:val="22"/>
          <w:szCs w:val="22"/>
          <w:lang w:val="es-CO"/>
        </w:rPr>
      </w:pPr>
      <w:r>
        <w:rPr>
          <w:rFonts w:ascii="Segoe UI" w:hAnsi="Segoe UI" w:cs="Segoe UI"/>
          <w:sz w:val="22"/>
          <w:szCs w:val="22"/>
          <w:lang w:val="es-CO"/>
        </w:rPr>
        <w:t xml:space="preserve">Las covariables: ¿cuáles se incluirán? </w:t>
      </w:r>
      <w:r w:rsidR="009751BD">
        <w:rPr>
          <w:rFonts w:ascii="Segoe UI" w:hAnsi="Segoe UI" w:cs="Segoe UI"/>
          <w:sz w:val="22"/>
          <w:szCs w:val="22"/>
          <w:lang w:val="es-CO"/>
        </w:rPr>
        <w:t>¿están correlacionadas con el tratamiento? ¿están correlacionadas con el resultado?</w:t>
      </w:r>
    </w:p>
    <w:p w14:paraId="1387EAF4" w14:textId="77777777" w:rsidR="00FB0314" w:rsidRDefault="00FB0314" w:rsidP="00FB0314">
      <w:pPr>
        <w:rPr>
          <w:rFonts w:ascii="Segoe UI" w:hAnsi="Segoe UI" w:cs="Segoe UI"/>
          <w:sz w:val="22"/>
          <w:szCs w:val="22"/>
          <w:lang w:val="es-CO"/>
        </w:rPr>
      </w:pPr>
    </w:p>
    <w:p w14:paraId="2B3C1A81" w14:textId="1A51CDF0" w:rsidR="00DA4291" w:rsidRDefault="00FB0314" w:rsidP="00A67299">
      <w:pPr>
        <w:jc w:val="both"/>
        <w:rPr>
          <w:rFonts w:ascii="Segoe UI" w:hAnsi="Segoe UI" w:cs="Segoe UI"/>
          <w:sz w:val="22"/>
          <w:szCs w:val="22"/>
          <w:lang w:val="es-CO"/>
        </w:rPr>
      </w:pPr>
      <w:r>
        <w:rPr>
          <w:rFonts w:ascii="Segoe UI" w:hAnsi="Segoe UI" w:cs="Segoe UI"/>
          <w:sz w:val="22"/>
          <w:szCs w:val="22"/>
          <w:lang w:val="es-CO"/>
        </w:rPr>
        <w:t xml:space="preserve">Tomaremos las localidades de Bogotá excluyendo a </w:t>
      </w:r>
      <w:r w:rsidR="00742CCE">
        <w:rPr>
          <w:rFonts w:ascii="Segoe UI" w:hAnsi="Segoe UI" w:cs="Segoe UI"/>
          <w:sz w:val="22"/>
          <w:szCs w:val="22"/>
          <w:lang w:val="es-CO"/>
        </w:rPr>
        <w:t>Sumapaz</w:t>
      </w:r>
      <w:r>
        <w:rPr>
          <w:rFonts w:ascii="Segoe UI" w:hAnsi="Segoe UI" w:cs="Segoe UI"/>
          <w:sz w:val="22"/>
          <w:szCs w:val="22"/>
          <w:lang w:val="es-CO"/>
        </w:rPr>
        <w:t xml:space="preserve">, debido a que </w:t>
      </w:r>
      <w:r w:rsidR="00D623E1">
        <w:rPr>
          <w:rFonts w:ascii="Segoe UI" w:hAnsi="Segoe UI" w:cs="Segoe UI"/>
          <w:sz w:val="22"/>
          <w:szCs w:val="22"/>
          <w:lang w:val="es-CO"/>
        </w:rPr>
        <w:t>es la única localidad 100% rural de la ciudad</w:t>
      </w:r>
      <w:r w:rsidR="008C0A51">
        <w:rPr>
          <w:rStyle w:val="FootnoteReference"/>
          <w:rFonts w:ascii="Segoe UI" w:hAnsi="Segoe UI" w:cs="Segoe UI"/>
          <w:sz w:val="22"/>
          <w:szCs w:val="22"/>
          <w:lang w:val="es-CO"/>
        </w:rPr>
        <w:footnoteReference w:id="1"/>
      </w:r>
      <w:r w:rsidR="00AD7D91">
        <w:rPr>
          <w:rFonts w:ascii="Segoe UI" w:hAnsi="Segoe UI" w:cs="Segoe UI"/>
          <w:sz w:val="22"/>
          <w:szCs w:val="22"/>
          <w:lang w:val="es-CO"/>
        </w:rPr>
        <w:t xml:space="preserve">. En ese sentido, contaremos con un panel de datos de 19 localidades a lo largo de </w:t>
      </w:r>
      <w:r w:rsidR="002E07DC">
        <w:rPr>
          <w:rFonts w:ascii="Segoe UI" w:hAnsi="Segoe UI" w:cs="Segoe UI"/>
          <w:sz w:val="22"/>
          <w:szCs w:val="22"/>
          <w:lang w:val="es-CO"/>
        </w:rPr>
        <w:t xml:space="preserve">10 años (entre 2014 y 2024); contando con un total de </w:t>
      </w:r>
      <w:r w:rsidR="004052D5">
        <w:rPr>
          <w:rFonts w:ascii="Segoe UI" w:hAnsi="Segoe UI" w:cs="Segoe UI"/>
          <w:sz w:val="22"/>
          <w:szCs w:val="22"/>
          <w:lang w:val="es-CO"/>
        </w:rPr>
        <w:t>209</w:t>
      </w:r>
      <w:r w:rsidR="000C465E">
        <w:rPr>
          <w:rFonts w:ascii="Segoe UI" w:hAnsi="Segoe UI" w:cs="Segoe UI"/>
          <w:sz w:val="22"/>
          <w:szCs w:val="22"/>
          <w:lang w:val="es-CO"/>
        </w:rPr>
        <w:t xml:space="preserve"> </w:t>
      </w:r>
      <w:r w:rsidR="002E07DC">
        <w:rPr>
          <w:rFonts w:ascii="Segoe UI" w:hAnsi="Segoe UI" w:cs="Segoe UI"/>
          <w:sz w:val="22"/>
          <w:szCs w:val="22"/>
          <w:lang w:val="es-CO"/>
        </w:rPr>
        <w:t>observaciones</w:t>
      </w:r>
      <w:r w:rsidR="000C465E">
        <w:rPr>
          <w:rFonts w:ascii="Segoe UI" w:hAnsi="Segoe UI" w:cs="Segoe UI"/>
          <w:sz w:val="22"/>
          <w:szCs w:val="22"/>
          <w:lang w:val="es-CO"/>
        </w:rPr>
        <w:t>.</w:t>
      </w:r>
      <w:r w:rsidR="00037864">
        <w:rPr>
          <w:rFonts w:ascii="Segoe UI" w:hAnsi="Segoe UI" w:cs="Segoe UI"/>
          <w:sz w:val="22"/>
          <w:szCs w:val="22"/>
          <w:lang w:val="es-CO"/>
        </w:rPr>
        <w:t xml:space="preserve"> La asignación del tratamiento </w:t>
      </w:r>
      <w:r w:rsidR="009D2DFE">
        <w:rPr>
          <w:rFonts w:ascii="Segoe UI" w:hAnsi="Segoe UI" w:cs="Segoe UI"/>
          <w:sz w:val="22"/>
          <w:szCs w:val="22"/>
          <w:lang w:val="es-CO"/>
        </w:rPr>
        <w:t>surge de un experimento natural</w:t>
      </w:r>
      <w:r w:rsidR="002552D3">
        <w:rPr>
          <w:rFonts w:ascii="Segoe UI" w:hAnsi="Segoe UI" w:cs="Segoe UI"/>
          <w:sz w:val="22"/>
          <w:szCs w:val="22"/>
          <w:lang w:val="es-CO"/>
        </w:rPr>
        <w:t xml:space="preserve"> cuasiexpe</w:t>
      </w:r>
      <w:r w:rsidR="00C567B9">
        <w:rPr>
          <w:rFonts w:ascii="Segoe UI" w:hAnsi="Segoe UI" w:cs="Segoe UI"/>
          <w:sz w:val="22"/>
          <w:szCs w:val="22"/>
          <w:lang w:val="es-CO"/>
        </w:rPr>
        <w:t>rimental</w:t>
      </w:r>
      <w:r w:rsidR="009D2DFE">
        <w:rPr>
          <w:rFonts w:ascii="Segoe UI" w:hAnsi="Segoe UI" w:cs="Segoe UI"/>
          <w:sz w:val="22"/>
          <w:szCs w:val="22"/>
          <w:lang w:val="es-CO"/>
        </w:rPr>
        <w:t xml:space="preserve">, en tanto que </w:t>
      </w:r>
      <w:r w:rsidR="00B56A74">
        <w:rPr>
          <w:rFonts w:ascii="Segoe UI" w:hAnsi="Segoe UI" w:cs="Segoe UI"/>
          <w:sz w:val="22"/>
          <w:szCs w:val="22"/>
          <w:lang w:val="es-CO"/>
        </w:rPr>
        <w:t>proviene</w:t>
      </w:r>
      <w:r w:rsidR="009D2DFE">
        <w:rPr>
          <w:rFonts w:ascii="Segoe UI" w:hAnsi="Segoe UI" w:cs="Segoe UI"/>
          <w:sz w:val="22"/>
          <w:szCs w:val="22"/>
          <w:lang w:val="es-CO"/>
        </w:rPr>
        <w:t xml:space="preserve"> de un evento exógeno</w:t>
      </w:r>
      <w:r w:rsidR="00B2127F">
        <w:rPr>
          <w:rFonts w:ascii="Segoe UI" w:hAnsi="Segoe UI" w:cs="Segoe UI"/>
          <w:sz w:val="22"/>
          <w:szCs w:val="22"/>
          <w:lang w:val="es-CO"/>
        </w:rPr>
        <w:t xml:space="preserve"> como lo fue la crisis económica y política en Venezuela</w:t>
      </w:r>
      <w:r w:rsidR="00B56A74">
        <w:rPr>
          <w:rFonts w:ascii="Segoe UI" w:hAnsi="Segoe UI" w:cs="Segoe UI"/>
          <w:sz w:val="22"/>
          <w:szCs w:val="22"/>
          <w:lang w:val="es-CO"/>
        </w:rPr>
        <w:t>, sin embargo</w:t>
      </w:r>
      <w:r w:rsidR="00F25D09">
        <w:rPr>
          <w:rFonts w:ascii="Segoe UI" w:hAnsi="Segoe UI" w:cs="Segoe UI"/>
          <w:sz w:val="22"/>
          <w:szCs w:val="22"/>
          <w:lang w:val="es-CO"/>
        </w:rPr>
        <w:t>, la llegada de migrantes a las localidades no es aleatoria</w:t>
      </w:r>
      <w:r w:rsidR="00C567B9">
        <w:rPr>
          <w:rFonts w:ascii="Segoe UI" w:hAnsi="Segoe UI" w:cs="Segoe UI"/>
          <w:sz w:val="22"/>
          <w:szCs w:val="22"/>
          <w:lang w:val="es-CO"/>
        </w:rPr>
        <w:t>, razón por la cual es necesario usar la estrategia de variable instrumental</w:t>
      </w:r>
      <w:r w:rsidR="00F25D09">
        <w:rPr>
          <w:rFonts w:ascii="Segoe UI" w:hAnsi="Segoe UI" w:cs="Segoe UI"/>
          <w:sz w:val="22"/>
          <w:szCs w:val="22"/>
          <w:lang w:val="es-CO"/>
        </w:rPr>
        <w:t>.</w:t>
      </w:r>
    </w:p>
    <w:p w14:paraId="6E6ED78F" w14:textId="2C09B447" w:rsidR="000D7566" w:rsidRDefault="00A14E9E" w:rsidP="00A67299">
      <w:pPr>
        <w:jc w:val="both"/>
        <w:rPr>
          <w:rFonts w:ascii="Segoe UI" w:hAnsi="Segoe UI" w:cs="Segoe UI"/>
          <w:sz w:val="22"/>
          <w:szCs w:val="22"/>
          <w:lang w:val="es-CO"/>
        </w:rPr>
      </w:pPr>
      <w:r>
        <w:rPr>
          <w:rFonts w:ascii="Segoe UI" w:hAnsi="Segoe UI" w:cs="Segoe UI"/>
          <w:sz w:val="22"/>
          <w:szCs w:val="22"/>
          <w:lang w:val="es-CO"/>
        </w:rPr>
        <w:t>Para construir el instrumento, se</w:t>
      </w:r>
      <w:r w:rsidR="00C80F91">
        <w:rPr>
          <w:rFonts w:ascii="Segoe UI" w:hAnsi="Segoe UI" w:cs="Segoe UI"/>
          <w:sz w:val="22"/>
          <w:szCs w:val="22"/>
          <w:lang w:val="es-CO"/>
        </w:rPr>
        <w:t xml:space="preserve"> nec</w:t>
      </w:r>
      <w:r w:rsidR="00E57CE1">
        <w:rPr>
          <w:rFonts w:ascii="Segoe UI" w:hAnsi="Segoe UI" w:cs="Segoe UI"/>
          <w:sz w:val="22"/>
          <w:szCs w:val="22"/>
          <w:lang w:val="es-CO"/>
        </w:rPr>
        <w:t>esita el share base en 2005 y el shift como flujo migratorio en el país para los años de tratamiento (2014 a 2024)</w:t>
      </w:r>
      <w:r w:rsidR="00C33E75">
        <w:rPr>
          <w:rFonts w:ascii="Segoe UI" w:hAnsi="Segoe UI" w:cs="Segoe UI"/>
          <w:sz w:val="22"/>
          <w:szCs w:val="22"/>
          <w:lang w:val="es-CO"/>
        </w:rPr>
        <w:t>.</w:t>
      </w:r>
      <w:r w:rsidR="00FC7133">
        <w:rPr>
          <w:rFonts w:ascii="Segoe UI" w:hAnsi="Segoe UI" w:cs="Segoe UI"/>
          <w:sz w:val="22"/>
          <w:szCs w:val="22"/>
          <w:lang w:val="es-CO"/>
        </w:rPr>
        <w:t xml:space="preserve"> Para el primero, se utilizará como referencia el trabajo de </w:t>
      </w:r>
      <w:r w:rsidR="002A6C3E">
        <w:rPr>
          <w:rFonts w:ascii="Segoe UI" w:hAnsi="Segoe UI" w:cs="Segoe UI"/>
          <w:sz w:val="22"/>
          <w:szCs w:val="22"/>
          <w:lang w:val="es-CO"/>
        </w:rPr>
        <w:t>Aldana (2016)</w:t>
      </w:r>
      <w:r w:rsidR="004837AF">
        <w:rPr>
          <w:rFonts w:ascii="Segoe UI" w:hAnsi="Segoe UI" w:cs="Segoe UI"/>
          <w:sz w:val="22"/>
          <w:szCs w:val="22"/>
          <w:lang w:val="es-CO"/>
        </w:rPr>
        <w:t xml:space="preserve">, el cual cuenta con la distribución de migrantes venezolanos en Bogotá, más específicamente en las localidades durante el 2005. Para </w:t>
      </w:r>
      <w:r w:rsidR="00404111">
        <w:rPr>
          <w:rFonts w:ascii="Segoe UI" w:hAnsi="Segoe UI" w:cs="Segoe UI"/>
          <w:sz w:val="22"/>
          <w:szCs w:val="22"/>
          <w:lang w:val="es-CO"/>
        </w:rPr>
        <w:t xml:space="preserve">el shift, </w:t>
      </w:r>
      <w:r w:rsidR="0094663C">
        <w:rPr>
          <w:rFonts w:ascii="Segoe UI" w:hAnsi="Segoe UI" w:cs="Segoe UI"/>
          <w:sz w:val="22"/>
          <w:szCs w:val="22"/>
          <w:lang w:val="es-CO"/>
        </w:rPr>
        <w:t xml:space="preserve">se </w:t>
      </w:r>
      <w:r w:rsidR="00C3250C">
        <w:rPr>
          <w:rFonts w:ascii="Segoe UI" w:hAnsi="Segoe UI" w:cs="Segoe UI"/>
          <w:sz w:val="22"/>
          <w:szCs w:val="22"/>
          <w:lang w:val="es-CO"/>
        </w:rPr>
        <w:t xml:space="preserve">utilizará la entrada de migrantes venezolanos a Colombia cada </w:t>
      </w:r>
      <w:r w:rsidR="00A72D22">
        <w:rPr>
          <w:rFonts w:ascii="Segoe UI" w:hAnsi="Segoe UI" w:cs="Segoe UI"/>
          <w:sz w:val="22"/>
          <w:szCs w:val="22"/>
          <w:lang w:val="es-CO"/>
        </w:rPr>
        <w:t>año reportado por Migración Colombia</w:t>
      </w:r>
      <w:r w:rsidR="00C3250C">
        <w:rPr>
          <w:rFonts w:ascii="Segoe UI" w:hAnsi="Segoe UI" w:cs="Segoe UI"/>
          <w:sz w:val="22"/>
          <w:szCs w:val="22"/>
          <w:lang w:val="es-CO"/>
        </w:rPr>
        <w:t xml:space="preserve">, para luego calcular la tasa de crecimiento según la </w:t>
      </w:r>
      <w:r w:rsidR="00D24176">
        <w:rPr>
          <w:rFonts w:ascii="Segoe UI" w:hAnsi="Segoe UI" w:cs="Segoe UI"/>
          <w:sz w:val="22"/>
          <w:szCs w:val="22"/>
          <w:lang w:val="es-CO"/>
        </w:rPr>
        <w:t>fórmula reportada en la sección de diseño.</w:t>
      </w:r>
    </w:p>
    <w:p w14:paraId="4FC8342B" w14:textId="4B09AF49" w:rsidR="007E278E" w:rsidRDefault="005F5212" w:rsidP="00A67299">
      <w:pPr>
        <w:jc w:val="both"/>
        <w:rPr>
          <w:rFonts w:ascii="Segoe UI" w:hAnsi="Segoe UI" w:cs="Segoe UI"/>
          <w:sz w:val="22"/>
          <w:szCs w:val="22"/>
          <w:lang w:val="es-CO"/>
        </w:rPr>
      </w:pPr>
      <w:r>
        <w:rPr>
          <w:rFonts w:ascii="Segoe UI" w:hAnsi="Segoe UI" w:cs="Segoe UI"/>
          <w:sz w:val="22"/>
          <w:szCs w:val="22"/>
          <w:lang w:val="es-CO"/>
        </w:rPr>
        <w:t xml:space="preserve">De acuerdo con </w:t>
      </w:r>
      <w:r w:rsidR="009B5F96">
        <w:rPr>
          <w:rFonts w:ascii="Segoe UI" w:hAnsi="Segoe UI" w:cs="Segoe UI"/>
          <w:sz w:val="22"/>
          <w:szCs w:val="22"/>
          <w:lang w:val="es-CO"/>
        </w:rPr>
        <w:t xml:space="preserve">Aldana (2016), </w:t>
      </w:r>
      <w:r w:rsidR="007323EA">
        <w:rPr>
          <w:rFonts w:ascii="Segoe UI" w:hAnsi="Segoe UI" w:cs="Segoe UI"/>
          <w:sz w:val="22"/>
          <w:szCs w:val="22"/>
          <w:lang w:val="es-CO"/>
        </w:rPr>
        <w:t xml:space="preserve">si bien </w:t>
      </w:r>
      <w:r w:rsidR="009B5F96">
        <w:rPr>
          <w:rFonts w:ascii="Segoe UI" w:hAnsi="Segoe UI" w:cs="Segoe UI"/>
          <w:sz w:val="22"/>
          <w:szCs w:val="22"/>
          <w:lang w:val="es-CO"/>
        </w:rPr>
        <w:t xml:space="preserve">la población migrante venezolana se reparte por </w:t>
      </w:r>
      <w:r w:rsidR="007323EA">
        <w:rPr>
          <w:rFonts w:ascii="Segoe UI" w:hAnsi="Segoe UI" w:cs="Segoe UI"/>
          <w:sz w:val="22"/>
          <w:szCs w:val="22"/>
          <w:lang w:val="es-CO"/>
        </w:rPr>
        <w:t>todo el territorio bogotano, existe un patrón que muestra mayor concentración en el norte de la ciudad y menor concentración en las localidades del sur</w:t>
      </w:r>
      <w:r w:rsidR="00621EC4">
        <w:rPr>
          <w:rFonts w:ascii="Segoe UI" w:hAnsi="Segoe UI" w:cs="Segoe UI"/>
          <w:sz w:val="22"/>
          <w:szCs w:val="22"/>
          <w:lang w:val="es-CO"/>
        </w:rPr>
        <w:t xml:space="preserve">. De hecho, en este año la mayor concentración </w:t>
      </w:r>
      <w:r w:rsidR="00621EC4">
        <w:rPr>
          <w:rFonts w:ascii="Segoe UI" w:hAnsi="Segoe UI" w:cs="Segoe UI"/>
          <w:sz w:val="22"/>
          <w:szCs w:val="22"/>
          <w:lang w:val="es-CO"/>
        </w:rPr>
        <w:lastRenderedPageBreak/>
        <w:t>se da en las localidades de Chapinero, Usaquén</w:t>
      </w:r>
      <w:r w:rsidR="00F36CAD">
        <w:rPr>
          <w:rFonts w:ascii="Segoe UI" w:hAnsi="Segoe UI" w:cs="Segoe UI"/>
          <w:sz w:val="22"/>
          <w:szCs w:val="22"/>
          <w:lang w:val="es-CO"/>
        </w:rPr>
        <w:t xml:space="preserve"> y el límite oriental de la localidad de Suba;</w:t>
      </w:r>
      <w:r w:rsidR="00C90F41">
        <w:rPr>
          <w:rFonts w:ascii="Segoe UI" w:hAnsi="Segoe UI" w:cs="Segoe UI"/>
          <w:sz w:val="22"/>
          <w:szCs w:val="22"/>
          <w:lang w:val="es-CO"/>
        </w:rPr>
        <w:t xml:space="preserve"> que puede corresponder a inmigrantes </w:t>
      </w:r>
      <w:r w:rsidR="00ED0900">
        <w:rPr>
          <w:rFonts w:ascii="Segoe UI" w:hAnsi="Segoe UI" w:cs="Segoe UI"/>
          <w:sz w:val="22"/>
          <w:szCs w:val="22"/>
          <w:lang w:val="es-CO"/>
        </w:rPr>
        <w:t xml:space="preserve">empresarios o políticos venezolanos que salieron del país a partir del gobierno de Hugo Chávez. También se observan concentraciones en Teusaquillo y Barrios Unidos, </w:t>
      </w:r>
      <w:r w:rsidR="0056142E">
        <w:rPr>
          <w:rFonts w:ascii="Segoe UI" w:hAnsi="Segoe UI" w:cs="Segoe UI"/>
          <w:sz w:val="22"/>
          <w:szCs w:val="22"/>
          <w:lang w:val="es-CO"/>
        </w:rPr>
        <w:t>sin embargo, se presume que en estas localidades se empezó a concentrar población de estrato medio-alto y medio-bajo. No obstante, al comparar con 20</w:t>
      </w:r>
      <w:r w:rsidR="00D704F3">
        <w:rPr>
          <w:rFonts w:ascii="Segoe UI" w:hAnsi="Segoe UI" w:cs="Segoe UI"/>
          <w:sz w:val="22"/>
          <w:szCs w:val="22"/>
          <w:lang w:val="es-CO"/>
        </w:rPr>
        <w:t>21</w:t>
      </w:r>
      <w:r w:rsidR="0056142E">
        <w:rPr>
          <w:rFonts w:ascii="Segoe UI" w:hAnsi="Segoe UI" w:cs="Segoe UI"/>
          <w:sz w:val="22"/>
          <w:szCs w:val="22"/>
          <w:lang w:val="es-CO"/>
        </w:rPr>
        <w:t>, la composición de migrantes venezolanos cambió</w:t>
      </w:r>
      <w:r w:rsidR="00D704F3">
        <w:rPr>
          <w:rFonts w:ascii="Segoe UI" w:hAnsi="Segoe UI" w:cs="Segoe UI"/>
          <w:sz w:val="22"/>
          <w:szCs w:val="22"/>
          <w:lang w:val="es-CO"/>
        </w:rPr>
        <w:t xml:space="preserve"> drásticamente</w:t>
      </w:r>
      <w:r w:rsidR="0056142E">
        <w:rPr>
          <w:rFonts w:ascii="Segoe UI" w:hAnsi="Segoe UI" w:cs="Segoe UI"/>
          <w:sz w:val="22"/>
          <w:szCs w:val="22"/>
          <w:lang w:val="es-CO"/>
        </w:rPr>
        <w:t xml:space="preserve">, como se puede observar en la figura </w:t>
      </w:r>
      <w:r w:rsidR="00CE6CB0">
        <w:rPr>
          <w:rFonts w:ascii="Segoe UI" w:hAnsi="Segoe UI" w:cs="Segoe UI"/>
          <w:sz w:val="22"/>
          <w:szCs w:val="22"/>
          <w:lang w:val="es-CO"/>
        </w:rPr>
        <w:t>1.</w:t>
      </w:r>
      <w:r w:rsidR="0061140B">
        <w:rPr>
          <w:rFonts w:ascii="Segoe UI" w:hAnsi="Segoe UI" w:cs="Segoe UI"/>
          <w:sz w:val="22"/>
          <w:szCs w:val="22"/>
          <w:lang w:val="es-CO"/>
        </w:rPr>
        <w:t xml:space="preserve"> </w:t>
      </w:r>
      <w:r w:rsidR="00251FE5">
        <w:rPr>
          <w:rFonts w:ascii="Segoe UI" w:hAnsi="Segoe UI" w:cs="Segoe UI"/>
          <w:sz w:val="22"/>
          <w:szCs w:val="22"/>
          <w:lang w:val="es-CO"/>
        </w:rPr>
        <w:t>De acuerdo con ProBogotá (2023), cerca del 60%</w:t>
      </w:r>
      <w:r w:rsidR="00C66681">
        <w:rPr>
          <w:rFonts w:ascii="Segoe UI" w:hAnsi="Segoe UI" w:cs="Segoe UI"/>
          <w:sz w:val="22"/>
          <w:szCs w:val="22"/>
          <w:lang w:val="es-CO"/>
        </w:rPr>
        <w:t xml:space="preserve"> de la población migrante en este año se ubica en 5 localidades, a saber: </w:t>
      </w:r>
      <w:r w:rsidR="00CC45DA">
        <w:rPr>
          <w:rFonts w:ascii="Segoe UI" w:hAnsi="Segoe UI" w:cs="Segoe UI"/>
          <w:sz w:val="22"/>
          <w:szCs w:val="22"/>
          <w:lang w:val="es-CO"/>
        </w:rPr>
        <w:t>Suba, Kennedy, Engativá, Ciudad Bolívar y Bosa.</w:t>
      </w:r>
    </w:p>
    <w:p w14:paraId="272A5167" w14:textId="4A1BEEC7" w:rsidR="002A6C3E" w:rsidRDefault="00061DC1" w:rsidP="00A67299">
      <w:pPr>
        <w:jc w:val="both"/>
        <w:rPr>
          <w:rFonts w:ascii="Segoe UI" w:hAnsi="Segoe UI" w:cs="Segoe UI"/>
          <w:sz w:val="22"/>
          <w:szCs w:val="22"/>
          <w:lang w:val="es-CO"/>
        </w:rPr>
      </w:pPr>
      <w:r>
        <w:rPr>
          <w:rFonts w:ascii="Segoe UI" w:hAnsi="Segoe UI" w:cs="Segoe UI"/>
          <w:sz w:val="22"/>
          <w:szCs w:val="22"/>
          <w:lang w:val="es-CO"/>
        </w:rPr>
        <w:t xml:space="preserve">Para generar la variable de migración, se </w:t>
      </w:r>
      <w:r w:rsidR="00F953BE">
        <w:rPr>
          <w:rFonts w:ascii="Segoe UI" w:hAnsi="Segoe UI" w:cs="Segoe UI"/>
          <w:sz w:val="22"/>
          <w:szCs w:val="22"/>
          <w:lang w:val="es-CO"/>
        </w:rPr>
        <w:t>toma</w:t>
      </w:r>
      <w:r w:rsidR="00A25F18">
        <w:rPr>
          <w:rFonts w:ascii="Segoe UI" w:hAnsi="Segoe UI" w:cs="Segoe UI"/>
          <w:sz w:val="22"/>
          <w:szCs w:val="22"/>
          <w:lang w:val="es-CO"/>
        </w:rPr>
        <w:t>rá</w:t>
      </w:r>
      <w:r w:rsidR="00F953BE">
        <w:rPr>
          <w:rFonts w:ascii="Segoe UI" w:hAnsi="Segoe UI" w:cs="Segoe UI"/>
          <w:sz w:val="22"/>
          <w:szCs w:val="22"/>
          <w:lang w:val="es-CO"/>
        </w:rPr>
        <w:t xml:space="preserve"> de referencia </w:t>
      </w:r>
      <w:r w:rsidR="00A25F18">
        <w:rPr>
          <w:rFonts w:ascii="Segoe UI" w:hAnsi="Segoe UI" w:cs="Segoe UI"/>
          <w:sz w:val="22"/>
          <w:szCs w:val="22"/>
          <w:lang w:val="es-CO"/>
        </w:rPr>
        <w:t>la distribución de los venezolanos en el 2021</w:t>
      </w:r>
      <w:r w:rsidR="00B97E69">
        <w:rPr>
          <w:rFonts w:ascii="Segoe UI" w:hAnsi="Segoe UI" w:cs="Segoe UI"/>
          <w:sz w:val="22"/>
          <w:szCs w:val="22"/>
          <w:lang w:val="es-CO"/>
        </w:rPr>
        <w:t xml:space="preserve"> para cada localida</w:t>
      </w:r>
      <w:r w:rsidR="00E4161E">
        <w:rPr>
          <w:rFonts w:ascii="Segoe UI" w:hAnsi="Segoe UI" w:cs="Segoe UI"/>
          <w:sz w:val="22"/>
          <w:szCs w:val="22"/>
          <w:lang w:val="es-CO"/>
        </w:rPr>
        <w:t>d</w:t>
      </w:r>
      <w:r w:rsidR="00591B21">
        <w:rPr>
          <w:rFonts w:ascii="Segoe UI" w:hAnsi="Segoe UI" w:cs="Segoe UI"/>
          <w:sz w:val="22"/>
          <w:szCs w:val="22"/>
          <w:lang w:val="es-CO"/>
        </w:rPr>
        <w:t xml:space="preserve">. Luego, </w:t>
      </w:r>
      <w:r w:rsidR="00B97E69">
        <w:rPr>
          <w:rFonts w:ascii="Segoe UI" w:hAnsi="Segoe UI" w:cs="Segoe UI"/>
          <w:sz w:val="22"/>
          <w:szCs w:val="22"/>
          <w:lang w:val="es-CO"/>
        </w:rPr>
        <w:t xml:space="preserve">asumiremos que la entrada de migrantes a través de los años se mantiene similar en proporción, en este sentido, </w:t>
      </w:r>
      <w:r w:rsidR="00707AFA">
        <w:rPr>
          <w:rFonts w:ascii="Segoe UI" w:hAnsi="Segoe UI" w:cs="Segoe UI"/>
          <w:sz w:val="22"/>
          <w:szCs w:val="22"/>
          <w:lang w:val="es-CO"/>
        </w:rPr>
        <w:t xml:space="preserve">para cada año, </w:t>
      </w:r>
      <w:r w:rsidR="00B97E69">
        <w:rPr>
          <w:rFonts w:ascii="Segoe UI" w:hAnsi="Segoe UI" w:cs="Segoe UI"/>
          <w:sz w:val="22"/>
          <w:szCs w:val="22"/>
          <w:lang w:val="es-CO"/>
        </w:rPr>
        <w:t>cerca del 21% de los venezolanos que entran al país se dirigen a Bogotá</w:t>
      </w:r>
      <w:r w:rsidR="00E4161E">
        <w:rPr>
          <w:rFonts w:ascii="Segoe UI" w:hAnsi="Segoe UI" w:cs="Segoe UI"/>
          <w:sz w:val="22"/>
          <w:szCs w:val="22"/>
          <w:lang w:val="es-CO"/>
        </w:rPr>
        <w:t xml:space="preserve">, y finalmente, pasamos este dato a tasa como </w:t>
      </w:r>
      <w:r w:rsidR="00A13DEC">
        <w:rPr>
          <w:rFonts w:ascii="Segoe UI" w:hAnsi="Segoe UI" w:cs="Segoe UI"/>
          <w:sz w:val="22"/>
          <w:szCs w:val="22"/>
          <w:lang w:val="es-CO"/>
        </w:rPr>
        <w:t>número de venezolanos por cada 1.000 habitantes en la ciudad.</w:t>
      </w:r>
    </w:p>
    <w:p w14:paraId="77F386B0" w14:textId="3D6EE4EC" w:rsidR="00041EE2" w:rsidRDefault="00757F60" w:rsidP="00A67299">
      <w:pPr>
        <w:jc w:val="both"/>
        <w:rPr>
          <w:rFonts w:ascii="Segoe UI" w:hAnsi="Segoe UI" w:cs="Segoe UI"/>
          <w:sz w:val="22"/>
          <w:szCs w:val="22"/>
          <w:lang w:val="es-CO"/>
        </w:rPr>
      </w:pPr>
      <w:r>
        <w:rPr>
          <w:rFonts w:ascii="Segoe UI" w:hAnsi="Segoe UI" w:cs="Segoe UI"/>
          <w:sz w:val="22"/>
          <w:szCs w:val="22"/>
          <w:lang w:val="es-CO"/>
        </w:rPr>
        <w:t>Para construir el déficit de vivienda</w:t>
      </w:r>
      <w:r w:rsidR="00C0331C">
        <w:rPr>
          <w:rFonts w:ascii="Segoe UI" w:hAnsi="Segoe UI" w:cs="Segoe UI"/>
          <w:sz w:val="22"/>
          <w:szCs w:val="22"/>
          <w:lang w:val="es-CO"/>
        </w:rPr>
        <w:t xml:space="preserve">, utilizamos </w:t>
      </w:r>
      <w:r w:rsidR="00E5406C">
        <w:rPr>
          <w:rFonts w:ascii="Segoe UI" w:hAnsi="Segoe UI" w:cs="Segoe UI"/>
          <w:sz w:val="22"/>
          <w:szCs w:val="22"/>
          <w:lang w:val="es-CO"/>
        </w:rPr>
        <w:t>el estudio de Déficit de Vivienda de la Alcaldía Mayor de Bogotá para el año 2017, en la cual se relaciona el déficit total de Bogotá por localidades. A</w:t>
      </w:r>
      <w:r w:rsidR="009703C3">
        <w:rPr>
          <w:rFonts w:ascii="Segoe UI" w:hAnsi="Segoe UI" w:cs="Segoe UI"/>
          <w:sz w:val="22"/>
          <w:szCs w:val="22"/>
          <w:lang w:val="es-CO"/>
        </w:rPr>
        <w:t xml:space="preserve">sumimos además que el comportamiento del déficit a través de los años fue descendiente, como lo dicta la literatura, con excepción del 2020 y 2021, cuando, a causa de la pandemia, se volvieron a elevar los niveles de </w:t>
      </w:r>
      <w:r w:rsidR="00597F9C">
        <w:rPr>
          <w:rFonts w:ascii="Segoe UI" w:hAnsi="Segoe UI" w:cs="Segoe UI"/>
          <w:sz w:val="22"/>
          <w:szCs w:val="22"/>
          <w:lang w:val="es-CO"/>
        </w:rPr>
        <w:t xml:space="preserve">déficit habitacional. Luego de esto, </w:t>
      </w:r>
      <w:r w:rsidR="00AD221A">
        <w:rPr>
          <w:rFonts w:ascii="Segoe UI" w:hAnsi="Segoe UI" w:cs="Segoe UI"/>
          <w:sz w:val="22"/>
          <w:szCs w:val="22"/>
          <w:lang w:val="es-CO"/>
        </w:rPr>
        <w:t>como aproximación para conocer el total de hogares en Bogotá, tomamos la población total y la dividimos en 2,8, que es el promedio de personas que conforman un hogar en Bogotá, de acuerdo con el DANE. De esta manera, nuestro déficit será el número de hogares en déficit de la localidad sobre el número de hogares totales de la ciudad para el periodo t.</w:t>
      </w:r>
      <w:r w:rsidR="00DC15CC">
        <w:rPr>
          <w:rFonts w:ascii="Segoe UI" w:hAnsi="Segoe UI" w:cs="Segoe UI"/>
          <w:sz w:val="22"/>
          <w:szCs w:val="22"/>
          <w:lang w:val="es-CO"/>
        </w:rPr>
        <w:t xml:space="preserve"> Para obtener la población por localidad, proyectamos su crecimiento en base a la población por localidad disponible para 2005.</w:t>
      </w:r>
    </w:p>
    <w:p w14:paraId="42EA8B04" w14:textId="338683F7" w:rsidR="00041EE2" w:rsidRDefault="00A1616A" w:rsidP="00A67299">
      <w:pPr>
        <w:jc w:val="both"/>
        <w:rPr>
          <w:rFonts w:ascii="Segoe UI" w:hAnsi="Segoe UI" w:cs="Segoe UI"/>
          <w:sz w:val="22"/>
          <w:szCs w:val="22"/>
          <w:lang w:val="es-CO"/>
        </w:rPr>
      </w:pPr>
      <w:r>
        <w:rPr>
          <w:rFonts w:ascii="Segoe UI" w:hAnsi="Segoe UI" w:cs="Segoe UI"/>
          <w:sz w:val="22"/>
          <w:szCs w:val="22"/>
          <w:lang w:val="es-CO"/>
        </w:rPr>
        <w:t>Po</w:t>
      </w:r>
      <w:r w:rsidR="00B748D8">
        <w:rPr>
          <w:rFonts w:ascii="Segoe UI" w:hAnsi="Segoe UI" w:cs="Segoe UI"/>
          <w:sz w:val="22"/>
          <w:szCs w:val="22"/>
          <w:lang w:val="es-CO"/>
        </w:rPr>
        <w:t xml:space="preserve">r último, la variable de ingreso promedio de los hogares en cada localidad la calculamos a partir de </w:t>
      </w:r>
      <w:r w:rsidR="00837D04">
        <w:rPr>
          <w:rFonts w:ascii="Segoe UI" w:hAnsi="Segoe UI" w:cs="Segoe UI"/>
          <w:sz w:val="22"/>
          <w:szCs w:val="22"/>
          <w:lang w:val="es-CO"/>
        </w:rPr>
        <w:t xml:space="preserve">la base de datos de Ingreso Promedio de los Ocupados en Bogotá D.C. de la Secretaría Distrital de Desarrollo; en esta, es posible obtener </w:t>
      </w:r>
      <w:r w:rsidR="00117E93">
        <w:rPr>
          <w:rFonts w:ascii="Segoe UI" w:hAnsi="Segoe UI" w:cs="Segoe UI"/>
          <w:sz w:val="22"/>
          <w:szCs w:val="22"/>
          <w:lang w:val="es-CO"/>
        </w:rPr>
        <w:t xml:space="preserve">los ingresos por localidad para 2014 y 2017; con el fin de simular los demás años, se utilizó la inflación anual como </w:t>
      </w:r>
      <w:r w:rsidR="004F31B0">
        <w:rPr>
          <w:rFonts w:ascii="Segoe UI" w:hAnsi="Segoe UI" w:cs="Segoe UI"/>
          <w:sz w:val="22"/>
          <w:szCs w:val="22"/>
          <w:lang w:val="es-CO"/>
        </w:rPr>
        <w:t xml:space="preserve">incremento del ingreso año tras año. </w:t>
      </w:r>
      <w:r w:rsidR="000A3F14">
        <w:rPr>
          <w:rFonts w:ascii="Segoe UI" w:hAnsi="Segoe UI" w:cs="Segoe UI"/>
          <w:sz w:val="22"/>
          <w:szCs w:val="22"/>
          <w:lang w:val="es-CO"/>
        </w:rPr>
        <w:t>A continuación se muestra el mapa de ingresos promedios para el 2021, mismo año de la figura anterior, con el fin de guardar relación.</w:t>
      </w:r>
    </w:p>
    <w:p w14:paraId="53E76F08" w14:textId="77777777" w:rsidR="00041EE2" w:rsidRDefault="00041EE2" w:rsidP="00A67299">
      <w:pPr>
        <w:jc w:val="both"/>
        <w:rPr>
          <w:rFonts w:ascii="Segoe UI" w:hAnsi="Segoe UI" w:cs="Segoe UI"/>
          <w:sz w:val="22"/>
          <w:szCs w:val="22"/>
          <w:lang w:val="es-CO"/>
        </w:rPr>
      </w:pPr>
    </w:p>
    <w:p w14:paraId="15C2FC65" w14:textId="77777777" w:rsidR="00041EE2" w:rsidRDefault="00041EE2" w:rsidP="00A67299">
      <w:pPr>
        <w:jc w:val="both"/>
        <w:rPr>
          <w:rFonts w:ascii="Segoe UI" w:hAnsi="Segoe UI" w:cs="Segoe UI"/>
          <w:sz w:val="22"/>
          <w:szCs w:val="22"/>
          <w:lang w:val="es-CO"/>
        </w:rPr>
      </w:pPr>
    </w:p>
    <w:p w14:paraId="2600874F" w14:textId="77777777" w:rsidR="00041EE2" w:rsidRDefault="00041EE2" w:rsidP="00A67299">
      <w:pPr>
        <w:jc w:val="both"/>
        <w:rPr>
          <w:rFonts w:ascii="Segoe UI" w:hAnsi="Segoe UI" w:cs="Segoe UI"/>
          <w:sz w:val="22"/>
          <w:szCs w:val="22"/>
          <w:lang w:val="es-CO"/>
        </w:rPr>
      </w:pPr>
    </w:p>
    <w:p w14:paraId="0EBC00EA" w14:textId="6F1BE2E5" w:rsidR="00041EE2" w:rsidRDefault="00041EE2" w:rsidP="00A67299">
      <w:pPr>
        <w:jc w:val="both"/>
        <w:rPr>
          <w:rFonts w:ascii="Segoe UI" w:hAnsi="Segoe UI" w:cs="Segoe UI"/>
          <w:sz w:val="22"/>
          <w:szCs w:val="22"/>
          <w:lang w:val="es-CO"/>
        </w:rPr>
      </w:pPr>
      <w:r>
        <w:rPr>
          <w:rFonts w:ascii="Segoe UI" w:hAnsi="Segoe UI" w:cs="Segoe UI"/>
          <w:sz w:val="22"/>
          <w:szCs w:val="22"/>
          <w:lang w:val="es-CO"/>
        </w:rPr>
        <w:t xml:space="preserve">Vale la pena ahondar en municipios cercanos a Bogotá (revisar si tiene </w:t>
      </w:r>
      <w:r w:rsidR="0045492A">
        <w:rPr>
          <w:rFonts w:ascii="Segoe UI" w:hAnsi="Segoe UI" w:cs="Segoe UI"/>
          <w:sz w:val="22"/>
          <w:szCs w:val="22"/>
          <w:lang w:val="es-CO"/>
        </w:rPr>
        <w:t>tamaños similares en promedio, tal vez son comparables con las localidades de Bogot</w:t>
      </w:r>
      <w:r w:rsidR="007A5233">
        <w:rPr>
          <w:rFonts w:ascii="Segoe UI" w:hAnsi="Segoe UI" w:cs="Segoe UI"/>
          <w:sz w:val="22"/>
          <w:szCs w:val="22"/>
          <w:lang w:val="es-CO"/>
        </w:rPr>
        <w:t>á y permite tener más datos.</w:t>
      </w:r>
    </w:p>
    <w:p w14:paraId="75AC6905" w14:textId="79F84BE3" w:rsidR="00A45FA5" w:rsidRDefault="00A45FA5" w:rsidP="00A67299">
      <w:pPr>
        <w:jc w:val="both"/>
        <w:rPr>
          <w:rFonts w:ascii="Segoe UI" w:hAnsi="Segoe UI" w:cs="Segoe UI"/>
          <w:sz w:val="22"/>
          <w:szCs w:val="22"/>
          <w:lang w:val="es-CO"/>
        </w:rPr>
      </w:pPr>
      <w:r>
        <w:rPr>
          <w:rFonts w:ascii="Segoe UI" w:hAnsi="Segoe UI" w:cs="Segoe UI"/>
          <w:sz w:val="22"/>
          <w:szCs w:val="22"/>
          <w:lang w:val="es-CO"/>
        </w:rPr>
        <w:lastRenderedPageBreak/>
        <w:t xml:space="preserve">Para </w:t>
      </w:r>
      <w:r w:rsidR="002C30C4">
        <w:rPr>
          <w:rFonts w:ascii="Segoe UI" w:hAnsi="Segoe UI" w:cs="Segoe UI"/>
          <w:sz w:val="22"/>
          <w:szCs w:val="22"/>
          <w:lang w:val="es-CO"/>
        </w:rPr>
        <w:t>el enclave, tomar el número de habitantes venezolanos que hay en Bogotá en 2005, y buscar como se reparte la población bogotana (los 6 millones de habitantes) entre las localidades. Luego de eso</w:t>
      </w:r>
      <w:r w:rsidR="00107871">
        <w:rPr>
          <w:rFonts w:ascii="Segoe UI" w:hAnsi="Segoe UI" w:cs="Segoe UI"/>
          <w:sz w:val="22"/>
          <w:szCs w:val="22"/>
          <w:lang w:val="es-CO"/>
        </w:rPr>
        <w:t xml:space="preserve"> repartir los venezolanos en el share de población de cada localidad (asumiendo que l</w:t>
      </w:r>
      <w:r w:rsidR="00950269">
        <w:rPr>
          <w:rFonts w:ascii="Segoe UI" w:hAnsi="Segoe UI" w:cs="Segoe UI"/>
          <w:sz w:val="22"/>
          <w:szCs w:val="22"/>
          <w:lang w:val="es-CO"/>
        </w:rPr>
        <w:t xml:space="preserve">os venezolanos que vinieron tienen las mismas condiciones que los bogotanos, ya que </w:t>
      </w:r>
      <w:r w:rsidR="00373A53">
        <w:rPr>
          <w:rFonts w:ascii="Segoe UI" w:hAnsi="Segoe UI" w:cs="Segoe UI"/>
          <w:sz w:val="22"/>
          <w:szCs w:val="22"/>
          <w:lang w:val="es-CO"/>
        </w:rPr>
        <w:t>la composición de los ingresos debería ser similar).</w:t>
      </w:r>
    </w:p>
    <w:p w14:paraId="7BC36448" w14:textId="61E27967" w:rsidR="00373A53" w:rsidRDefault="00373A53" w:rsidP="00A67299">
      <w:pPr>
        <w:jc w:val="both"/>
        <w:rPr>
          <w:rFonts w:ascii="Segoe UI" w:hAnsi="Segoe UI" w:cs="Segoe UI"/>
          <w:sz w:val="22"/>
          <w:szCs w:val="22"/>
          <w:lang w:val="es-CO"/>
        </w:rPr>
      </w:pPr>
      <w:r>
        <w:rPr>
          <w:rFonts w:ascii="Segoe UI" w:hAnsi="Segoe UI" w:cs="Segoe UI"/>
          <w:sz w:val="22"/>
          <w:szCs w:val="22"/>
          <w:lang w:val="es-CO"/>
        </w:rPr>
        <w:t xml:space="preserve">Para el flujo de migración </w:t>
      </w:r>
      <w:r w:rsidR="00F437B2">
        <w:rPr>
          <w:rFonts w:ascii="Segoe UI" w:hAnsi="Segoe UI" w:cs="Segoe UI"/>
          <w:sz w:val="22"/>
          <w:szCs w:val="22"/>
          <w:lang w:val="es-CO"/>
        </w:rPr>
        <w:t>a nivel Colombia</w:t>
      </w:r>
      <w:r w:rsidR="00F0793F">
        <w:rPr>
          <w:rFonts w:ascii="Segoe UI" w:hAnsi="Segoe UI" w:cs="Segoe UI"/>
          <w:sz w:val="22"/>
          <w:szCs w:val="22"/>
          <w:lang w:val="es-CO"/>
        </w:rPr>
        <w:t>, tomar los datos para cada año, están en los papers o</w:t>
      </w:r>
      <w:r w:rsidR="00EE673D">
        <w:rPr>
          <w:rFonts w:ascii="Segoe UI" w:hAnsi="Segoe UI" w:cs="Segoe UI"/>
          <w:sz w:val="22"/>
          <w:szCs w:val="22"/>
          <w:lang w:val="es-CO"/>
        </w:rPr>
        <w:t xml:space="preserve"> en el DANE.</w:t>
      </w:r>
    </w:p>
    <w:p w14:paraId="7C33DD54" w14:textId="0800B522" w:rsidR="00EE673D" w:rsidRDefault="00EE673D" w:rsidP="00A67299">
      <w:pPr>
        <w:jc w:val="both"/>
        <w:rPr>
          <w:rFonts w:ascii="Segoe UI" w:hAnsi="Segoe UI" w:cs="Segoe UI"/>
          <w:sz w:val="22"/>
          <w:szCs w:val="22"/>
          <w:lang w:val="es-CO"/>
        </w:rPr>
      </w:pPr>
      <w:r>
        <w:rPr>
          <w:rFonts w:ascii="Segoe UI" w:hAnsi="Segoe UI" w:cs="Segoe UI"/>
          <w:sz w:val="22"/>
          <w:szCs w:val="22"/>
          <w:lang w:val="es-CO"/>
        </w:rPr>
        <w:t>IMPORTANTE SABER QUE SOLO DESDE LA EM</w:t>
      </w:r>
      <w:r w:rsidR="00F81BED">
        <w:rPr>
          <w:rFonts w:ascii="Segoe UI" w:hAnsi="Segoe UI" w:cs="Segoe UI"/>
          <w:sz w:val="22"/>
          <w:szCs w:val="22"/>
          <w:lang w:val="es-CO"/>
        </w:rPr>
        <w:t>2017 ESTÁ DISPONIBLE EL PAÍS DE PROCEDENCIA DE LA PERSONA.</w:t>
      </w:r>
    </w:p>
    <w:p w14:paraId="613B7A74" w14:textId="019C16B2" w:rsidR="001332BF" w:rsidRDefault="001332BF" w:rsidP="00A67299">
      <w:pPr>
        <w:jc w:val="both"/>
        <w:rPr>
          <w:rFonts w:ascii="Segoe UI" w:hAnsi="Segoe UI" w:cs="Segoe UI"/>
          <w:sz w:val="22"/>
          <w:szCs w:val="22"/>
          <w:lang w:val="es-CO"/>
        </w:rPr>
      </w:pPr>
      <w:hyperlink r:id="rId8" w:history="1">
        <w:r w:rsidRPr="00722864">
          <w:rPr>
            <w:rStyle w:val="Hyperlink"/>
            <w:rFonts w:ascii="Segoe UI" w:hAnsi="Segoe UI" w:cs="Segoe UI"/>
            <w:sz w:val="22"/>
            <w:szCs w:val="22"/>
            <w:lang w:val="es-CO"/>
          </w:rPr>
          <w:t>https://www.datos.gov.co/Estad-sticas-Nacionales/Entradas-de-extranjeros-a-Colombia/96sh-4v8d/about_data</w:t>
        </w:r>
      </w:hyperlink>
      <w:r>
        <w:rPr>
          <w:rFonts w:ascii="Segoe UI" w:hAnsi="Segoe UI" w:cs="Segoe UI"/>
          <w:sz w:val="22"/>
          <w:szCs w:val="22"/>
          <w:lang w:val="es-CO"/>
        </w:rPr>
        <w:t xml:space="preserve"> </w:t>
      </w:r>
    </w:p>
    <w:p w14:paraId="455B5941" w14:textId="0A15D3EE" w:rsidR="001332BF" w:rsidRPr="00FB0314" w:rsidRDefault="00C76813" w:rsidP="00A67299">
      <w:pPr>
        <w:jc w:val="both"/>
        <w:rPr>
          <w:rFonts w:ascii="Segoe UI" w:hAnsi="Segoe UI" w:cs="Segoe UI"/>
          <w:sz w:val="22"/>
          <w:szCs w:val="22"/>
          <w:lang w:val="es-CO"/>
        </w:rPr>
      </w:pPr>
      <w:hyperlink r:id="rId9" w:history="1">
        <w:r w:rsidRPr="00722864">
          <w:rPr>
            <w:rStyle w:val="Hyperlink"/>
            <w:rFonts w:ascii="Segoe UI" w:hAnsi="Segoe UI" w:cs="Segoe UI"/>
            <w:sz w:val="22"/>
            <w:szCs w:val="22"/>
            <w:lang w:val="es-CO"/>
          </w:rPr>
          <w:t>https://datosabiertos.bogota.gov.co/en/dataset/piramide-poblacional-bogota-d-c/resource/d1743cda-9ff9-4103-87ab-9c038f2f09a3</w:t>
        </w:r>
      </w:hyperlink>
      <w:r>
        <w:rPr>
          <w:rFonts w:ascii="Segoe UI" w:hAnsi="Segoe UI" w:cs="Segoe UI"/>
          <w:sz w:val="22"/>
          <w:szCs w:val="22"/>
          <w:lang w:val="es-CO"/>
        </w:rPr>
        <w:t xml:space="preserve"> </w:t>
      </w:r>
    </w:p>
    <w:sectPr w:rsidR="001332BF" w:rsidRPr="00FB03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1A229" w14:textId="77777777" w:rsidR="00163BBA" w:rsidRDefault="00163BBA" w:rsidP="008C0A51">
      <w:pPr>
        <w:spacing w:after="0" w:line="240" w:lineRule="auto"/>
      </w:pPr>
      <w:r>
        <w:separator/>
      </w:r>
    </w:p>
  </w:endnote>
  <w:endnote w:type="continuationSeparator" w:id="0">
    <w:p w14:paraId="15F918B0" w14:textId="77777777" w:rsidR="00163BBA" w:rsidRDefault="00163BBA" w:rsidP="008C0A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A5F98" w14:textId="77777777" w:rsidR="00163BBA" w:rsidRDefault="00163BBA" w:rsidP="008C0A51">
      <w:pPr>
        <w:spacing w:after="0" w:line="240" w:lineRule="auto"/>
      </w:pPr>
      <w:r>
        <w:separator/>
      </w:r>
    </w:p>
  </w:footnote>
  <w:footnote w:type="continuationSeparator" w:id="0">
    <w:p w14:paraId="66046764" w14:textId="77777777" w:rsidR="00163BBA" w:rsidRDefault="00163BBA" w:rsidP="008C0A51">
      <w:pPr>
        <w:spacing w:after="0" w:line="240" w:lineRule="auto"/>
      </w:pPr>
      <w:r>
        <w:continuationSeparator/>
      </w:r>
    </w:p>
  </w:footnote>
  <w:footnote w:id="1">
    <w:p w14:paraId="4332E42A" w14:textId="3B375FE0" w:rsidR="008C0A51" w:rsidRPr="008C0A51" w:rsidRDefault="008C0A51">
      <w:pPr>
        <w:pStyle w:val="FootnoteText"/>
        <w:rPr>
          <w:lang w:val="es-CO"/>
        </w:rPr>
      </w:pPr>
      <w:r>
        <w:rPr>
          <w:rStyle w:val="FootnoteReference"/>
        </w:rPr>
        <w:footnoteRef/>
      </w:r>
      <w:r w:rsidRPr="008C0A51">
        <w:rPr>
          <w:lang w:val="es-CO"/>
        </w:rPr>
        <w:t xml:space="preserve"> </w:t>
      </w:r>
      <w:r>
        <w:rPr>
          <w:lang w:val="es-CO"/>
        </w:rPr>
        <w:t>En vez de dividirse en UPZ, se divide en UPR (Unidades de Planeamiento Rural)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A0410"/>
    <w:multiLevelType w:val="hybridMultilevel"/>
    <w:tmpl w:val="19FC1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1582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EF1"/>
    <w:rsid w:val="00033992"/>
    <w:rsid w:val="00037864"/>
    <w:rsid w:val="00041EE2"/>
    <w:rsid w:val="00051717"/>
    <w:rsid w:val="00061DC1"/>
    <w:rsid w:val="00076ED5"/>
    <w:rsid w:val="000864DB"/>
    <w:rsid w:val="000A3F14"/>
    <w:rsid w:val="000C465E"/>
    <w:rsid w:val="000D6FE8"/>
    <w:rsid w:val="000D7566"/>
    <w:rsid w:val="00107871"/>
    <w:rsid w:val="00117E93"/>
    <w:rsid w:val="001332BF"/>
    <w:rsid w:val="00163BBA"/>
    <w:rsid w:val="001B2937"/>
    <w:rsid w:val="001D58D7"/>
    <w:rsid w:val="00216A2B"/>
    <w:rsid w:val="0023541D"/>
    <w:rsid w:val="0024303D"/>
    <w:rsid w:val="00251FE5"/>
    <w:rsid w:val="002552D3"/>
    <w:rsid w:val="002A6C3E"/>
    <w:rsid w:val="002C30C4"/>
    <w:rsid w:val="002D7EF1"/>
    <w:rsid w:val="002E01F8"/>
    <w:rsid w:val="002E07DC"/>
    <w:rsid w:val="00332069"/>
    <w:rsid w:val="00373A53"/>
    <w:rsid w:val="00376DA1"/>
    <w:rsid w:val="003C47DA"/>
    <w:rsid w:val="003F5579"/>
    <w:rsid w:val="00404111"/>
    <w:rsid w:val="004052D5"/>
    <w:rsid w:val="00415B48"/>
    <w:rsid w:val="0042611A"/>
    <w:rsid w:val="0043367C"/>
    <w:rsid w:val="0045492A"/>
    <w:rsid w:val="004837AF"/>
    <w:rsid w:val="004C070B"/>
    <w:rsid w:val="004F31B0"/>
    <w:rsid w:val="005018D2"/>
    <w:rsid w:val="005566CE"/>
    <w:rsid w:val="0056142E"/>
    <w:rsid w:val="00591B21"/>
    <w:rsid w:val="00597F9C"/>
    <w:rsid w:val="005B2D58"/>
    <w:rsid w:val="005B37F7"/>
    <w:rsid w:val="005B5EE2"/>
    <w:rsid w:val="005F5212"/>
    <w:rsid w:val="00607F4A"/>
    <w:rsid w:val="0061140B"/>
    <w:rsid w:val="00621EC4"/>
    <w:rsid w:val="00663B39"/>
    <w:rsid w:val="006715A4"/>
    <w:rsid w:val="00694312"/>
    <w:rsid w:val="006A275D"/>
    <w:rsid w:val="006B482A"/>
    <w:rsid w:val="00706FAB"/>
    <w:rsid w:val="00707AFA"/>
    <w:rsid w:val="007323EA"/>
    <w:rsid w:val="00742CCE"/>
    <w:rsid w:val="00757F60"/>
    <w:rsid w:val="007A089A"/>
    <w:rsid w:val="007A25AD"/>
    <w:rsid w:val="007A5233"/>
    <w:rsid w:val="007B5E42"/>
    <w:rsid w:val="007E2132"/>
    <w:rsid w:val="007E278E"/>
    <w:rsid w:val="00806BC2"/>
    <w:rsid w:val="00837949"/>
    <w:rsid w:val="00837D04"/>
    <w:rsid w:val="008400E3"/>
    <w:rsid w:val="00893757"/>
    <w:rsid w:val="008C0A51"/>
    <w:rsid w:val="0094663C"/>
    <w:rsid w:val="00950269"/>
    <w:rsid w:val="00952796"/>
    <w:rsid w:val="009703C3"/>
    <w:rsid w:val="009751BD"/>
    <w:rsid w:val="009B5F96"/>
    <w:rsid w:val="009D2DFE"/>
    <w:rsid w:val="00A13DEC"/>
    <w:rsid w:val="00A14E9E"/>
    <w:rsid w:val="00A1616A"/>
    <w:rsid w:val="00A25F18"/>
    <w:rsid w:val="00A45FA5"/>
    <w:rsid w:val="00A67299"/>
    <w:rsid w:val="00A72D22"/>
    <w:rsid w:val="00AA0A8B"/>
    <w:rsid w:val="00AD0D96"/>
    <w:rsid w:val="00AD221A"/>
    <w:rsid w:val="00AD7D91"/>
    <w:rsid w:val="00AE38A7"/>
    <w:rsid w:val="00B108D1"/>
    <w:rsid w:val="00B2127F"/>
    <w:rsid w:val="00B22760"/>
    <w:rsid w:val="00B56A74"/>
    <w:rsid w:val="00B677B3"/>
    <w:rsid w:val="00B748D8"/>
    <w:rsid w:val="00B97E69"/>
    <w:rsid w:val="00C0331C"/>
    <w:rsid w:val="00C3250C"/>
    <w:rsid w:val="00C33E75"/>
    <w:rsid w:val="00C567B9"/>
    <w:rsid w:val="00C66681"/>
    <w:rsid w:val="00C721C8"/>
    <w:rsid w:val="00C76813"/>
    <w:rsid w:val="00C80F91"/>
    <w:rsid w:val="00C90F41"/>
    <w:rsid w:val="00CC45DA"/>
    <w:rsid w:val="00CE6CB0"/>
    <w:rsid w:val="00D112B2"/>
    <w:rsid w:val="00D24176"/>
    <w:rsid w:val="00D623E1"/>
    <w:rsid w:val="00D704F3"/>
    <w:rsid w:val="00D9310C"/>
    <w:rsid w:val="00D94453"/>
    <w:rsid w:val="00DA4291"/>
    <w:rsid w:val="00DC15CC"/>
    <w:rsid w:val="00E117B6"/>
    <w:rsid w:val="00E4161E"/>
    <w:rsid w:val="00E5406C"/>
    <w:rsid w:val="00E57CE1"/>
    <w:rsid w:val="00E71E12"/>
    <w:rsid w:val="00EA3775"/>
    <w:rsid w:val="00ED0900"/>
    <w:rsid w:val="00EE673D"/>
    <w:rsid w:val="00F0793F"/>
    <w:rsid w:val="00F245A1"/>
    <w:rsid w:val="00F25D09"/>
    <w:rsid w:val="00F36CAD"/>
    <w:rsid w:val="00F437B2"/>
    <w:rsid w:val="00F81BED"/>
    <w:rsid w:val="00F95282"/>
    <w:rsid w:val="00F953BE"/>
    <w:rsid w:val="00FB0314"/>
    <w:rsid w:val="00FC71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CF379"/>
  <w15:chartTrackingRefBased/>
  <w15:docId w15:val="{EBD22D61-E541-4D93-8F29-5235AF408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E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7E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7E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E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E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E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E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E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E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E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7E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7E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E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E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E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E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E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EF1"/>
    <w:rPr>
      <w:rFonts w:eastAsiaTheme="majorEastAsia" w:cstheme="majorBidi"/>
      <w:color w:val="272727" w:themeColor="text1" w:themeTint="D8"/>
    </w:rPr>
  </w:style>
  <w:style w:type="paragraph" w:styleId="Title">
    <w:name w:val="Title"/>
    <w:basedOn w:val="Normal"/>
    <w:next w:val="Normal"/>
    <w:link w:val="TitleChar"/>
    <w:uiPriority w:val="10"/>
    <w:qFormat/>
    <w:rsid w:val="002D7E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E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E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E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EF1"/>
    <w:pPr>
      <w:spacing w:before="160"/>
      <w:jc w:val="center"/>
    </w:pPr>
    <w:rPr>
      <w:i/>
      <w:iCs/>
      <w:color w:val="404040" w:themeColor="text1" w:themeTint="BF"/>
    </w:rPr>
  </w:style>
  <w:style w:type="character" w:customStyle="1" w:styleId="QuoteChar">
    <w:name w:val="Quote Char"/>
    <w:basedOn w:val="DefaultParagraphFont"/>
    <w:link w:val="Quote"/>
    <w:uiPriority w:val="29"/>
    <w:rsid w:val="002D7EF1"/>
    <w:rPr>
      <w:i/>
      <w:iCs/>
      <w:color w:val="404040" w:themeColor="text1" w:themeTint="BF"/>
    </w:rPr>
  </w:style>
  <w:style w:type="paragraph" w:styleId="ListParagraph">
    <w:name w:val="List Paragraph"/>
    <w:basedOn w:val="Normal"/>
    <w:uiPriority w:val="34"/>
    <w:qFormat/>
    <w:rsid w:val="002D7EF1"/>
    <w:pPr>
      <w:ind w:left="720"/>
      <w:contextualSpacing/>
    </w:pPr>
  </w:style>
  <w:style w:type="character" w:styleId="IntenseEmphasis">
    <w:name w:val="Intense Emphasis"/>
    <w:basedOn w:val="DefaultParagraphFont"/>
    <w:uiPriority w:val="21"/>
    <w:qFormat/>
    <w:rsid w:val="002D7EF1"/>
    <w:rPr>
      <w:i/>
      <w:iCs/>
      <w:color w:val="0F4761" w:themeColor="accent1" w:themeShade="BF"/>
    </w:rPr>
  </w:style>
  <w:style w:type="paragraph" w:styleId="IntenseQuote">
    <w:name w:val="Intense Quote"/>
    <w:basedOn w:val="Normal"/>
    <w:next w:val="Normal"/>
    <w:link w:val="IntenseQuoteChar"/>
    <w:uiPriority w:val="30"/>
    <w:qFormat/>
    <w:rsid w:val="002D7E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EF1"/>
    <w:rPr>
      <w:i/>
      <w:iCs/>
      <w:color w:val="0F4761" w:themeColor="accent1" w:themeShade="BF"/>
    </w:rPr>
  </w:style>
  <w:style w:type="character" w:styleId="IntenseReference">
    <w:name w:val="Intense Reference"/>
    <w:basedOn w:val="DefaultParagraphFont"/>
    <w:uiPriority w:val="32"/>
    <w:qFormat/>
    <w:rsid w:val="002D7EF1"/>
    <w:rPr>
      <w:b/>
      <w:bCs/>
      <w:smallCaps/>
      <w:color w:val="0F4761" w:themeColor="accent1" w:themeShade="BF"/>
      <w:spacing w:val="5"/>
    </w:rPr>
  </w:style>
  <w:style w:type="paragraph" w:styleId="FootnoteText">
    <w:name w:val="footnote text"/>
    <w:basedOn w:val="Normal"/>
    <w:link w:val="FootnoteTextChar"/>
    <w:uiPriority w:val="99"/>
    <w:semiHidden/>
    <w:unhideWhenUsed/>
    <w:rsid w:val="008C0A5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0A51"/>
    <w:rPr>
      <w:sz w:val="20"/>
      <w:szCs w:val="20"/>
    </w:rPr>
  </w:style>
  <w:style w:type="character" w:styleId="FootnoteReference">
    <w:name w:val="footnote reference"/>
    <w:basedOn w:val="DefaultParagraphFont"/>
    <w:uiPriority w:val="99"/>
    <w:semiHidden/>
    <w:unhideWhenUsed/>
    <w:rsid w:val="008C0A51"/>
    <w:rPr>
      <w:vertAlign w:val="superscript"/>
    </w:rPr>
  </w:style>
  <w:style w:type="character" w:styleId="Hyperlink">
    <w:name w:val="Hyperlink"/>
    <w:basedOn w:val="DefaultParagraphFont"/>
    <w:uiPriority w:val="99"/>
    <w:unhideWhenUsed/>
    <w:rsid w:val="001332BF"/>
    <w:rPr>
      <w:color w:val="467886" w:themeColor="hyperlink"/>
      <w:u w:val="single"/>
    </w:rPr>
  </w:style>
  <w:style w:type="character" w:styleId="UnresolvedMention">
    <w:name w:val="Unresolved Mention"/>
    <w:basedOn w:val="DefaultParagraphFont"/>
    <w:uiPriority w:val="99"/>
    <w:semiHidden/>
    <w:unhideWhenUsed/>
    <w:rsid w:val="001332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os.gov.co/Estad-sticas-Nacionales/Entradas-de-extranjeros-a-Colombia/96sh-4v8d/about_dat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atosabiertos.bogota.gov.co/en/dataset/piramide-poblacional-bogota-d-c/resource/d1743cda-9ff9-4103-87ab-9c038f2f09a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8BE1FC-58BA-4ADE-A335-B747E117B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931</TotalTime>
  <Pages>3</Pages>
  <Words>967</Words>
  <Characters>5513</Characters>
  <Application>Microsoft Office Word</Application>
  <DocSecurity>0</DocSecurity>
  <Lines>45</Lines>
  <Paragraphs>12</Paragraphs>
  <ScaleCrop>false</ScaleCrop>
  <Company/>
  <LinksUpToDate>false</LinksUpToDate>
  <CharactersWithSpaces>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Melo</dc:creator>
  <cp:keywords/>
  <dc:description/>
  <cp:lastModifiedBy>Santiago Melo</cp:lastModifiedBy>
  <cp:revision>110</cp:revision>
  <dcterms:created xsi:type="dcterms:W3CDTF">2025-12-08T04:29:00Z</dcterms:created>
  <dcterms:modified xsi:type="dcterms:W3CDTF">2025-12-09T04:04:00Z</dcterms:modified>
</cp:coreProperties>
</file>