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D06B" w14:textId="2FF4F0A8" w:rsidR="0042611A" w:rsidRPr="00CD3A1F" w:rsidRDefault="00DC0910">
      <w:pPr>
        <w:rPr>
          <w:rFonts w:ascii="Segoe UI" w:hAnsi="Segoe UI" w:cs="Segoe UI"/>
          <w:b/>
          <w:bCs/>
          <w:sz w:val="22"/>
          <w:szCs w:val="22"/>
          <w:lang w:val="es-CO"/>
        </w:rPr>
      </w:pPr>
      <w:r w:rsidRPr="00CD3A1F">
        <w:rPr>
          <w:rFonts w:ascii="Segoe UI" w:hAnsi="Segoe UI" w:cs="Segoe UI"/>
          <w:b/>
          <w:bCs/>
          <w:sz w:val="22"/>
          <w:szCs w:val="22"/>
          <w:lang w:val="es-CO"/>
        </w:rPr>
        <w:t>Introducción</w:t>
      </w:r>
    </w:p>
    <w:p w14:paraId="28350844" w14:textId="67C3E6CA" w:rsidR="00DC0910" w:rsidRPr="00CD3A1F" w:rsidRDefault="000B595D">
      <w:pPr>
        <w:rPr>
          <w:rFonts w:ascii="Segoe UI" w:hAnsi="Segoe UI" w:cs="Segoe UI"/>
          <w:sz w:val="22"/>
          <w:szCs w:val="22"/>
          <w:lang w:val="es-CO"/>
        </w:rPr>
      </w:pPr>
      <w:r w:rsidRPr="00CD3A1F">
        <w:rPr>
          <w:rFonts w:ascii="Segoe UI" w:hAnsi="Segoe UI" w:cs="Segoe UI"/>
          <w:sz w:val="22"/>
          <w:szCs w:val="22"/>
          <w:highlight w:val="cyan"/>
          <w:lang w:val="es-CO"/>
        </w:rPr>
        <w:t>Estructura</w:t>
      </w:r>
    </w:p>
    <w:p w14:paraId="79C9D221" w14:textId="05ADE60F" w:rsidR="000B595D" w:rsidRPr="00CD3A1F" w:rsidRDefault="000B595D" w:rsidP="000B595D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lang w:val="es-CO"/>
        </w:rPr>
      </w:pPr>
      <w:r w:rsidRPr="00CD3A1F">
        <w:rPr>
          <w:rFonts w:ascii="Segoe UI" w:hAnsi="Segoe UI" w:cs="Segoe UI"/>
          <w:sz w:val="22"/>
          <w:szCs w:val="22"/>
          <w:lang w:val="es-CO"/>
        </w:rPr>
        <w:t>¿Por qué estudiar la migración</w:t>
      </w:r>
      <w:r w:rsidR="003E29A5">
        <w:rPr>
          <w:rFonts w:ascii="Segoe UI" w:hAnsi="Segoe UI" w:cs="Segoe UI"/>
          <w:sz w:val="22"/>
          <w:szCs w:val="22"/>
          <w:lang w:val="es-CO"/>
        </w:rPr>
        <w:t xml:space="preserve"> y el déficit habitacional</w:t>
      </w:r>
      <w:r w:rsidRPr="00CD3A1F">
        <w:rPr>
          <w:rFonts w:ascii="Segoe UI" w:hAnsi="Segoe UI" w:cs="Segoe UI"/>
          <w:sz w:val="22"/>
          <w:szCs w:val="22"/>
          <w:lang w:val="es-CO"/>
        </w:rPr>
        <w:t>?</w:t>
      </w:r>
    </w:p>
    <w:p w14:paraId="4E8F4628" w14:textId="77777777" w:rsidR="000B595D" w:rsidRPr="00CD3A1F" w:rsidRDefault="000B595D" w:rsidP="000B595D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lang w:val="es-CO"/>
        </w:rPr>
      </w:pPr>
      <w:r w:rsidRPr="00CD3A1F">
        <w:rPr>
          <w:rFonts w:ascii="Segoe UI" w:hAnsi="Segoe UI" w:cs="Segoe UI"/>
          <w:sz w:val="22"/>
          <w:szCs w:val="22"/>
          <w:lang w:val="es-CO"/>
        </w:rPr>
        <w:t>Dónde se ubican los principales migrantes</w:t>
      </w:r>
    </w:p>
    <w:p w14:paraId="69834445" w14:textId="77777777" w:rsidR="000B595D" w:rsidRPr="00CD3A1F" w:rsidRDefault="000B595D" w:rsidP="000B595D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lang w:val="es-CO"/>
        </w:rPr>
      </w:pPr>
      <w:r w:rsidRPr="00CD3A1F">
        <w:rPr>
          <w:rFonts w:ascii="Segoe UI" w:hAnsi="Segoe UI" w:cs="Segoe UI"/>
          <w:sz w:val="22"/>
          <w:szCs w:val="22"/>
          <w:lang w:val="es-CO"/>
        </w:rPr>
        <w:t xml:space="preserve">¿Cuál es el impacto? ¿Qué se ha hecho para estudiarlo? </w:t>
      </w:r>
      <w:r w:rsidRPr="00CD3A1F">
        <w:rPr>
          <w:rFonts w:ascii="Segoe UI" w:hAnsi="Segoe UI" w:cs="Segoe UI"/>
          <w:sz w:val="22"/>
          <w:szCs w:val="22"/>
          <w:lang w:val="es-CO"/>
        </w:rPr>
        <w:sym w:font="Wingdings" w:char="F0E0"/>
      </w:r>
      <w:r w:rsidRPr="00CD3A1F">
        <w:rPr>
          <w:rFonts w:ascii="Segoe UI" w:hAnsi="Segoe UI" w:cs="Segoe UI"/>
          <w:sz w:val="22"/>
          <w:szCs w:val="22"/>
          <w:lang w:val="es-CO"/>
        </w:rPr>
        <w:t xml:space="preserve"> Revisión literatura</w:t>
      </w:r>
    </w:p>
    <w:p w14:paraId="6BDEFFCD" w14:textId="77777777" w:rsidR="000B595D" w:rsidRPr="00CD3A1F" w:rsidRDefault="000B595D" w:rsidP="000B595D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lang w:val="es-CO"/>
        </w:rPr>
      </w:pPr>
      <w:r w:rsidRPr="00CD3A1F">
        <w:rPr>
          <w:rFonts w:ascii="Segoe UI" w:hAnsi="Segoe UI" w:cs="Segoe UI"/>
          <w:sz w:val="22"/>
          <w:szCs w:val="22"/>
          <w:lang w:val="es-CO"/>
        </w:rPr>
        <w:t xml:space="preserve">¿Qué queremos hacer con este </w:t>
      </w:r>
      <w:proofErr w:type="gramStart"/>
      <w:r w:rsidRPr="00CD3A1F">
        <w:rPr>
          <w:rFonts w:ascii="Segoe UI" w:hAnsi="Segoe UI" w:cs="Segoe UI"/>
          <w:sz w:val="22"/>
          <w:szCs w:val="22"/>
          <w:lang w:val="es-CO"/>
        </w:rPr>
        <w:t>paper</w:t>
      </w:r>
      <w:proofErr w:type="gramEnd"/>
      <w:r w:rsidRPr="00CD3A1F">
        <w:rPr>
          <w:rFonts w:ascii="Segoe UI" w:hAnsi="Segoe UI" w:cs="Segoe UI"/>
          <w:sz w:val="22"/>
          <w:szCs w:val="22"/>
          <w:lang w:val="es-CO"/>
        </w:rPr>
        <w:t xml:space="preserve">? </w:t>
      </w:r>
      <w:r w:rsidRPr="00CD3A1F">
        <w:rPr>
          <w:rFonts w:ascii="Segoe UI" w:hAnsi="Segoe UI" w:cs="Segoe UI"/>
          <w:sz w:val="22"/>
          <w:szCs w:val="22"/>
          <w:lang w:val="es-CO"/>
        </w:rPr>
        <w:sym w:font="Wingdings" w:char="F0E0"/>
      </w:r>
      <w:r w:rsidRPr="00CD3A1F">
        <w:rPr>
          <w:rFonts w:ascii="Segoe UI" w:hAnsi="Segoe UI" w:cs="Segoe UI"/>
          <w:sz w:val="22"/>
          <w:szCs w:val="22"/>
          <w:lang w:val="es-CO"/>
        </w:rPr>
        <w:t xml:space="preserve"> Resaltar la importancia de…</w:t>
      </w:r>
    </w:p>
    <w:p w14:paraId="65085B86" w14:textId="77777777" w:rsidR="000B595D" w:rsidRPr="00CD3A1F" w:rsidRDefault="000B595D" w:rsidP="000B595D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lang w:val="es-CO"/>
        </w:rPr>
      </w:pPr>
      <w:r w:rsidRPr="00CD3A1F">
        <w:rPr>
          <w:rFonts w:ascii="Segoe UI" w:hAnsi="Segoe UI" w:cs="Segoe UI"/>
          <w:sz w:val="22"/>
          <w:szCs w:val="22"/>
          <w:lang w:val="es-CO"/>
        </w:rPr>
        <w:t>Breve resumen de los datos que usamos (usamos tal base y encontramos los siguientes resultados)</w:t>
      </w:r>
    </w:p>
    <w:p w14:paraId="0CAC0DDB" w14:textId="77777777" w:rsidR="000B595D" w:rsidRPr="00CD3A1F" w:rsidRDefault="000B595D" w:rsidP="000B595D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lang w:val="es-CO"/>
        </w:rPr>
      </w:pPr>
      <w:r w:rsidRPr="00CD3A1F">
        <w:rPr>
          <w:rFonts w:ascii="Segoe UI" w:hAnsi="Segoe UI" w:cs="Segoe UI"/>
          <w:sz w:val="22"/>
          <w:szCs w:val="22"/>
          <w:lang w:val="es-CO"/>
        </w:rPr>
        <w:t>Para evitar posible endogeneidad utilizamos la siguiente metodología</w:t>
      </w:r>
    </w:p>
    <w:p w14:paraId="3F9C4CCC" w14:textId="77777777" w:rsidR="000B595D" w:rsidRPr="00CD3A1F" w:rsidRDefault="000B595D" w:rsidP="000B595D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lang w:val="es-CO"/>
        </w:rPr>
      </w:pPr>
      <w:r w:rsidRPr="00CD3A1F">
        <w:rPr>
          <w:rFonts w:ascii="Segoe UI" w:hAnsi="Segoe UI" w:cs="Segoe UI"/>
          <w:sz w:val="22"/>
          <w:szCs w:val="22"/>
          <w:lang w:val="es-CO"/>
        </w:rPr>
        <w:t>Estos resultados contrastan o refuerzan lo encontrado en otra literatura donde…</w:t>
      </w:r>
    </w:p>
    <w:p w14:paraId="6A3AF776" w14:textId="77777777" w:rsidR="000B595D" w:rsidRPr="00CD3A1F" w:rsidRDefault="000B595D" w:rsidP="000B595D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lang w:val="es-CO"/>
        </w:rPr>
      </w:pPr>
      <w:r w:rsidRPr="00CD3A1F">
        <w:rPr>
          <w:rFonts w:ascii="Segoe UI" w:hAnsi="Segoe UI" w:cs="Segoe UI"/>
          <w:sz w:val="22"/>
          <w:szCs w:val="22"/>
          <w:lang w:val="es-CO"/>
        </w:rPr>
        <w:t>Aportamos a la literatura revisando temas de calidad habitacional</w:t>
      </w:r>
    </w:p>
    <w:p w14:paraId="73346366" w14:textId="77777777" w:rsidR="000B595D" w:rsidRPr="00CD3A1F" w:rsidRDefault="000B595D" w:rsidP="000B595D">
      <w:pPr>
        <w:pStyle w:val="ListParagraph"/>
        <w:numPr>
          <w:ilvl w:val="0"/>
          <w:numId w:val="1"/>
        </w:numPr>
        <w:rPr>
          <w:rFonts w:ascii="Segoe UI" w:hAnsi="Segoe UI" w:cs="Segoe UI"/>
          <w:sz w:val="22"/>
          <w:szCs w:val="22"/>
          <w:lang w:val="es-CO"/>
        </w:rPr>
      </w:pPr>
      <w:r w:rsidRPr="00CD3A1F">
        <w:rPr>
          <w:rFonts w:ascii="Segoe UI" w:hAnsi="Segoe UI" w:cs="Segoe UI"/>
          <w:sz w:val="22"/>
          <w:szCs w:val="22"/>
          <w:lang w:val="es-CO"/>
        </w:rPr>
        <w:t>El resto del artículo se divide de la siguiente manera: 2. Bla, 3. Bla, etc.</w:t>
      </w:r>
    </w:p>
    <w:p w14:paraId="15C320B1" w14:textId="239B585D" w:rsidR="000B595D" w:rsidRDefault="00243E01">
      <w:pPr>
        <w:rPr>
          <w:rFonts w:ascii="Segoe UI" w:hAnsi="Segoe UI" w:cs="Segoe UI"/>
          <w:sz w:val="22"/>
          <w:szCs w:val="22"/>
          <w:lang w:val="es-CO"/>
        </w:rPr>
      </w:pPr>
      <w:r w:rsidRPr="00CD3A1F">
        <w:rPr>
          <w:rFonts w:ascii="Segoe UI" w:hAnsi="Segoe UI" w:cs="Segoe UI"/>
          <w:sz w:val="22"/>
          <w:szCs w:val="22"/>
          <w:highlight w:val="cyan"/>
          <w:lang w:val="es-CO"/>
        </w:rPr>
        <w:t>Redacción</w:t>
      </w:r>
    </w:p>
    <w:p w14:paraId="44C4F9A0" w14:textId="0A8EF976" w:rsidR="009F4039" w:rsidRDefault="00D370E7" w:rsidP="0035035F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>La migración venezolana</w:t>
      </w:r>
      <w:r w:rsidR="00101078">
        <w:rPr>
          <w:rFonts w:ascii="Segoe UI" w:hAnsi="Segoe UI" w:cs="Segoe UI"/>
          <w:sz w:val="22"/>
          <w:szCs w:val="22"/>
          <w:lang w:val="es-CO"/>
        </w:rPr>
        <w:t>, causada por la crisis económica</w:t>
      </w:r>
      <w:r w:rsidR="00C8047D">
        <w:rPr>
          <w:rFonts w:ascii="Segoe UI" w:hAnsi="Segoe UI" w:cs="Segoe UI"/>
          <w:sz w:val="22"/>
          <w:szCs w:val="22"/>
          <w:lang w:val="es-CO"/>
        </w:rPr>
        <w:t xml:space="preserve">, política y social </w:t>
      </w:r>
      <w:r w:rsidR="00015FC8">
        <w:rPr>
          <w:rFonts w:ascii="Segoe UI" w:hAnsi="Segoe UI" w:cs="Segoe UI"/>
          <w:sz w:val="22"/>
          <w:szCs w:val="22"/>
          <w:lang w:val="es-CO"/>
        </w:rPr>
        <w:t>que tuvo su origen a inicios de la década del 201</w:t>
      </w:r>
      <w:r w:rsidR="00CA195D">
        <w:rPr>
          <w:rFonts w:ascii="Segoe UI" w:hAnsi="Segoe UI" w:cs="Segoe UI"/>
          <w:sz w:val="22"/>
          <w:szCs w:val="22"/>
          <w:lang w:val="es-CO"/>
        </w:rPr>
        <w:t>0</w:t>
      </w:r>
      <w:r w:rsidR="00A061DF">
        <w:rPr>
          <w:rFonts w:ascii="Segoe UI" w:hAnsi="Segoe UI" w:cs="Segoe UI"/>
          <w:sz w:val="22"/>
          <w:szCs w:val="22"/>
          <w:lang w:val="es-CO"/>
        </w:rPr>
        <w:t xml:space="preserve">, ha transformado la dinámica sociodemográfica de Colombia gracias a un flujo constante de migrantes que ha generado presión sobre el déficit habitacional, especialmente en las </w:t>
      </w:r>
      <w:r w:rsidR="00F568F1">
        <w:rPr>
          <w:rFonts w:ascii="Segoe UI" w:hAnsi="Segoe UI" w:cs="Segoe UI"/>
          <w:sz w:val="22"/>
          <w:szCs w:val="22"/>
          <w:lang w:val="es-CO"/>
        </w:rPr>
        <w:t xml:space="preserve">principales ciudades receptoras del país. </w:t>
      </w:r>
      <w:r w:rsidR="009F4039">
        <w:rPr>
          <w:rFonts w:ascii="Segoe UI" w:hAnsi="Segoe UI" w:cs="Segoe UI"/>
          <w:sz w:val="22"/>
          <w:szCs w:val="22"/>
          <w:lang w:val="es-CO"/>
        </w:rPr>
        <w:t xml:space="preserve">A diciembre de 2024, Colombia ha sido receptora de 2.8 millones </w:t>
      </w:r>
      <w:r w:rsidR="00A1617E">
        <w:rPr>
          <w:rFonts w:ascii="Segoe UI" w:hAnsi="Segoe UI" w:cs="Segoe UI"/>
          <w:sz w:val="22"/>
          <w:szCs w:val="22"/>
          <w:lang w:val="es-CO"/>
        </w:rPr>
        <w:t xml:space="preserve">de </w:t>
      </w:r>
      <w:r w:rsidR="00A17497">
        <w:rPr>
          <w:rFonts w:ascii="Segoe UI" w:hAnsi="Segoe UI" w:cs="Segoe UI"/>
          <w:sz w:val="22"/>
          <w:szCs w:val="22"/>
          <w:lang w:val="es-CO"/>
        </w:rPr>
        <w:t xml:space="preserve">personas </w:t>
      </w:r>
      <w:r w:rsidR="00A1617E">
        <w:rPr>
          <w:rFonts w:ascii="Segoe UI" w:hAnsi="Segoe UI" w:cs="Segoe UI"/>
          <w:sz w:val="22"/>
          <w:szCs w:val="22"/>
          <w:lang w:val="es-CO"/>
        </w:rPr>
        <w:t>d</w:t>
      </w:r>
      <w:r w:rsidR="007453E8">
        <w:rPr>
          <w:rFonts w:ascii="Segoe UI" w:hAnsi="Segoe UI" w:cs="Segoe UI"/>
          <w:sz w:val="22"/>
          <w:szCs w:val="22"/>
          <w:lang w:val="es-CO"/>
        </w:rPr>
        <w:t>e los 6.7 millones</w:t>
      </w:r>
      <w:r w:rsidR="00A17497">
        <w:rPr>
          <w:rFonts w:ascii="Segoe UI" w:hAnsi="Segoe UI" w:cs="Segoe UI"/>
          <w:sz w:val="22"/>
          <w:szCs w:val="22"/>
          <w:lang w:val="es-CO"/>
        </w:rPr>
        <w:t xml:space="preserve"> de migrantes venezolanos</w:t>
      </w:r>
      <w:r w:rsidR="00A1617E">
        <w:rPr>
          <w:rFonts w:ascii="Segoe UI" w:hAnsi="Segoe UI" w:cs="Segoe UI"/>
          <w:sz w:val="22"/>
          <w:szCs w:val="22"/>
          <w:lang w:val="es-CO"/>
        </w:rPr>
        <w:t xml:space="preserve">, es decir, cerca del </w:t>
      </w:r>
      <w:r w:rsidR="00572CB6">
        <w:rPr>
          <w:rFonts w:ascii="Segoe UI" w:hAnsi="Segoe UI" w:cs="Segoe UI"/>
          <w:sz w:val="22"/>
          <w:szCs w:val="22"/>
          <w:lang w:val="es-CO"/>
        </w:rPr>
        <w:t>42%</w:t>
      </w:r>
      <w:r w:rsidR="00A17497">
        <w:rPr>
          <w:rFonts w:ascii="Segoe UI" w:hAnsi="Segoe UI" w:cs="Segoe UI"/>
          <w:sz w:val="22"/>
          <w:szCs w:val="22"/>
          <w:lang w:val="es-CO"/>
        </w:rPr>
        <w:t>.</w:t>
      </w:r>
      <w:r w:rsidR="00175397">
        <w:rPr>
          <w:rFonts w:ascii="Segoe UI" w:hAnsi="Segoe UI" w:cs="Segoe UI"/>
          <w:sz w:val="22"/>
          <w:szCs w:val="22"/>
          <w:lang w:val="es-CO"/>
        </w:rPr>
        <w:t xml:space="preserve"> Si bien, esta población se encuentra distribuida </w:t>
      </w:r>
      <w:r w:rsidR="00A96C4A">
        <w:rPr>
          <w:rFonts w:ascii="Segoe UI" w:hAnsi="Segoe UI" w:cs="Segoe UI"/>
          <w:sz w:val="22"/>
          <w:szCs w:val="22"/>
          <w:lang w:val="es-CO"/>
        </w:rPr>
        <w:t>en 997 municipios de Colombia, esta tiende a concentrarse en un número reducido del territorio</w:t>
      </w:r>
      <w:r w:rsidR="00AE4B43">
        <w:rPr>
          <w:rFonts w:ascii="Segoe UI" w:hAnsi="Segoe UI" w:cs="Segoe UI"/>
          <w:sz w:val="22"/>
          <w:szCs w:val="22"/>
          <w:lang w:val="es-CO"/>
        </w:rPr>
        <w:t>. La mayor proporción se ubicó en Bogotá con 591.462 migrantes (21%)</w:t>
      </w:r>
      <w:r w:rsidR="0061044B">
        <w:rPr>
          <w:rFonts w:ascii="Segoe UI" w:hAnsi="Segoe UI" w:cs="Segoe UI"/>
          <w:sz w:val="22"/>
          <w:szCs w:val="22"/>
          <w:lang w:val="es-CO"/>
        </w:rPr>
        <w:t>, seguido por Medellín (8,5%), Cúcuta (7,7%), Barranquilla (4,9%) y Cali (4,6%)</w:t>
      </w:r>
      <w:r w:rsidR="00AE4B43">
        <w:rPr>
          <w:rFonts w:ascii="Segoe UI" w:hAnsi="Segoe UI" w:cs="Segoe UI"/>
          <w:sz w:val="22"/>
          <w:szCs w:val="22"/>
          <w:lang w:val="es-CO"/>
        </w:rPr>
        <w:t xml:space="preserve"> </w:t>
      </w:r>
      <w:r w:rsidR="007E0398">
        <w:rPr>
          <w:rFonts w:ascii="Segoe UI" w:hAnsi="Segoe UI" w:cs="Segoe UI"/>
          <w:sz w:val="22"/>
          <w:szCs w:val="22"/>
          <w:lang w:val="es-CO"/>
        </w:rPr>
        <w:t>(Migración Colombia, 2025)</w:t>
      </w:r>
      <w:r w:rsidR="00765FD1">
        <w:rPr>
          <w:rFonts w:ascii="Segoe UI" w:hAnsi="Segoe UI" w:cs="Segoe UI"/>
          <w:sz w:val="22"/>
          <w:szCs w:val="22"/>
          <w:lang w:val="es-CO"/>
        </w:rPr>
        <w:t>.</w:t>
      </w:r>
    </w:p>
    <w:p w14:paraId="0003891A" w14:textId="51005CAE" w:rsidR="00CF1011" w:rsidRDefault="00DA1039" w:rsidP="0035035F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 xml:space="preserve">Esta población </w:t>
      </w:r>
      <w:r w:rsidR="00B87F91">
        <w:rPr>
          <w:rFonts w:ascii="Segoe UI" w:hAnsi="Segoe UI" w:cs="Segoe UI"/>
          <w:sz w:val="22"/>
          <w:szCs w:val="22"/>
          <w:lang w:val="es-CO"/>
        </w:rPr>
        <w:t xml:space="preserve">migrante se caracteriza por una informalidad laboral que </w:t>
      </w:r>
      <w:r w:rsidR="0088084E">
        <w:rPr>
          <w:rFonts w:ascii="Segoe UI" w:hAnsi="Segoe UI" w:cs="Segoe UI"/>
          <w:sz w:val="22"/>
          <w:szCs w:val="22"/>
          <w:lang w:val="es-CO"/>
        </w:rPr>
        <w:t xml:space="preserve">resulta en brechas salariales significativas, dificultando más su situación. Según estimaciones del </w:t>
      </w:r>
      <w:r w:rsidR="006A61D1">
        <w:rPr>
          <w:rFonts w:ascii="Segoe UI" w:hAnsi="Segoe UI" w:cs="Segoe UI"/>
          <w:sz w:val="22"/>
          <w:szCs w:val="22"/>
          <w:lang w:val="es-CO"/>
        </w:rPr>
        <w:t>Observatorio de Migraciones, Migrantes y Movilidad Urbana (2025)</w:t>
      </w:r>
      <w:r w:rsidR="00EE6BFA">
        <w:rPr>
          <w:rFonts w:ascii="Segoe UI" w:hAnsi="Segoe UI" w:cs="Segoe UI"/>
          <w:sz w:val="22"/>
          <w:szCs w:val="22"/>
          <w:lang w:val="es-CO"/>
        </w:rPr>
        <w:t xml:space="preserve">, en 2024, 2.274.684 migrantes estaban siendo o habían sido regularizados en el marco del </w:t>
      </w:r>
      <w:r w:rsidR="003C03F1" w:rsidRPr="003C03F1">
        <w:rPr>
          <w:rFonts w:ascii="Segoe UI" w:hAnsi="Segoe UI" w:cs="Segoe UI"/>
          <w:sz w:val="22"/>
          <w:szCs w:val="22"/>
          <w:lang w:val="es-CO"/>
        </w:rPr>
        <w:t>Estatuto Temporal de Protección para Migrantes Venezolanos</w:t>
      </w:r>
      <w:r w:rsidR="003C03F1">
        <w:rPr>
          <w:rFonts w:ascii="Segoe UI" w:hAnsi="Segoe UI" w:cs="Segoe UI"/>
          <w:sz w:val="22"/>
          <w:szCs w:val="22"/>
          <w:lang w:val="es-CO"/>
        </w:rPr>
        <w:t xml:space="preserve">, de los cuales </w:t>
      </w:r>
      <w:r w:rsidR="00534061">
        <w:rPr>
          <w:rFonts w:ascii="Segoe UI" w:hAnsi="Segoe UI" w:cs="Segoe UI"/>
          <w:sz w:val="22"/>
          <w:szCs w:val="22"/>
          <w:lang w:val="es-CO"/>
        </w:rPr>
        <w:t>cerca de 1.9 millones se regularizaron con un Permiso de Protección Temporal (PPT) autorizado, mientras 0.35 millones no han culminado la fase de autorización de su PPT</w:t>
      </w:r>
      <w:r w:rsidR="00AF0FDC">
        <w:rPr>
          <w:rFonts w:ascii="Segoe UI" w:hAnsi="Segoe UI" w:cs="Segoe UI"/>
          <w:sz w:val="22"/>
          <w:szCs w:val="22"/>
          <w:lang w:val="es-CO"/>
        </w:rPr>
        <w:t>; n</w:t>
      </w:r>
      <w:r w:rsidR="00536928">
        <w:rPr>
          <w:rFonts w:ascii="Segoe UI" w:hAnsi="Segoe UI" w:cs="Segoe UI"/>
          <w:sz w:val="22"/>
          <w:szCs w:val="22"/>
          <w:lang w:val="es-CO"/>
        </w:rPr>
        <w:t>o obstante, c</w:t>
      </w:r>
      <w:r w:rsidR="00AF0FDC">
        <w:rPr>
          <w:rFonts w:ascii="Segoe UI" w:hAnsi="Segoe UI" w:cs="Segoe UI"/>
          <w:sz w:val="22"/>
          <w:szCs w:val="22"/>
          <w:lang w:val="es-CO"/>
        </w:rPr>
        <w:t>asi medio millón de migrantes (454.514) se encuentran en situación migratoria irregular.</w:t>
      </w:r>
      <w:r w:rsidR="001F0FA0">
        <w:rPr>
          <w:rFonts w:ascii="Segoe UI" w:hAnsi="Segoe UI" w:cs="Segoe UI"/>
          <w:sz w:val="22"/>
          <w:szCs w:val="22"/>
          <w:lang w:val="es-CO"/>
        </w:rPr>
        <w:t xml:space="preserve"> </w:t>
      </w:r>
      <w:r w:rsidR="002E684D">
        <w:rPr>
          <w:rFonts w:ascii="Segoe UI" w:hAnsi="Segoe UI" w:cs="Segoe UI"/>
          <w:sz w:val="22"/>
          <w:szCs w:val="22"/>
          <w:lang w:val="es-CO"/>
        </w:rPr>
        <w:t xml:space="preserve">Si bien el PPT ha sido una estrategia para fomentar la legalización </w:t>
      </w:r>
      <w:r w:rsidR="006A1AE1">
        <w:rPr>
          <w:rFonts w:ascii="Segoe UI" w:hAnsi="Segoe UI" w:cs="Segoe UI"/>
          <w:sz w:val="22"/>
          <w:szCs w:val="22"/>
          <w:lang w:val="es-CO"/>
        </w:rPr>
        <w:t xml:space="preserve">y combatir la informalidad </w:t>
      </w:r>
      <w:r w:rsidR="002E684D">
        <w:rPr>
          <w:rFonts w:ascii="Segoe UI" w:hAnsi="Segoe UI" w:cs="Segoe UI"/>
          <w:sz w:val="22"/>
          <w:szCs w:val="22"/>
          <w:lang w:val="es-CO"/>
        </w:rPr>
        <w:t xml:space="preserve">de los venezolanos, </w:t>
      </w:r>
      <w:r w:rsidR="00D6729E">
        <w:rPr>
          <w:rFonts w:ascii="Segoe UI" w:hAnsi="Segoe UI" w:cs="Segoe UI"/>
          <w:sz w:val="22"/>
          <w:szCs w:val="22"/>
          <w:lang w:val="es-CO"/>
        </w:rPr>
        <w:t>aún persisten diferencias en las condiciones laborales con respecto a la población migrante.</w:t>
      </w:r>
      <w:r w:rsidR="00BC3E8F">
        <w:rPr>
          <w:rFonts w:ascii="Segoe UI" w:hAnsi="Segoe UI" w:cs="Segoe UI"/>
          <w:sz w:val="22"/>
          <w:szCs w:val="22"/>
          <w:lang w:val="es-CO"/>
        </w:rPr>
        <w:t xml:space="preserve"> </w:t>
      </w:r>
      <w:r w:rsidR="006A1AE1">
        <w:rPr>
          <w:rFonts w:ascii="Segoe UI" w:hAnsi="Segoe UI" w:cs="Segoe UI"/>
          <w:sz w:val="22"/>
          <w:szCs w:val="22"/>
          <w:lang w:val="es-CO"/>
        </w:rPr>
        <w:t>Esta situación se convierte en un tema esencial que limita los ingresos, dificulta el acceso a vivienda y contribuye al déficit habitacional.</w:t>
      </w:r>
    </w:p>
    <w:p w14:paraId="7F684104" w14:textId="51835F16" w:rsidR="00243E01" w:rsidRDefault="0064701C" w:rsidP="0035035F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>En Colombia, e</w:t>
      </w:r>
      <w:r w:rsidR="00243E01" w:rsidRPr="00CD3A1F">
        <w:rPr>
          <w:rFonts w:ascii="Segoe UI" w:hAnsi="Segoe UI" w:cs="Segoe UI"/>
          <w:sz w:val="22"/>
          <w:szCs w:val="22"/>
          <w:lang w:val="es-CO"/>
        </w:rPr>
        <w:t xml:space="preserve">l déficit habitacional es un problema definido por la falta de viviendas adecuadas, ya sea por una escasez de unidades (deficiencias estructurales o déficit cuantitativo) o por la mala </w:t>
      </w:r>
      <w:r w:rsidR="00243E01" w:rsidRPr="00CD3A1F">
        <w:rPr>
          <w:rFonts w:ascii="Segoe UI" w:hAnsi="Segoe UI" w:cs="Segoe UI"/>
          <w:sz w:val="22"/>
          <w:szCs w:val="22"/>
          <w:lang w:val="es-CO"/>
        </w:rPr>
        <w:lastRenderedPageBreak/>
        <w:t xml:space="preserve">calidad de las viviendas existentes (deficiencias no estructurales o déficit cualitativo). Durante los últimos años, </w:t>
      </w:r>
      <w:r>
        <w:rPr>
          <w:rFonts w:ascii="Segoe UI" w:hAnsi="Segoe UI" w:cs="Segoe UI"/>
          <w:sz w:val="22"/>
          <w:szCs w:val="22"/>
          <w:lang w:val="es-CO"/>
        </w:rPr>
        <w:t xml:space="preserve">se </w:t>
      </w:r>
      <w:r w:rsidR="00243E01" w:rsidRPr="00CD3A1F">
        <w:rPr>
          <w:rFonts w:ascii="Segoe UI" w:hAnsi="Segoe UI" w:cs="Segoe UI"/>
          <w:sz w:val="22"/>
          <w:szCs w:val="22"/>
          <w:lang w:val="es-CO"/>
        </w:rPr>
        <w:t xml:space="preserve">ha logrado reducir </w:t>
      </w:r>
      <w:r w:rsidR="009C5868">
        <w:rPr>
          <w:rFonts w:ascii="Segoe UI" w:hAnsi="Segoe UI" w:cs="Segoe UI"/>
          <w:sz w:val="22"/>
          <w:szCs w:val="22"/>
          <w:lang w:val="es-CO"/>
        </w:rPr>
        <w:t>este</w:t>
      </w:r>
      <w:r w:rsidR="00243E01" w:rsidRPr="00CD3A1F">
        <w:rPr>
          <w:rFonts w:ascii="Segoe UI" w:hAnsi="Segoe UI" w:cs="Segoe UI"/>
          <w:sz w:val="22"/>
          <w:szCs w:val="22"/>
          <w:lang w:val="es-CO"/>
        </w:rPr>
        <w:t xml:space="preserve"> déficit. De acuerdo con la Encuesta de Calidad de Vida del DANE, el porcentaje de hogares que habitan viviendas con déficit habitacional en el 2024 es del 26,8%, es decir, aproximadamente 4,9 millones de hogares. Si bien, la reducción desde el 2019 (32,8%) ha sido consistente, la cantidad de hogares en déficit habitacional resulta preocupante.</w:t>
      </w:r>
    </w:p>
    <w:p w14:paraId="177AF960" w14:textId="6B051D3D" w:rsidR="00784A7C" w:rsidRDefault="00784A7C" w:rsidP="0035035F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>La Encuesta Multipropósito de 2021 resalta la desigualdad salarial como un aspecto principal</w:t>
      </w:r>
      <w:r>
        <w:rPr>
          <w:rFonts w:ascii="Segoe UI" w:hAnsi="Segoe UI" w:cs="Segoe UI"/>
          <w:sz w:val="22"/>
          <w:szCs w:val="22"/>
          <w:lang w:val="es-CO"/>
        </w:rPr>
        <w:t xml:space="preserve"> en el déficit habitacional de la población venezolana</w:t>
      </w:r>
      <w:r>
        <w:rPr>
          <w:rFonts w:ascii="Segoe UI" w:hAnsi="Segoe UI" w:cs="Segoe UI"/>
          <w:sz w:val="22"/>
          <w:szCs w:val="22"/>
          <w:lang w:val="es-CO"/>
        </w:rPr>
        <w:t>. Según esta, el migrante venezolano cuenta con un ingreso promedio mensual de COP $1.752.911, un 30% menor que el de un bogotano.</w:t>
      </w:r>
      <w:r w:rsidR="00946BAE">
        <w:rPr>
          <w:rFonts w:ascii="Segoe UI" w:hAnsi="Segoe UI" w:cs="Segoe UI"/>
          <w:sz w:val="22"/>
          <w:szCs w:val="22"/>
          <w:lang w:val="es-CO"/>
        </w:rPr>
        <w:t xml:space="preserve"> Con el fin de destinar un máximo del 30% de los ingresos</w:t>
      </w:r>
      <w:r>
        <w:rPr>
          <w:rFonts w:ascii="Segoe UI" w:hAnsi="Segoe UI" w:cs="Segoe UI"/>
          <w:sz w:val="22"/>
          <w:szCs w:val="22"/>
          <w:lang w:val="es-CO"/>
        </w:rPr>
        <w:t xml:space="preserve"> </w:t>
      </w:r>
      <w:r w:rsidR="00456127">
        <w:rPr>
          <w:rFonts w:ascii="Segoe UI" w:hAnsi="Segoe UI" w:cs="Segoe UI"/>
          <w:sz w:val="22"/>
          <w:szCs w:val="22"/>
          <w:lang w:val="es-CO"/>
        </w:rPr>
        <w:t xml:space="preserve">a gastos asociados a vivienda, los hogares venezolanos deberían </w:t>
      </w:r>
      <w:r w:rsidR="00522E95">
        <w:rPr>
          <w:rFonts w:ascii="Segoe UI" w:hAnsi="Segoe UI" w:cs="Segoe UI"/>
          <w:sz w:val="22"/>
          <w:szCs w:val="22"/>
          <w:lang w:val="es-CO"/>
        </w:rPr>
        <w:t xml:space="preserve">gastar cerca de </w:t>
      </w:r>
      <w:r w:rsidR="00A00230">
        <w:rPr>
          <w:rFonts w:ascii="Segoe UI" w:hAnsi="Segoe UI" w:cs="Segoe UI"/>
          <w:sz w:val="22"/>
          <w:szCs w:val="22"/>
          <w:lang w:val="es-CO"/>
        </w:rPr>
        <w:t>COP $550.000, sin embargo, los arrendamientos de estratos 1, 2 y 3 suelen superar los COP $750.000 (</w:t>
      </w:r>
      <w:proofErr w:type="spellStart"/>
      <w:r w:rsidR="00A00230">
        <w:rPr>
          <w:rFonts w:ascii="Segoe UI" w:hAnsi="Segoe UI" w:cs="Segoe UI"/>
          <w:sz w:val="22"/>
          <w:szCs w:val="22"/>
          <w:lang w:val="es-CO"/>
        </w:rPr>
        <w:t>Procolombia</w:t>
      </w:r>
      <w:proofErr w:type="spellEnd"/>
      <w:r w:rsidR="00A00230">
        <w:rPr>
          <w:rFonts w:ascii="Segoe UI" w:hAnsi="Segoe UI" w:cs="Segoe UI"/>
          <w:sz w:val="22"/>
          <w:szCs w:val="22"/>
          <w:lang w:val="es-CO"/>
        </w:rPr>
        <w:t>, 2023).</w:t>
      </w:r>
      <w:r w:rsidR="003F76C0">
        <w:rPr>
          <w:rFonts w:ascii="Segoe UI" w:hAnsi="Segoe UI" w:cs="Segoe UI"/>
          <w:sz w:val="22"/>
          <w:szCs w:val="22"/>
          <w:lang w:val="es-CO"/>
        </w:rPr>
        <w:t xml:space="preserve"> Este desfaz de ingresos manifiesta la dificultad de los hogares para asegurar una vivienda sin comprometer una parte importante de sus ingresos.</w:t>
      </w:r>
    </w:p>
    <w:p w14:paraId="415E2400" w14:textId="0A4C520E" w:rsidR="00BD6B6B" w:rsidRDefault="0035035F" w:rsidP="00353257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>Aunque</w:t>
      </w:r>
      <w:r w:rsidR="001F768E">
        <w:rPr>
          <w:rFonts w:ascii="Segoe UI" w:hAnsi="Segoe UI" w:cs="Segoe UI"/>
          <w:sz w:val="22"/>
          <w:szCs w:val="22"/>
          <w:lang w:val="es-CO"/>
        </w:rPr>
        <w:t xml:space="preserve"> la</w:t>
      </w:r>
      <w:r w:rsidR="001C43D1">
        <w:rPr>
          <w:rFonts w:ascii="Segoe UI" w:hAnsi="Segoe UI" w:cs="Segoe UI"/>
          <w:sz w:val="22"/>
          <w:szCs w:val="22"/>
          <w:lang w:val="es-CO"/>
        </w:rPr>
        <w:t>s</w:t>
      </w:r>
      <w:r w:rsidR="001F768E">
        <w:rPr>
          <w:rFonts w:ascii="Segoe UI" w:hAnsi="Segoe UI" w:cs="Segoe UI"/>
          <w:sz w:val="22"/>
          <w:szCs w:val="22"/>
          <w:lang w:val="es-CO"/>
        </w:rPr>
        <w:t xml:space="preserve"> dificultade</w:t>
      </w:r>
      <w:r w:rsidR="001C43D1">
        <w:rPr>
          <w:rFonts w:ascii="Segoe UI" w:hAnsi="Segoe UI" w:cs="Segoe UI"/>
          <w:sz w:val="22"/>
          <w:szCs w:val="22"/>
          <w:lang w:val="es-CO"/>
        </w:rPr>
        <w:t>s</w:t>
      </w:r>
      <w:r w:rsidR="001F768E">
        <w:rPr>
          <w:rFonts w:ascii="Segoe UI" w:hAnsi="Segoe UI" w:cs="Segoe UI"/>
          <w:sz w:val="22"/>
          <w:szCs w:val="22"/>
          <w:lang w:val="es-CO"/>
        </w:rPr>
        <w:t xml:space="preserve"> para el acceso a soluciones de vivienda de calidad es un problema que vive la población migrante a nivel nacional, la situación en las principales ciudades receptoras, como Bogotá, </w:t>
      </w:r>
      <w:r w:rsidR="00756D4A">
        <w:rPr>
          <w:rFonts w:ascii="Segoe UI" w:hAnsi="Segoe UI" w:cs="Segoe UI"/>
          <w:sz w:val="22"/>
          <w:szCs w:val="22"/>
          <w:lang w:val="es-CO"/>
        </w:rPr>
        <w:t>resulta mayor</w:t>
      </w:r>
      <w:r w:rsidR="00BD6B6B">
        <w:rPr>
          <w:rFonts w:ascii="Segoe UI" w:hAnsi="Segoe UI" w:cs="Segoe UI"/>
          <w:sz w:val="22"/>
          <w:szCs w:val="22"/>
          <w:lang w:val="es-CO"/>
        </w:rPr>
        <w:t xml:space="preserve">. </w:t>
      </w:r>
      <w:r w:rsidR="00243E01" w:rsidRPr="00CD3A1F">
        <w:rPr>
          <w:rFonts w:ascii="Segoe UI" w:hAnsi="Segoe UI" w:cs="Segoe UI"/>
          <w:sz w:val="22"/>
          <w:szCs w:val="22"/>
          <w:lang w:val="es-CO"/>
        </w:rPr>
        <w:t xml:space="preserve">En este sentido, </w:t>
      </w:r>
      <w:r w:rsidR="00BD6B6B">
        <w:rPr>
          <w:rFonts w:ascii="Segoe UI" w:hAnsi="Segoe UI" w:cs="Segoe UI"/>
          <w:sz w:val="22"/>
          <w:szCs w:val="22"/>
          <w:lang w:val="es-CO"/>
        </w:rPr>
        <w:t>e</w:t>
      </w:r>
      <w:r w:rsidR="0023747D">
        <w:rPr>
          <w:rFonts w:ascii="Segoe UI" w:hAnsi="Segoe UI" w:cs="Segoe UI"/>
          <w:sz w:val="22"/>
          <w:szCs w:val="22"/>
          <w:lang w:val="es-CO"/>
        </w:rPr>
        <w:t xml:space="preserve">ste trabajo busca </w:t>
      </w:r>
      <w:r w:rsidR="005A3DB7">
        <w:rPr>
          <w:rFonts w:ascii="Segoe UI" w:hAnsi="Segoe UI" w:cs="Segoe UI"/>
          <w:sz w:val="22"/>
          <w:szCs w:val="22"/>
          <w:lang w:val="es-CO"/>
        </w:rPr>
        <w:t xml:space="preserve">entender los mecanismos a través de los cuales el choque migratorio venezolano </w:t>
      </w:r>
      <w:r w:rsidR="00FF1E65">
        <w:rPr>
          <w:rFonts w:ascii="Segoe UI" w:hAnsi="Segoe UI" w:cs="Segoe UI"/>
          <w:sz w:val="22"/>
          <w:szCs w:val="22"/>
          <w:lang w:val="es-CO"/>
        </w:rPr>
        <w:t>afecta el déficit habitacional colombiano</w:t>
      </w:r>
      <w:r w:rsidR="0076079B">
        <w:rPr>
          <w:rFonts w:ascii="Segoe UI" w:hAnsi="Segoe UI" w:cs="Segoe UI"/>
          <w:sz w:val="22"/>
          <w:szCs w:val="22"/>
          <w:lang w:val="es-CO"/>
        </w:rPr>
        <w:t xml:space="preserve"> tanto en su componente cualitativo como cuantitativo</w:t>
      </w:r>
      <w:r w:rsidR="0076079B" w:rsidRPr="00CD3A1F">
        <w:rPr>
          <w:rStyle w:val="FootnoteReference"/>
          <w:rFonts w:ascii="Segoe UI" w:hAnsi="Segoe UI" w:cs="Segoe UI"/>
          <w:sz w:val="22"/>
          <w:szCs w:val="22"/>
          <w:lang w:val="es-CO"/>
        </w:rPr>
        <w:footnoteReference w:id="1"/>
      </w:r>
      <w:r w:rsidR="0076079B" w:rsidRPr="00CD3A1F">
        <w:rPr>
          <w:rFonts w:ascii="Segoe UI" w:hAnsi="Segoe UI" w:cs="Segoe UI"/>
          <w:sz w:val="22"/>
          <w:szCs w:val="22"/>
          <w:lang w:val="es-CO"/>
        </w:rPr>
        <w:t>.</w:t>
      </w:r>
    </w:p>
    <w:p w14:paraId="78BD345D" w14:textId="77777777" w:rsidR="006C20E4" w:rsidRDefault="006C20E4" w:rsidP="00353257">
      <w:pPr>
        <w:jc w:val="both"/>
        <w:rPr>
          <w:rFonts w:ascii="Segoe UI" w:hAnsi="Segoe UI" w:cs="Segoe UI"/>
          <w:sz w:val="22"/>
          <w:szCs w:val="22"/>
          <w:lang w:val="es-CO"/>
        </w:rPr>
      </w:pPr>
    </w:p>
    <w:p w14:paraId="386DA501" w14:textId="77777777" w:rsidR="006C20E4" w:rsidRDefault="006C20E4" w:rsidP="00353257">
      <w:pPr>
        <w:jc w:val="both"/>
        <w:rPr>
          <w:rFonts w:ascii="Segoe UI" w:hAnsi="Segoe UI" w:cs="Segoe UI"/>
          <w:sz w:val="22"/>
          <w:szCs w:val="22"/>
          <w:lang w:val="es-CO"/>
        </w:rPr>
      </w:pPr>
    </w:p>
    <w:p w14:paraId="37A9D597" w14:textId="12CD264D" w:rsidR="006C20E4" w:rsidRDefault="006C20E4" w:rsidP="00353257">
      <w:pPr>
        <w:jc w:val="both"/>
        <w:rPr>
          <w:rFonts w:ascii="Segoe UI" w:hAnsi="Segoe UI" w:cs="Segoe UI"/>
          <w:sz w:val="22"/>
          <w:szCs w:val="22"/>
          <w:lang w:val="es-CO"/>
        </w:rPr>
      </w:pPr>
      <w:r>
        <w:rPr>
          <w:rFonts w:ascii="Segoe UI" w:hAnsi="Segoe UI" w:cs="Segoe UI"/>
          <w:sz w:val="22"/>
          <w:szCs w:val="22"/>
          <w:lang w:val="es-CO"/>
        </w:rPr>
        <w:t xml:space="preserve">Se usaron los datos de bla </w:t>
      </w:r>
      <w:proofErr w:type="spellStart"/>
      <w:r>
        <w:rPr>
          <w:rFonts w:ascii="Segoe UI" w:hAnsi="Segoe UI" w:cs="Segoe UI"/>
          <w:sz w:val="22"/>
          <w:szCs w:val="22"/>
          <w:lang w:val="es-CO"/>
        </w:rPr>
        <w:t>bla</w:t>
      </w:r>
      <w:proofErr w:type="spellEnd"/>
    </w:p>
    <w:p w14:paraId="01C4F9FB" w14:textId="615FEA3B" w:rsidR="00C84585" w:rsidRDefault="00243E01" w:rsidP="00353257">
      <w:pPr>
        <w:jc w:val="both"/>
        <w:rPr>
          <w:rFonts w:ascii="Segoe UI" w:hAnsi="Segoe UI" w:cs="Segoe UI"/>
          <w:sz w:val="22"/>
          <w:szCs w:val="22"/>
          <w:lang w:val="es-CO"/>
        </w:rPr>
      </w:pPr>
      <w:r w:rsidRPr="00CD3A1F">
        <w:rPr>
          <w:rFonts w:ascii="Segoe UI" w:hAnsi="Segoe UI" w:cs="Segoe UI"/>
          <w:sz w:val="22"/>
          <w:szCs w:val="22"/>
          <w:lang w:val="es-CO"/>
        </w:rPr>
        <w:t>Para identificar el efecto causal, el análisis se basará en una evaluación de impacto mediante una estrategia de variable instrumental (</w:t>
      </w:r>
      <w:r w:rsidRPr="00CD3A1F">
        <w:rPr>
          <w:rFonts w:ascii="Segoe UI" w:hAnsi="Segoe UI" w:cs="Segoe UI"/>
          <w:i/>
          <w:iCs/>
          <w:sz w:val="22"/>
          <w:szCs w:val="22"/>
          <w:lang w:val="es-CO"/>
        </w:rPr>
        <w:t>shift-share</w:t>
      </w:r>
      <w:r w:rsidRPr="00CD3A1F">
        <w:rPr>
          <w:rFonts w:ascii="Segoe UI" w:hAnsi="Segoe UI" w:cs="Segoe UI"/>
          <w:sz w:val="22"/>
          <w:szCs w:val="22"/>
          <w:lang w:val="es-CO"/>
        </w:rPr>
        <w:t xml:space="preserve">), que permitirá aislar la variación exógena de la llegada de migrantes venezolanos y estimar su efecto sobre el déficit habitacional en las principales ciudades receptoras. </w:t>
      </w:r>
    </w:p>
    <w:p w14:paraId="082BF435" w14:textId="77777777" w:rsidR="00C84585" w:rsidRDefault="00C84585" w:rsidP="00353257">
      <w:pPr>
        <w:jc w:val="both"/>
        <w:rPr>
          <w:rFonts w:ascii="Segoe UI" w:hAnsi="Segoe UI" w:cs="Segoe UI"/>
          <w:sz w:val="22"/>
          <w:szCs w:val="22"/>
          <w:lang w:val="es-CO"/>
        </w:rPr>
      </w:pPr>
    </w:p>
    <w:p w14:paraId="59275B6B" w14:textId="7CB6B433" w:rsidR="00243E01" w:rsidRPr="00CD3A1F" w:rsidRDefault="00243E01" w:rsidP="00353257">
      <w:pPr>
        <w:jc w:val="both"/>
        <w:rPr>
          <w:rFonts w:ascii="Segoe UI" w:hAnsi="Segoe UI" w:cs="Segoe UI"/>
          <w:i/>
          <w:iCs/>
          <w:color w:val="EE0000"/>
          <w:sz w:val="22"/>
          <w:szCs w:val="22"/>
          <w:lang w:val="es-CO"/>
        </w:rPr>
      </w:pPr>
      <w:r w:rsidRPr="00CD3A1F">
        <w:rPr>
          <w:rFonts w:ascii="Segoe UI" w:hAnsi="Segoe UI" w:cs="Segoe UI"/>
          <w:i/>
          <w:iCs/>
          <w:color w:val="EE0000"/>
          <w:sz w:val="22"/>
          <w:szCs w:val="22"/>
          <w:lang w:val="es-CO"/>
        </w:rPr>
        <w:t>Como ejercicio adicional, se podría analizar la heterogeneidad entre tipos de hogares y territorios, como una forma de aportar evidencia empírica para el diseño de políticas públicas focalizadas.</w:t>
      </w:r>
    </w:p>
    <w:p w14:paraId="792A6FE4" w14:textId="0242552C" w:rsidR="00353257" w:rsidRPr="00CD3A1F" w:rsidRDefault="00353257" w:rsidP="00353257">
      <w:pPr>
        <w:jc w:val="both"/>
        <w:rPr>
          <w:rFonts w:ascii="Segoe UI" w:hAnsi="Segoe UI" w:cs="Segoe UI"/>
          <w:i/>
          <w:iCs/>
          <w:color w:val="EE0000"/>
          <w:sz w:val="22"/>
          <w:szCs w:val="22"/>
          <w:lang w:val="es-CO"/>
        </w:rPr>
      </w:pPr>
      <w:r w:rsidRPr="00CD3A1F">
        <w:rPr>
          <w:rFonts w:ascii="Segoe UI" w:hAnsi="Segoe UI" w:cs="Segoe UI"/>
          <w:i/>
          <w:iCs/>
          <w:color w:val="EE0000"/>
          <w:sz w:val="22"/>
          <w:szCs w:val="22"/>
          <w:lang w:val="es-CO"/>
        </w:rPr>
        <w:t>Falta incluir en los números la cantidad de venezolanos.</w:t>
      </w:r>
    </w:p>
    <w:p w14:paraId="7A90E016" w14:textId="77777777" w:rsidR="00353257" w:rsidRPr="00CD3A1F" w:rsidRDefault="00353257" w:rsidP="00353257">
      <w:pPr>
        <w:jc w:val="both"/>
        <w:rPr>
          <w:rFonts w:ascii="Segoe UI" w:hAnsi="Segoe UI" w:cs="Segoe UI"/>
          <w:sz w:val="22"/>
          <w:szCs w:val="22"/>
          <w:lang w:val="es-CO"/>
        </w:rPr>
      </w:pPr>
    </w:p>
    <w:p w14:paraId="7534C73C" w14:textId="77777777" w:rsidR="00243E01" w:rsidRPr="00CD3A1F" w:rsidRDefault="00243E01">
      <w:pPr>
        <w:rPr>
          <w:rFonts w:ascii="Segoe UI" w:hAnsi="Segoe UI" w:cs="Segoe UI"/>
          <w:sz w:val="22"/>
          <w:szCs w:val="22"/>
          <w:lang w:val="es-CO"/>
        </w:rPr>
      </w:pPr>
    </w:p>
    <w:sectPr w:rsidR="00243E01" w:rsidRPr="00CD3A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E2A6C" w14:textId="77777777" w:rsidR="00243E01" w:rsidRDefault="00243E01" w:rsidP="00243E01">
      <w:pPr>
        <w:spacing w:after="0" w:line="240" w:lineRule="auto"/>
      </w:pPr>
      <w:r>
        <w:separator/>
      </w:r>
    </w:p>
  </w:endnote>
  <w:endnote w:type="continuationSeparator" w:id="0">
    <w:p w14:paraId="49EA5F36" w14:textId="77777777" w:rsidR="00243E01" w:rsidRDefault="00243E01" w:rsidP="00243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E3AA9" w14:textId="77777777" w:rsidR="00243E01" w:rsidRDefault="00243E01" w:rsidP="00243E01">
      <w:pPr>
        <w:spacing w:after="0" w:line="240" w:lineRule="auto"/>
      </w:pPr>
      <w:r>
        <w:separator/>
      </w:r>
    </w:p>
  </w:footnote>
  <w:footnote w:type="continuationSeparator" w:id="0">
    <w:p w14:paraId="277CCF20" w14:textId="77777777" w:rsidR="00243E01" w:rsidRDefault="00243E01" w:rsidP="00243E01">
      <w:pPr>
        <w:spacing w:after="0" w:line="240" w:lineRule="auto"/>
      </w:pPr>
      <w:r>
        <w:continuationSeparator/>
      </w:r>
    </w:p>
  </w:footnote>
  <w:footnote w:id="1">
    <w:p w14:paraId="2CF487BA" w14:textId="77777777" w:rsidR="0076079B" w:rsidRPr="006C20E4" w:rsidRDefault="0076079B" w:rsidP="0076079B">
      <w:pPr>
        <w:pStyle w:val="FootnoteText"/>
        <w:rPr>
          <w:rFonts w:ascii="Segoe UI" w:hAnsi="Segoe UI" w:cs="Segoe UI"/>
          <w:lang w:val="es-CO"/>
        </w:rPr>
      </w:pPr>
      <w:r w:rsidRPr="006C20E4">
        <w:rPr>
          <w:rStyle w:val="FootnoteReference"/>
          <w:rFonts w:ascii="Segoe UI" w:hAnsi="Segoe UI" w:cs="Segoe UI"/>
          <w:sz w:val="18"/>
          <w:szCs w:val="18"/>
        </w:rPr>
        <w:footnoteRef/>
      </w:r>
      <w:r w:rsidRPr="006C20E4">
        <w:rPr>
          <w:rFonts w:ascii="Segoe UI" w:hAnsi="Segoe UI" w:cs="Segoe UI"/>
          <w:sz w:val="18"/>
          <w:szCs w:val="18"/>
          <w:lang w:val="es-CO"/>
        </w:rPr>
        <w:t xml:space="preserve"> La metodología del DANE está diseñada de tal manera que los cálculos del déficit cuantitativo y el déficit cualitativo sean excluyentes. Eso significa que, si se identifica un hogar en déficit cuantitativo, no se contabiliza en el déficit cualitativo.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0E"/>
    <w:multiLevelType w:val="hybridMultilevel"/>
    <w:tmpl w:val="85A6D00E"/>
    <w:lvl w:ilvl="0" w:tplc="BEFC4D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30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71"/>
    <w:rsid w:val="00015FC8"/>
    <w:rsid w:val="00076ED5"/>
    <w:rsid w:val="000864DB"/>
    <w:rsid w:val="000B595D"/>
    <w:rsid w:val="000D5252"/>
    <w:rsid w:val="00101078"/>
    <w:rsid w:val="00104ED0"/>
    <w:rsid w:val="00170D1D"/>
    <w:rsid w:val="00175397"/>
    <w:rsid w:val="001C43D1"/>
    <w:rsid w:val="001D58D7"/>
    <w:rsid w:val="001F0FA0"/>
    <w:rsid w:val="001F768E"/>
    <w:rsid w:val="00216A2B"/>
    <w:rsid w:val="0023541D"/>
    <w:rsid w:val="002363A4"/>
    <w:rsid w:val="0023747D"/>
    <w:rsid w:val="00240F38"/>
    <w:rsid w:val="00243E01"/>
    <w:rsid w:val="002B577C"/>
    <w:rsid w:val="002E684D"/>
    <w:rsid w:val="002F0E97"/>
    <w:rsid w:val="00332069"/>
    <w:rsid w:val="0035035F"/>
    <w:rsid w:val="00353257"/>
    <w:rsid w:val="003C03F1"/>
    <w:rsid w:val="003D36CC"/>
    <w:rsid w:val="003E29A5"/>
    <w:rsid w:val="003F76C0"/>
    <w:rsid w:val="0042611A"/>
    <w:rsid w:val="00456127"/>
    <w:rsid w:val="004A3B33"/>
    <w:rsid w:val="004C070B"/>
    <w:rsid w:val="005018D2"/>
    <w:rsid w:val="00522E95"/>
    <w:rsid w:val="00534061"/>
    <w:rsid w:val="00536928"/>
    <w:rsid w:val="00572CB6"/>
    <w:rsid w:val="005A3DB7"/>
    <w:rsid w:val="005B37F7"/>
    <w:rsid w:val="005C53D0"/>
    <w:rsid w:val="0061044B"/>
    <w:rsid w:val="0064701C"/>
    <w:rsid w:val="00663B39"/>
    <w:rsid w:val="00670BB1"/>
    <w:rsid w:val="006715A4"/>
    <w:rsid w:val="00694312"/>
    <w:rsid w:val="006A1AE1"/>
    <w:rsid w:val="006A61D1"/>
    <w:rsid w:val="006C20E4"/>
    <w:rsid w:val="006F2ED6"/>
    <w:rsid w:val="00706FAB"/>
    <w:rsid w:val="007453E8"/>
    <w:rsid w:val="00756D4A"/>
    <w:rsid w:val="0076079B"/>
    <w:rsid w:val="00765FD1"/>
    <w:rsid w:val="00784A7C"/>
    <w:rsid w:val="007E0398"/>
    <w:rsid w:val="00806BC2"/>
    <w:rsid w:val="008273DC"/>
    <w:rsid w:val="008400E3"/>
    <w:rsid w:val="00844D5E"/>
    <w:rsid w:val="0088084E"/>
    <w:rsid w:val="00893757"/>
    <w:rsid w:val="00946BAE"/>
    <w:rsid w:val="00950682"/>
    <w:rsid w:val="00952796"/>
    <w:rsid w:val="009C5868"/>
    <w:rsid w:val="009F4039"/>
    <w:rsid w:val="00A00230"/>
    <w:rsid w:val="00A061DF"/>
    <w:rsid w:val="00A1617E"/>
    <w:rsid w:val="00A17497"/>
    <w:rsid w:val="00A96C4A"/>
    <w:rsid w:val="00AE38A7"/>
    <w:rsid w:val="00AE4B43"/>
    <w:rsid w:val="00AF0FDC"/>
    <w:rsid w:val="00AF43D1"/>
    <w:rsid w:val="00B108D1"/>
    <w:rsid w:val="00B87F91"/>
    <w:rsid w:val="00B93EE3"/>
    <w:rsid w:val="00BC3E8F"/>
    <w:rsid w:val="00BD6B6B"/>
    <w:rsid w:val="00C00F0F"/>
    <w:rsid w:val="00C8047D"/>
    <w:rsid w:val="00C84585"/>
    <w:rsid w:val="00C97CB3"/>
    <w:rsid w:val="00CA195D"/>
    <w:rsid w:val="00CA2971"/>
    <w:rsid w:val="00CD34BE"/>
    <w:rsid w:val="00CD3A1F"/>
    <w:rsid w:val="00CF1011"/>
    <w:rsid w:val="00D04312"/>
    <w:rsid w:val="00D112B2"/>
    <w:rsid w:val="00D12C38"/>
    <w:rsid w:val="00D370E7"/>
    <w:rsid w:val="00D6729E"/>
    <w:rsid w:val="00DA1039"/>
    <w:rsid w:val="00DC0910"/>
    <w:rsid w:val="00E117B6"/>
    <w:rsid w:val="00E64BCF"/>
    <w:rsid w:val="00E71E12"/>
    <w:rsid w:val="00E97E24"/>
    <w:rsid w:val="00EE6BFA"/>
    <w:rsid w:val="00F245A1"/>
    <w:rsid w:val="00F25B51"/>
    <w:rsid w:val="00F568F1"/>
    <w:rsid w:val="00FF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D884"/>
  <w15:chartTrackingRefBased/>
  <w15:docId w15:val="{EDF9AF25-E073-4857-8A12-FC01AD171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971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3E0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3E0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3E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Melo</dc:creator>
  <cp:keywords/>
  <dc:description/>
  <cp:lastModifiedBy>Santiago Melo</cp:lastModifiedBy>
  <cp:revision>2</cp:revision>
  <dcterms:created xsi:type="dcterms:W3CDTF">2025-12-03T07:13:00Z</dcterms:created>
  <dcterms:modified xsi:type="dcterms:W3CDTF">2025-12-03T07:13:00Z</dcterms:modified>
</cp:coreProperties>
</file>