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EA7354" w14:textId="7C38E326" w:rsidR="00913711" w:rsidRPr="001B4523" w:rsidRDefault="002B3971" w:rsidP="00126475">
      <w:pPr>
        <w:jc w:val="center"/>
        <w:rPr>
          <w:rFonts w:ascii="Calibri" w:hAnsi="Calibri" w:cs="Calibri"/>
          <w:b/>
          <w:bCs/>
          <w:sz w:val="28"/>
          <w:szCs w:val="28"/>
        </w:rPr>
      </w:pPr>
      <w:r w:rsidRPr="001B4523">
        <w:rPr>
          <w:rFonts w:ascii="Calibri" w:hAnsi="Calibri" w:cs="Calibri"/>
          <w:b/>
          <w:bCs/>
          <w:sz w:val="28"/>
          <w:szCs w:val="28"/>
        </w:rPr>
        <w:t>Exploring Affordability for Different MSA</w:t>
      </w:r>
      <w:r w:rsidR="000E54EE" w:rsidRPr="001B4523">
        <w:rPr>
          <w:rFonts w:ascii="Calibri" w:hAnsi="Calibri" w:cs="Calibri"/>
          <w:b/>
          <w:bCs/>
          <w:sz w:val="28"/>
          <w:szCs w:val="28"/>
        </w:rPr>
        <w:t>s</w:t>
      </w:r>
    </w:p>
    <w:p w14:paraId="69E3F3E3" w14:textId="77777777" w:rsidR="002A6960" w:rsidRPr="001B4523" w:rsidRDefault="002A6960" w:rsidP="00126475">
      <w:pPr>
        <w:jc w:val="center"/>
        <w:rPr>
          <w:rFonts w:ascii="Calibri" w:hAnsi="Calibri" w:cs="Calibri"/>
          <w:b/>
          <w:bCs/>
          <w:sz w:val="24"/>
          <w:szCs w:val="24"/>
        </w:rPr>
      </w:pPr>
    </w:p>
    <w:p w14:paraId="1922ABA7" w14:textId="71214E46" w:rsidR="001E56E9" w:rsidRPr="001B4523" w:rsidRDefault="001E56E9" w:rsidP="001E56E9">
      <w:pPr>
        <w:rPr>
          <w:rFonts w:ascii="Calibri" w:hAnsi="Calibri" w:cs="Calibri"/>
          <w:sz w:val="28"/>
          <w:szCs w:val="28"/>
        </w:rPr>
      </w:pPr>
      <w:r w:rsidRPr="001B4523">
        <w:rPr>
          <w:rFonts w:ascii="Calibri" w:hAnsi="Calibri" w:cs="Calibri"/>
          <w:b/>
          <w:bCs/>
          <w:sz w:val="28"/>
          <w:szCs w:val="28"/>
        </w:rPr>
        <w:t>Introduction</w:t>
      </w:r>
    </w:p>
    <w:p w14:paraId="1B418F3F" w14:textId="0F3A8277" w:rsidR="002B3971" w:rsidRPr="001B4523" w:rsidRDefault="001E56E9">
      <w:pPr>
        <w:rPr>
          <w:rFonts w:ascii="Calibri" w:hAnsi="Calibri" w:cs="Calibri"/>
          <w:sz w:val="24"/>
          <w:szCs w:val="24"/>
        </w:rPr>
      </w:pPr>
      <w:r w:rsidRPr="001B4523">
        <w:rPr>
          <w:rFonts w:ascii="Calibri" w:hAnsi="Calibri" w:cs="Calibri"/>
          <w:sz w:val="24"/>
          <w:szCs w:val="24"/>
        </w:rPr>
        <w:t>In recent years, affordability has become a critical concern affecting the daily lives of residents across various Metropolitan Statistical Areas (MSAs) in the United States. Rising housing costs, fluctuations in economic conditions, and disparities in access to essential services have underscored the need for a comprehensive understanding of affordability challenges. This report aims to delve into the affordability landscape across different MSAs, examining various dimensions such as housing affordability, education costs, healthcare access, commuting expenses, and overall cost of living.</w:t>
      </w:r>
    </w:p>
    <w:p w14:paraId="3D96E16B" w14:textId="77777777" w:rsidR="00407152" w:rsidRPr="001B4523" w:rsidRDefault="00407152" w:rsidP="00407152">
      <w:pPr>
        <w:rPr>
          <w:rFonts w:ascii="Calibri" w:hAnsi="Calibri" w:cs="Calibri"/>
          <w:sz w:val="24"/>
          <w:szCs w:val="24"/>
        </w:rPr>
      </w:pPr>
      <w:r w:rsidRPr="001B4523">
        <w:rPr>
          <w:rFonts w:ascii="Calibri" w:hAnsi="Calibri" w:cs="Calibri"/>
          <w:sz w:val="24"/>
          <w:szCs w:val="24"/>
        </w:rPr>
        <w:t>The project aims to address the following Research Questions:</w:t>
      </w:r>
    </w:p>
    <w:p w14:paraId="1F9247BB" w14:textId="1FA9BEE3" w:rsidR="000B161A" w:rsidRPr="001B4523" w:rsidRDefault="000B161A" w:rsidP="00407152">
      <w:pPr>
        <w:pStyle w:val="ListParagraph"/>
        <w:numPr>
          <w:ilvl w:val="0"/>
          <w:numId w:val="4"/>
        </w:numPr>
        <w:rPr>
          <w:rFonts w:ascii="Calibri" w:hAnsi="Calibri" w:cs="Calibri"/>
          <w:i/>
          <w:iCs/>
          <w:sz w:val="24"/>
          <w:szCs w:val="24"/>
        </w:rPr>
      </w:pPr>
      <w:r w:rsidRPr="001B4523">
        <w:rPr>
          <w:rFonts w:ascii="Calibri" w:hAnsi="Calibri" w:cs="Calibri"/>
          <w:i/>
          <w:iCs/>
          <w:sz w:val="24"/>
          <w:szCs w:val="24"/>
        </w:rPr>
        <w:t>What is the distribution of various cost indexes (goods, utilities, housing, others) contributing to the overall cost of living in different MSAs in 2022?</w:t>
      </w:r>
    </w:p>
    <w:p w14:paraId="60529D76" w14:textId="77777777" w:rsidR="00407152" w:rsidRPr="001B4523" w:rsidRDefault="00407152" w:rsidP="00407152">
      <w:pPr>
        <w:pStyle w:val="ListParagraph"/>
        <w:numPr>
          <w:ilvl w:val="0"/>
          <w:numId w:val="4"/>
        </w:numPr>
        <w:rPr>
          <w:rFonts w:ascii="Calibri" w:hAnsi="Calibri" w:cs="Calibri"/>
          <w:i/>
          <w:iCs/>
          <w:sz w:val="24"/>
          <w:szCs w:val="24"/>
        </w:rPr>
      </w:pPr>
      <w:r w:rsidRPr="001B4523">
        <w:rPr>
          <w:rFonts w:ascii="Calibri" w:hAnsi="Calibri" w:cs="Calibri"/>
          <w:i/>
          <w:iCs/>
          <w:sz w:val="24"/>
          <w:szCs w:val="24"/>
        </w:rPr>
        <w:t>What are the key affordability measures for commuting in different MSAs in 2023?</w:t>
      </w:r>
    </w:p>
    <w:p w14:paraId="4126E80D" w14:textId="77777777" w:rsidR="00407152" w:rsidRPr="001B4523" w:rsidRDefault="00407152" w:rsidP="00407152">
      <w:pPr>
        <w:pStyle w:val="ListParagraph"/>
        <w:numPr>
          <w:ilvl w:val="0"/>
          <w:numId w:val="4"/>
        </w:numPr>
        <w:rPr>
          <w:rFonts w:ascii="Calibri" w:hAnsi="Calibri" w:cs="Calibri"/>
          <w:i/>
          <w:iCs/>
          <w:sz w:val="24"/>
          <w:szCs w:val="24"/>
        </w:rPr>
      </w:pPr>
      <w:r w:rsidRPr="001B4523">
        <w:rPr>
          <w:rFonts w:ascii="Calibri" w:hAnsi="Calibri" w:cs="Calibri"/>
          <w:i/>
          <w:iCs/>
          <w:sz w:val="24"/>
          <w:szCs w:val="24"/>
        </w:rPr>
        <w:t>How has the cost of housing index trended over the years (2012-2022) across different Metropolitan Statistical Areas (MSAs)?</w:t>
      </w:r>
    </w:p>
    <w:p w14:paraId="0B14D07B" w14:textId="597D74A2" w:rsidR="00B32535" w:rsidRPr="001B4523" w:rsidRDefault="00B32535" w:rsidP="00407152">
      <w:pPr>
        <w:pStyle w:val="ListParagraph"/>
        <w:numPr>
          <w:ilvl w:val="0"/>
          <w:numId w:val="4"/>
        </w:numPr>
        <w:rPr>
          <w:rFonts w:ascii="Calibri" w:hAnsi="Calibri" w:cs="Calibri"/>
          <w:i/>
          <w:iCs/>
          <w:sz w:val="24"/>
          <w:szCs w:val="24"/>
        </w:rPr>
      </w:pPr>
      <w:r w:rsidRPr="001B4523">
        <w:rPr>
          <w:rFonts w:ascii="Calibri" w:hAnsi="Calibri" w:cs="Calibri"/>
          <w:i/>
          <w:iCs/>
          <w:sz w:val="24"/>
          <w:szCs w:val="24"/>
        </w:rPr>
        <w:t>How do Graduate Tuition Fees, Median Household Income, and Taxi Costs correlate across MSAs, and what insights do these correlations offer into graduate students' financial burden?</w:t>
      </w:r>
    </w:p>
    <w:p w14:paraId="0CA12413" w14:textId="0898B9F3" w:rsidR="00407152" w:rsidRPr="001B4523" w:rsidRDefault="00407152" w:rsidP="00407152">
      <w:pPr>
        <w:pStyle w:val="ListParagraph"/>
        <w:numPr>
          <w:ilvl w:val="0"/>
          <w:numId w:val="4"/>
        </w:numPr>
        <w:rPr>
          <w:rFonts w:ascii="Calibri" w:hAnsi="Calibri" w:cs="Calibri"/>
          <w:i/>
          <w:iCs/>
          <w:sz w:val="24"/>
          <w:szCs w:val="24"/>
        </w:rPr>
      </w:pPr>
      <w:r w:rsidRPr="001B4523">
        <w:rPr>
          <w:rFonts w:ascii="Calibri" w:hAnsi="Calibri" w:cs="Calibri"/>
          <w:i/>
          <w:iCs/>
          <w:sz w:val="24"/>
          <w:szCs w:val="24"/>
        </w:rPr>
        <w:t>How does the correlation between median household income</w:t>
      </w:r>
      <w:r w:rsidR="00E22B07" w:rsidRPr="001B4523">
        <w:rPr>
          <w:rFonts w:ascii="Calibri" w:hAnsi="Calibri" w:cs="Calibri"/>
          <w:i/>
          <w:iCs/>
          <w:sz w:val="24"/>
          <w:szCs w:val="24"/>
        </w:rPr>
        <w:t xml:space="preserve">, </w:t>
      </w:r>
      <w:r w:rsidRPr="001B4523">
        <w:rPr>
          <w:rFonts w:ascii="Calibri" w:hAnsi="Calibri" w:cs="Calibri"/>
          <w:i/>
          <w:iCs/>
          <w:sz w:val="24"/>
          <w:szCs w:val="24"/>
        </w:rPr>
        <w:t xml:space="preserve">median gross rent </w:t>
      </w:r>
      <w:r w:rsidR="00E22B07" w:rsidRPr="001B4523">
        <w:rPr>
          <w:rFonts w:ascii="Calibri" w:hAnsi="Calibri" w:cs="Calibri"/>
          <w:i/>
          <w:iCs/>
          <w:sz w:val="24"/>
          <w:szCs w:val="24"/>
        </w:rPr>
        <w:t xml:space="preserve">and Typical Home value </w:t>
      </w:r>
      <w:r w:rsidRPr="001B4523">
        <w:rPr>
          <w:rFonts w:ascii="Calibri" w:hAnsi="Calibri" w:cs="Calibri"/>
          <w:i/>
          <w:iCs/>
          <w:sz w:val="24"/>
          <w:szCs w:val="24"/>
        </w:rPr>
        <w:t>differ among MSAs?</w:t>
      </w:r>
    </w:p>
    <w:p w14:paraId="1CF1AF37" w14:textId="1727F8AC" w:rsidR="00407152" w:rsidRPr="001B4523" w:rsidRDefault="00407152" w:rsidP="00407152">
      <w:pPr>
        <w:pStyle w:val="ListParagraph"/>
        <w:numPr>
          <w:ilvl w:val="0"/>
          <w:numId w:val="4"/>
        </w:numPr>
        <w:rPr>
          <w:rFonts w:ascii="Calibri" w:hAnsi="Calibri" w:cs="Calibri"/>
          <w:i/>
          <w:iCs/>
          <w:sz w:val="24"/>
          <w:szCs w:val="24"/>
        </w:rPr>
      </w:pPr>
      <w:r w:rsidRPr="001B4523">
        <w:rPr>
          <w:rFonts w:ascii="Calibri" w:hAnsi="Calibri" w:cs="Calibri"/>
          <w:i/>
          <w:iCs/>
          <w:sz w:val="24"/>
          <w:szCs w:val="24"/>
        </w:rPr>
        <w:t>Which MSAs exhibit the highest and lowest tuition fees for both in-state and out-of-state students?</w:t>
      </w:r>
    </w:p>
    <w:p w14:paraId="7EDBA14D" w14:textId="77777777" w:rsidR="00407152" w:rsidRPr="001B4523" w:rsidRDefault="00407152" w:rsidP="00407152">
      <w:pPr>
        <w:pStyle w:val="ListParagraph"/>
        <w:numPr>
          <w:ilvl w:val="0"/>
          <w:numId w:val="4"/>
        </w:numPr>
        <w:rPr>
          <w:rFonts w:ascii="Calibri" w:hAnsi="Calibri" w:cs="Calibri"/>
          <w:i/>
          <w:iCs/>
          <w:sz w:val="24"/>
          <w:szCs w:val="24"/>
        </w:rPr>
      </w:pPr>
      <w:r w:rsidRPr="001B4523">
        <w:rPr>
          <w:rFonts w:ascii="Calibri" w:hAnsi="Calibri" w:cs="Calibri"/>
          <w:i/>
          <w:iCs/>
          <w:sz w:val="24"/>
          <w:szCs w:val="24"/>
        </w:rPr>
        <w:t>How do health insurance coverage rates differ between public and private insurance across different MSAs?</w:t>
      </w:r>
    </w:p>
    <w:p w14:paraId="4AC7FC63" w14:textId="047F85B7" w:rsidR="00407152" w:rsidRPr="001B4523" w:rsidRDefault="00407152" w:rsidP="00407152">
      <w:pPr>
        <w:pStyle w:val="ListParagraph"/>
        <w:numPr>
          <w:ilvl w:val="0"/>
          <w:numId w:val="4"/>
        </w:numPr>
        <w:rPr>
          <w:rFonts w:ascii="Calibri" w:hAnsi="Calibri" w:cs="Calibri"/>
          <w:i/>
          <w:iCs/>
          <w:sz w:val="24"/>
          <w:szCs w:val="24"/>
        </w:rPr>
      </w:pPr>
      <w:r w:rsidRPr="001B4523">
        <w:rPr>
          <w:rFonts w:ascii="Calibri" w:hAnsi="Calibri" w:cs="Calibri"/>
          <w:i/>
          <w:iCs/>
          <w:sz w:val="24"/>
          <w:szCs w:val="24"/>
        </w:rPr>
        <w:t xml:space="preserve">How does Medicare spending vary across different MSAs and counties </w:t>
      </w:r>
      <w:r w:rsidR="00F15517" w:rsidRPr="001B4523">
        <w:rPr>
          <w:rFonts w:ascii="Calibri" w:hAnsi="Calibri" w:cs="Calibri"/>
          <w:i/>
          <w:iCs/>
          <w:sz w:val="24"/>
          <w:szCs w:val="24"/>
        </w:rPr>
        <w:t>in 2022</w:t>
      </w:r>
      <w:r w:rsidRPr="001B4523">
        <w:rPr>
          <w:rFonts w:ascii="Calibri" w:hAnsi="Calibri" w:cs="Calibri"/>
          <w:i/>
          <w:iCs/>
          <w:sz w:val="24"/>
          <w:szCs w:val="24"/>
        </w:rPr>
        <w:t>?</w:t>
      </w:r>
    </w:p>
    <w:p w14:paraId="752A2DB7" w14:textId="7B1E3FD8" w:rsidR="00407152" w:rsidRPr="001B4523" w:rsidRDefault="00407152" w:rsidP="00407152">
      <w:pPr>
        <w:pStyle w:val="ListParagraph"/>
        <w:numPr>
          <w:ilvl w:val="0"/>
          <w:numId w:val="4"/>
        </w:numPr>
        <w:rPr>
          <w:rFonts w:ascii="Calibri" w:hAnsi="Calibri" w:cs="Calibri"/>
          <w:i/>
          <w:iCs/>
          <w:sz w:val="24"/>
          <w:szCs w:val="24"/>
        </w:rPr>
      </w:pPr>
      <w:r w:rsidRPr="001B4523">
        <w:rPr>
          <w:rFonts w:ascii="Calibri" w:hAnsi="Calibri" w:cs="Calibri"/>
          <w:i/>
          <w:iCs/>
          <w:sz w:val="24"/>
          <w:szCs w:val="24"/>
        </w:rPr>
        <w:t xml:space="preserve">How does the </w:t>
      </w:r>
      <w:r w:rsidR="007A37B3" w:rsidRPr="001B4523">
        <w:rPr>
          <w:rFonts w:ascii="Calibri" w:hAnsi="Calibri" w:cs="Calibri"/>
          <w:i/>
          <w:iCs/>
          <w:sz w:val="24"/>
          <w:szCs w:val="24"/>
        </w:rPr>
        <w:t>cost-of-living</w:t>
      </w:r>
      <w:r w:rsidRPr="001B4523">
        <w:rPr>
          <w:rFonts w:ascii="Calibri" w:hAnsi="Calibri" w:cs="Calibri"/>
          <w:i/>
          <w:iCs/>
          <w:sz w:val="24"/>
          <w:szCs w:val="24"/>
        </w:rPr>
        <w:t xml:space="preserve"> index fluctuate across different MSAs?</w:t>
      </w:r>
    </w:p>
    <w:p w14:paraId="22146E88" w14:textId="77777777" w:rsidR="00AA0977" w:rsidRPr="001B4523" w:rsidRDefault="00AA0977">
      <w:pPr>
        <w:rPr>
          <w:rFonts w:ascii="Calibri" w:hAnsi="Calibri" w:cs="Calibri"/>
          <w:sz w:val="24"/>
          <w:szCs w:val="24"/>
        </w:rPr>
      </w:pPr>
    </w:p>
    <w:p w14:paraId="1EBF3254" w14:textId="77777777" w:rsidR="002C3E0B" w:rsidRPr="001B4523" w:rsidRDefault="002C3E0B">
      <w:pPr>
        <w:rPr>
          <w:rFonts w:ascii="Calibri" w:hAnsi="Calibri" w:cs="Calibri"/>
          <w:sz w:val="24"/>
          <w:szCs w:val="24"/>
        </w:rPr>
      </w:pPr>
    </w:p>
    <w:p w14:paraId="5B2544D2" w14:textId="0E863A7A" w:rsidR="0082535A" w:rsidRPr="001B4523" w:rsidRDefault="0082535A" w:rsidP="0082535A">
      <w:pPr>
        <w:rPr>
          <w:rFonts w:ascii="Calibri" w:hAnsi="Calibri" w:cs="Calibri"/>
          <w:b/>
          <w:bCs/>
          <w:sz w:val="28"/>
          <w:szCs w:val="28"/>
        </w:rPr>
      </w:pPr>
      <w:r w:rsidRPr="001B4523">
        <w:rPr>
          <w:rFonts w:ascii="Calibri" w:hAnsi="Calibri" w:cs="Calibri"/>
          <w:b/>
          <w:bCs/>
          <w:sz w:val="28"/>
          <w:szCs w:val="28"/>
        </w:rPr>
        <w:t>M</w:t>
      </w:r>
      <w:r w:rsidR="00AA0977" w:rsidRPr="001B4523">
        <w:rPr>
          <w:rFonts w:ascii="Calibri" w:hAnsi="Calibri" w:cs="Calibri"/>
          <w:b/>
          <w:bCs/>
          <w:sz w:val="28"/>
          <w:szCs w:val="28"/>
        </w:rPr>
        <w:t>ethodology</w:t>
      </w:r>
    </w:p>
    <w:p w14:paraId="3FCE0E98" w14:textId="17A5759F" w:rsidR="0082535A" w:rsidRPr="001B4523" w:rsidRDefault="0082535A" w:rsidP="0082535A">
      <w:pPr>
        <w:rPr>
          <w:rFonts w:ascii="Calibri" w:hAnsi="Calibri" w:cs="Calibri"/>
          <w:sz w:val="24"/>
          <w:szCs w:val="24"/>
        </w:rPr>
      </w:pPr>
      <w:r w:rsidRPr="001B4523">
        <w:rPr>
          <w:rFonts w:ascii="Calibri" w:hAnsi="Calibri" w:cs="Calibri"/>
          <w:sz w:val="24"/>
          <w:szCs w:val="24"/>
        </w:rPr>
        <w:t>To delve into the affordability of different Metropolitan Statistical Areas (MSAs), a comprehensive analysis was conducted utilizing datasets from various reputable sources including the Bureau of Economic Analysis (BEA), Integrated Postsecondary Education System (IPEDS), US Census Bureau</w:t>
      </w:r>
      <w:r w:rsidR="009203F0" w:rsidRPr="001B4523">
        <w:rPr>
          <w:rFonts w:ascii="Calibri" w:hAnsi="Calibri" w:cs="Calibri"/>
          <w:sz w:val="24"/>
          <w:szCs w:val="24"/>
        </w:rPr>
        <w:t xml:space="preserve"> and </w:t>
      </w:r>
      <w:r w:rsidRPr="001B4523">
        <w:rPr>
          <w:rFonts w:ascii="Calibri" w:hAnsi="Calibri" w:cs="Calibri"/>
          <w:sz w:val="24"/>
          <w:szCs w:val="24"/>
        </w:rPr>
        <w:t>Centers for Medicare and Medicaid Services</w:t>
      </w:r>
      <w:r w:rsidR="009203F0" w:rsidRPr="001B4523">
        <w:rPr>
          <w:rFonts w:ascii="Calibri" w:hAnsi="Calibri" w:cs="Calibri"/>
          <w:sz w:val="24"/>
          <w:szCs w:val="24"/>
        </w:rPr>
        <w:t>.</w:t>
      </w:r>
      <w:r w:rsidRPr="001B4523">
        <w:rPr>
          <w:rFonts w:ascii="Calibri" w:hAnsi="Calibri" w:cs="Calibri"/>
          <w:sz w:val="24"/>
          <w:szCs w:val="24"/>
        </w:rPr>
        <w:t xml:space="preserve"> The goal was to explore multiple dimensions of affordability such as housing costs, education expenses, cost of living, healthcare, and commuting expenses.</w:t>
      </w:r>
    </w:p>
    <w:p w14:paraId="06AEE43B" w14:textId="77777777" w:rsidR="002C3E0B" w:rsidRPr="001B4523" w:rsidRDefault="002C3E0B" w:rsidP="0082535A">
      <w:pPr>
        <w:rPr>
          <w:rFonts w:ascii="Calibri" w:hAnsi="Calibri" w:cs="Calibri"/>
          <w:sz w:val="24"/>
          <w:szCs w:val="24"/>
        </w:rPr>
      </w:pPr>
    </w:p>
    <w:p w14:paraId="5F12C30B" w14:textId="7BF8533D" w:rsidR="0082535A" w:rsidRPr="001B4523" w:rsidRDefault="0082535A" w:rsidP="0082535A">
      <w:pPr>
        <w:rPr>
          <w:rFonts w:ascii="Calibri" w:hAnsi="Calibri" w:cs="Calibri"/>
          <w:sz w:val="28"/>
          <w:szCs w:val="28"/>
        </w:rPr>
      </w:pPr>
      <w:r w:rsidRPr="001B4523">
        <w:rPr>
          <w:rFonts w:ascii="Calibri" w:hAnsi="Calibri" w:cs="Calibri"/>
          <w:b/>
          <w:bCs/>
          <w:sz w:val="28"/>
          <w:szCs w:val="28"/>
        </w:rPr>
        <w:lastRenderedPageBreak/>
        <w:t>Data Sources</w:t>
      </w:r>
    </w:p>
    <w:p w14:paraId="6DD1776D" w14:textId="77777777" w:rsidR="0082535A" w:rsidRPr="001B4523" w:rsidRDefault="0082535A" w:rsidP="0082535A">
      <w:pPr>
        <w:numPr>
          <w:ilvl w:val="0"/>
          <w:numId w:val="1"/>
        </w:numPr>
        <w:rPr>
          <w:rFonts w:ascii="Calibri" w:hAnsi="Calibri" w:cs="Calibri"/>
          <w:sz w:val="24"/>
          <w:szCs w:val="24"/>
        </w:rPr>
      </w:pPr>
      <w:r w:rsidRPr="001B4523">
        <w:rPr>
          <w:rFonts w:ascii="Calibri" w:hAnsi="Calibri" w:cs="Calibri"/>
          <w:b/>
          <w:bCs/>
          <w:sz w:val="24"/>
          <w:szCs w:val="24"/>
        </w:rPr>
        <w:t>Bureau of Economic Analysis (BEA):</w:t>
      </w:r>
    </w:p>
    <w:p w14:paraId="17DF8929" w14:textId="4FA69A3F" w:rsidR="0082535A" w:rsidRPr="001B4523" w:rsidRDefault="0082535A" w:rsidP="008E3430">
      <w:pPr>
        <w:numPr>
          <w:ilvl w:val="1"/>
          <w:numId w:val="1"/>
        </w:numPr>
        <w:tabs>
          <w:tab w:val="clear" w:pos="1440"/>
          <w:tab w:val="left" w:pos="1080"/>
        </w:tabs>
        <w:rPr>
          <w:rFonts w:ascii="Calibri" w:hAnsi="Calibri" w:cs="Calibri"/>
          <w:sz w:val="24"/>
          <w:szCs w:val="24"/>
        </w:rPr>
      </w:pPr>
      <w:r w:rsidRPr="001B4523">
        <w:rPr>
          <w:rFonts w:ascii="Calibri" w:hAnsi="Calibri" w:cs="Calibri"/>
          <w:sz w:val="24"/>
          <w:szCs w:val="24"/>
        </w:rPr>
        <w:t>Cost of Goods Index</w:t>
      </w:r>
      <w:r w:rsidR="008D13D2" w:rsidRPr="001B4523">
        <w:rPr>
          <w:rFonts w:ascii="Calibri" w:hAnsi="Calibri" w:cs="Calibri"/>
          <w:sz w:val="24"/>
          <w:szCs w:val="24"/>
        </w:rPr>
        <w:t xml:space="preserve"> - </w:t>
      </w:r>
      <w:hyperlink r:id="rId5" w:anchor="eyJhcHBpZCI6NzAsInN0ZXBzIjpbMSwyOSwyNSwzMSwyNiwyNywzMF0sImRhdGEiOltbIlRhYmxlSWQiLCIxMDQiXSxbIk1ham9yX0FyZWEiLCI1Il0sWyJTdGF0ZSIsWyI1Il1dLFsiQXJlYSIsWyJYWCJdXSxbIlN0YXRpc3RpYyIsWyIyIl1dLFsiVW5pdF9vZl9tZWFzdXJlIiwiTGV2ZWxzIl0sWyJZZWFyIixbIjIwMjIiLCIyMDIxIiwiMjAyMCIsIjIwMTkiLCIyMDE4IiwiMjAxNyIsIjIwMTYiLCIyMDE1IiwiMjAxNCIsIjIwMTMiLCIyMDEyIl1dLFsiWWVhckJlZ2luIiwiLTEiXSxbIlllYXJfRW5kIiwiLTEiXV19" w:history="1">
        <w:r w:rsidR="008D13D2" w:rsidRPr="001B4523">
          <w:rPr>
            <w:rStyle w:val="Hyperlink"/>
            <w:rFonts w:ascii="Calibri" w:hAnsi="Calibri" w:cs="Calibri"/>
          </w:rPr>
          <w:t>BEA Interactive Data Application</w:t>
        </w:r>
      </w:hyperlink>
    </w:p>
    <w:p w14:paraId="759DA768" w14:textId="5AEB95F2" w:rsidR="0082535A" w:rsidRPr="001B4523" w:rsidRDefault="0082535A" w:rsidP="0082535A">
      <w:pPr>
        <w:numPr>
          <w:ilvl w:val="1"/>
          <w:numId w:val="1"/>
        </w:numPr>
        <w:rPr>
          <w:rFonts w:ascii="Calibri" w:hAnsi="Calibri" w:cs="Calibri"/>
          <w:sz w:val="24"/>
          <w:szCs w:val="24"/>
        </w:rPr>
      </w:pPr>
      <w:r w:rsidRPr="001B4523">
        <w:rPr>
          <w:rFonts w:ascii="Calibri" w:hAnsi="Calibri" w:cs="Calibri"/>
          <w:sz w:val="24"/>
          <w:szCs w:val="24"/>
        </w:rPr>
        <w:t>Cost of Housing Index</w:t>
      </w:r>
      <w:r w:rsidR="00001AA7" w:rsidRPr="001B4523">
        <w:rPr>
          <w:rFonts w:ascii="Calibri" w:hAnsi="Calibri" w:cs="Calibri"/>
          <w:sz w:val="24"/>
          <w:szCs w:val="24"/>
        </w:rPr>
        <w:t xml:space="preserve"> - </w:t>
      </w:r>
      <w:hyperlink r:id="rId6" w:anchor="eyJhcHBpZCI6NzAsInN0ZXBzIjpbMSwyOSwyNSwzMSwyNiwyNywzMF0sImRhdGEiOltbIlRhYmxlSWQiLCIxMDQiXSxbIk1ham9yX0FyZWEiLCI1Il0sWyJTdGF0ZSIsWyI1Il1dLFsiQXJlYSIsWyJYWCJdXSxbIlN0YXRpc3RpYyIsWyIzIl1dLFsiVW5pdF9vZl9tZWFzdXJlIiwiTGV2ZWxzIl0sWyJZZWFyIixbIjIwMjIiLCIyMDIxIiwiMjAyMCIsIjIwMTkiLCIyMDE4IiwiMjAxNyIsIjIwMTYiLCIyMDE1IiwiMjAxNCIsIjIwMTMiLCIyMDEyIl1dLFsiWWVhckJlZ2luIiwiLTEiXSxbIlllYXJfRW5kIiwiLTEiXV19" w:history="1">
        <w:r w:rsidR="00001AA7" w:rsidRPr="001B4523">
          <w:rPr>
            <w:rStyle w:val="Hyperlink"/>
            <w:rFonts w:ascii="Calibri" w:hAnsi="Calibri" w:cs="Calibri"/>
          </w:rPr>
          <w:t>BEA Interactive Data Application</w:t>
        </w:r>
      </w:hyperlink>
    </w:p>
    <w:p w14:paraId="3C2C45DB" w14:textId="6DBE019A" w:rsidR="0082535A" w:rsidRPr="001B4523" w:rsidRDefault="0082535A" w:rsidP="0082535A">
      <w:pPr>
        <w:numPr>
          <w:ilvl w:val="1"/>
          <w:numId w:val="1"/>
        </w:numPr>
        <w:rPr>
          <w:rFonts w:ascii="Calibri" w:hAnsi="Calibri" w:cs="Calibri"/>
          <w:sz w:val="24"/>
          <w:szCs w:val="24"/>
        </w:rPr>
      </w:pPr>
      <w:r w:rsidRPr="001B4523">
        <w:rPr>
          <w:rFonts w:ascii="Calibri" w:hAnsi="Calibri" w:cs="Calibri"/>
          <w:sz w:val="24"/>
          <w:szCs w:val="24"/>
        </w:rPr>
        <w:t>Cost of Utilities Index</w:t>
      </w:r>
      <w:r w:rsidR="004C0236" w:rsidRPr="001B4523">
        <w:rPr>
          <w:rFonts w:ascii="Calibri" w:hAnsi="Calibri" w:cs="Calibri"/>
          <w:sz w:val="24"/>
          <w:szCs w:val="24"/>
        </w:rPr>
        <w:t xml:space="preserve"> - </w:t>
      </w:r>
      <w:hyperlink r:id="rId7" w:anchor="eyJhcHBpZCI6NzAsInN0ZXBzIjpbMSwyOSwyNSwzMSwyNiwyNywzMF0sImRhdGEiOltbIlRhYmxlSWQiLCIxMDQiXSxbIk1ham9yX0FyZWEiLCI1Il0sWyJTdGF0ZSIsWyI1Il1dLFsiQXJlYSIsWyJYWCJdXSxbIlN0YXRpc3RpYyIsWyI0Il1dLFsiVW5pdF9vZl9tZWFzdXJlIiwiTGV2ZWxzIl0sWyJZZWFyIixbIjIwMjIiLCIyMDIxIiwiMjAyMCIsIjIwMTkiLCIyMDE4IiwiMjAxNyIsIjIwMTYiLCIyMDE1IiwiMjAxNCIsIjIwMTMiLCIyMDEyIl1dLFsiWWVhckJlZ2luIiwiLTEiXSxbIlllYXJfRW5kIiwiLTEiXV19" w:history="1">
        <w:r w:rsidR="004C0236" w:rsidRPr="001B4523">
          <w:rPr>
            <w:rStyle w:val="Hyperlink"/>
            <w:rFonts w:ascii="Calibri" w:hAnsi="Calibri" w:cs="Calibri"/>
          </w:rPr>
          <w:t>BEA Interactive Data Application</w:t>
        </w:r>
      </w:hyperlink>
    </w:p>
    <w:p w14:paraId="0980ACD1" w14:textId="2389978B" w:rsidR="0082535A" w:rsidRPr="001B4523" w:rsidRDefault="0082535A" w:rsidP="0082535A">
      <w:pPr>
        <w:numPr>
          <w:ilvl w:val="1"/>
          <w:numId w:val="1"/>
        </w:numPr>
        <w:rPr>
          <w:rFonts w:ascii="Calibri" w:hAnsi="Calibri" w:cs="Calibri"/>
          <w:sz w:val="24"/>
          <w:szCs w:val="24"/>
        </w:rPr>
      </w:pPr>
      <w:r w:rsidRPr="001B4523">
        <w:rPr>
          <w:rFonts w:ascii="Calibri" w:hAnsi="Calibri" w:cs="Calibri"/>
          <w:sz w:val="24"/>
          <w:szCs w:val="24"/>
        </w:rPr>
        <w:t>Cost of Others Index</w:t>
      </w:r>
      <w:r w:rsidR="005F58E9" w:rsidRPr="001B4523">
        <w:rPr>
          <w:rFonts w:ascii="Calibri" w:hAnsi="Calibri" w:cs="Calibri"/>
          <w:sz w:val="24"/>
          <w:szCs w:val="24"/>
        </w:rPr>
        <w:t xml:space="preserve"> - </w:t>
      </w:r>
      <w:hyperlink r:id="rId8" w:anchor="eyJhcHBpZCI6NzAsInN0ZXBzIjpbMSwyOSwyNSwzMSwyNiwyNywzMF0sImRhdGEiOltbIlRhYmxlSWQiLCIxMDQiXSxbIk1ham9yX0FyZWEiLCI1Il0sWyJTdGF0ZSIsWyI1Il1dLFsiQXJlYSIsWyJYWCJdXSxbIlN0YXRpc3RpYyIsWyI1Il1dLFsiVW5pdF9vZl9tZWFzdXJlIiwiTGV2ZWxzIl0sWyJZZWFyIixbIjIwMjIiLCIyMDIxIiwiMjAyMCIsIjIwMTkiLCIyMDE4IiwiMjAxNyIsIjIwMTYiLCIyMDE1IiwiMjAxNCIsIjIwMTMiLCIyMDEyIl1dLFsiWWVhckJlZ2luIiwiLTEiXSxbIlllYXJfRW5kIiwiLTEiXV19" w:history="1">
        <w:r w:rsidR="00E03FAA" w:rsidRPr="001B4523">
          <w:rPr>
            <w:rStyle w:val="Hyperlink"/>
            <w:rFonts w:ascii="Calibri" w:hAnsi="Calibri" w:cs="Calibri"/>
          </w:rPr>
          <w:t>BEA Interactive Data Application</w:t>
        </w:r>
      </w:hyperlink>
    </w:p>
    <w:p w14:paraId="287281A1" w14:textId="4AE504FD" w:rsidR="0082535A" w:rsidRPr="001B4523" w:rsidRDefault="0082535A" w:rsidP="0082535A">
      <w:pPr>
        <w:numPr>
          <w:ilvl w:val="1"/>
          <w:numId w:val="1"/>
        </w:numPr>
        <w:rPr>
          <w:rFonts w:ascii="Calibri" w:hAnsi="Calibri" w:cs="Calibri"/>
          <w:sz w:val="24"/>
          <w:szCs w:val="24"/>
        </w:rPr>
      </w:pPr>
      <w:r w:rsidRPr="001B4523">
        <w:rPr>
          <w:rFonts w:ascii="Calibri" w:hAnsi="Calibri" w:cs="Calibri"/>
          <w:sz w:val="24"/>
          <w:szCs w:val="24"/>
        </w:rPr>
        <w:t>Cost of Living</w:t>
      </w:r>
      <w:r w:rsidR="00B51F12" w:rsidRPr="001B4523">
        <w:rPr>
          <w:rFonts w:ascii="Calibri" w:hAnsi="Calibri" w:cs="Calibri"/>
          <w:sz w:val="24"/>
          <w:szCs w:val="24"/>
        </w:rPr>
        <w:t>/All Items</w:t>
      </w:r>
      <w:r w:rsidRPr="001B4523">
        <w:rPr>
          <w:rFonts w:ascii="Calibri" w:hAnsi="Calibri" w:cs="Calibri"/>
          <w:sz w:val="24"/>
          <w:szCs w:val="24"/>
        </w:rPr>
        <w:t xml:space="preserve"> Index</w:t>
      </w:r>
      <w:r w:rsidR="00B51F12" w:rsidRPr="001B4523">
        <w:rPr>
          <w:rFonts w:ascii="Calibri" w:hAnsi="Calibri" w:cs="Calibri"/>
          <w:sz w:val="24"/>
          <w:szCs w:val="24"/>
        </w:rPr>
        <w:t xml:space="preserve"> - </w:t>
      </w:r>
      <w:hyperlink r:id="rId9" w:anchor="eyJhcHBpZCI6NzAsInN0ZXBzIjpbMSwyOSwyNSwzMSwyNiwyNywzMF0sImRhdGEiOltbIlRhYmxlSWQiLCIxMDQiXSxbIk1ham9yX0FyZWEiLCI1Il0sWyJTdGF0ZSIsWyI1Il1dLFsiQXJlYSIsWyJYWCJdXSxbIlN0YXRpc3RpYyIsWyIxIl1dLFsiVW5pdF9vZl9tZWFzdXJlIiwiTGV2ZWxzIl0sWyJZZWFyIixbIjIwMjIiLCIyMDIxIiwiMjAyMCIsIjIwMTkiLCIyMDE4IiwiMjAxNyIsIjIwMTYiLCIyMDE1IiwiMjAxNCIsIjIwMTMiLCIyMDEyIl1dLFsiWWVhckJlZ2luIiwiLTEiXSxbIlllYXJfRW5kIiwiLTEiXV19" w:history="1">
        <w:r w:rsidR="005F58E9" w:rsidRPr="001B4523">
          <w:rPr>
            <w:rStyle w:val="Hyperlink"/>
            <w:rFonts w:ascii="Calibri" w:hAnsi="Calibri" w:cs="Calibri"/>
          </w:rPr>
          <w:t>BEA Interactive Data Application</w:t>
        </w:r>
      </w:hyperlink>
    </w:p>
    <w:p w14:paraId="4BE3BDB4" w14:textId="77777777" w:rsidR="0082535A" w:rsidRPr="001B4523" w:rsidRDefault="0082535A" w:rsidP="0082535A">
      <w:pPr>
        <w:numPr>
          <w:ilvl w:val="0"/>
          <w:numId w:val="1"/>
        </w:numPr>
        <w:rPr>
          <w:rFonts w:ascii="Calibri" w:hAnsi="Calibri" w:cs="Calibri"/>
          <w:sz w:val="24"/>
          <w:szCs w:val="24"/>
        </w:rPr>
      </w:pPr>
      <w:r w:rsidRPr="001B4523">
        <w:rPr>
          <w:rFonts w:ascii="Calibri" w:hAnsi="Calibri" w:cs="Calibri"/>
          <w:b/>
          <w:bCs/>
          <w:sz w:val="24"/>
          <w:szCs w:val="24"/>
        </w:rPr>
        <w:t>Integrated Postsecondary Education System (IPEDS):</w:t>
      </w:r>
    </w:p>
    <w:p w14:paraId="7AF16F6A" w14:textId="22FCDC9E" w:rsidR="0082535A" w:rsidRPr="001B4523" w:rsidRDefault="0082535A" w:rsidP="0082535A">
      <w:pPr>
        <w:numPr>
          <w:ilvl w:val="1"/>
          <w:numId w:val="1"/>
        </w:numPr>
        <w:rPr>
          <w:rFonts w:ascii="Calibri" w:hAnsi="Calibri" w:cs="Calibri"/>
          <w:sz w:val="24"/>
          <w:szCs w:val="24"/>
        </w:rPr>
      </w:pPr>
      <w:r w:rsidRPr="001B4523">
        <w:rPr>
          <w:rFonts w:ascii="Calibri" w:hAnsi="Calibri" w:cs="Calibri"/>
          <w:sz w:val="24"/>
          <w:szCs w:val="24"/>
        </w:rPr>
        <w:t xml:space="preserve">Graduate &amp; Undergraduate Tuition </w:t>
      </w:r>
      <w:r w:rsidR="003225FD" w:rsidRPr="001B4523">
        <w:rPr>
          <w:rFonts w:ascii="Calibri" w:hAnsi="Calibri" w:cs="Calibri"/>
          <w:sz w:val="24"/>
          <w:szCs w:val="24"/>
        </w:rPr>
        <w:t>fee</w:t>
      </w:r>
      <w:r w:rsidR="00977AB4" w:rsidRPr="001B4523">
        <w:rPr>
          <w:rFonts w:ascii="Calibri" w:hAnsi="Calibri" w:cs="Calibri"/>
          <w:sz w:val="24"/>
          <w:szCs w:val="24"/>
        </w:rPr>
        <w:t xml:space="preserve"> - </w:t>
      </w:r>
      <w:hyperlink r:id="rId10" w:history="1">
        <w:r w:rsidR="00977AB4" w:rsidRPr="001B4523">
          <w:rPr>
            <w:rStyle w:val="Hyperlink"/>
            <w:rFonts w:ascii="Calibri" w:hAnsi="Calibri" w:cs="Calibri"/>
          </w:rPr>
          <w:t>IPEDS Data Center</w:t>
        </w:r>
      </w:hyperlink>
    </w:p>
    <w:p w14:paraId="1B4C2B39" w14:textId="77777777" w:rsidR="0082535A" w:rsidRPr="001B4523" w:rsidRDefault="0082535A" w:rsidP="0082535A">
      <w:pPr>
        <w:numPr>
          <w:ilvl w:val="0"/>
          <w:numId w:val="1"/>
        </w:numPr>
        <w:rPr>
          <w:rFonts w:ascii="Calibri" w:hAnsi="Calibri" w:cs="Calibri"/>
          <w:sz w:val="24"/>
          <w:szCs w:val="24"/>
        </w:rPr>
      </w:pPr>
      <w:r w:rsidRPr="001B4523">
        <w:rPr>
          <w:rFonts w:ascii="Calibri" w:hAnsi="Calibri" w:cs="Calibri"/>
          <w:b/>
          <w:bCs/>
          <w:sz w:val="24"/>
          <w:szCs w:val="24"/>
        </w:rPr>
        <w:t>US Census Bureau:</w:t>
      </w:r>
    </w:p>
    <w:p w14:paraId="1923C696" w14:textId="08D98288" w:rsidR="0032747D" w:rsidRPr="001B4523" w:rsidRDefault="0082535A" w:rsidP="0032747D">
      <w:pPr>
        <w:numPr>
          <w:ilvl w:val="1"/>
          <w:numId w:val="1"/>
        </w:numPr>
        <w:rPr>
          <w:rFonts w:ascii="Calibri" w:hAnsi="Calibri" w:cs="Calibri"/>
          <w:sz w:val="24"/>
          <w:szCs w:val="24"/>
        </w:rPr>
      </w:pPr>
      <w:r w:rsidRPr="001B4523">
        <w:rPr>
          <w:rFonts w:ascii="Calibri" w:hAnsi="Calibri" w:cs="Calibri"/>
          <w:sz w:val="24"/>
          <w:szCs w:val="24"/>
        </w:rPr>
        <w:t>Median Gross Rent</w:t>
      </w:r>
      <w:r w:rsidR="003225FD" w:rsidRPr="001B4523">
        <w:rPr>
          <w:rFonts w:ascii="Calibri" w:hAnsi="Calibri" w:cs="Calibri"/>
          <w:sz w:val="24"/>
          <w:szCs w:val="24"/>
        </w:rPr>
        <w:t xml:space="preserve"> </w:t>
      </w:r>
      <w:r w:rsidR="00A5245E" w:rsidRPr="001B4523">
        <w:rPr>
          <w:rFonts w:ascii="Calibri" w:hAnsi="Calibri" w:cs="Calibri"/>
          <w:sz w:val="24"/>
          <w:szCs w:val="24"/>
        </w:rPr>
        <w:t xml:space="preserve">- </w:t>
      </w:r>
      <w:hyperlink r:id="rId11" w:history="1">
        <w:r w:rsidR="0032747D" w:rsidRPr="001B4523">
          <w:rPr>
            <w:rStyle w:val="Hyperlink"/>
            <w:rFonts w:ascii="Calibri" w:hAnsi="Calibri" w:cs="Calibri"/>
            <w:sz w:val="24"/>
            <w:szCs w:val="24"/>
          </w:rPr>
          <w:t>data.census.gov-GrossRent</w:t>
        </w:r>
      </w:hyperlink>
    </w:p>
    <w:p w14:paraId="660B78D7" w14:textId="0CC175A8" w:rsidR="0032747D" w:rsidRPr="001B4523" w:rsidRDefault="0082535A" w:rsidP="0032747D">
      <w:pPr>
        <w:numPr>
          <w:ilvl w:val="1"/>
          <w:numId w:val="1"/>
        </w:numPr>
        <w:rPr>
          <w:rFonts w:ascii="Calibri" w:hAnsi="Calibri" w:cs="Calibri"/>
          <w:sz w:val="24"/>
          <w:szCs w:val="24"/>
        </w:rPr>
      </w:pPr>
      <w:r w:rsidRPr="001B4523">
        <w:rPr>
          <w:rFonts w:ascii="Calibri" w:hAnsi="Calibri" w:cs="Calibri"/>
          <w:sz w:val="24"/>
          <w:szCs w:val="24"/>
        </w:rPr>
        <w:t>Median Household Income</w:t>
      </w:r>
      <w:r w:rsidR="00094D83" w:rsidRPr="001B4523">
        <w:rPr>
          <w:rFonts w:ascii="Calibri" w:hAnsi="Calibri" w:cs="Calibri"/>
          <w:sz w:val="24"/>
          <w:szCs w:val="24"/>
        </w:rPr>
        <w:t xml:space="preserve"> - </w:t>
      </w:r>
      <w:hyperlink r:id="rId12" w:history="1">
        <w:r w:rsidR="0032747D" w:rsidRPr="001B4523">
          <w:rPr>
            <w:rStyle w:val="Hyperlink"/>
            <w:rFonts w:ascii="Calibri" w:hAnsi="Calibri" w:cs="Calibri"/>
            <w:sz w:val="24"/>
            <w:szCs w:val="24"/>
          </w:rPr>
          <w:t>data.census.gov-HouseholdIncome</w:t>
        </w:r>
      </w:hyperlink>
    </w:p>
    <w:p w14:paraId="3A5CDEE8" w14:textId="4E09B62D" w:rsidR="0032747D" w:rsidRPr="001B4523" w:rsidRDefault="0082535A" w:rsidP="0032747D">
      <w:pPr>
        <w:numPr>
          <w:ilvl w:val="1"/>
          <w:numId w:val="1"/>
        </w:numPr>
        <w:rPr>
          <w:rFonts w:ascii="Calibri" w:hAnsi="Calibri" w:cs="Calibri"/>
          <w:sz w:val="24"/>
          <w:szCs w:val="24"/>
        </w:rPr>
      </w:pPr>
      <w:r w:rsidRPr="001B4523">
        <w:rPr>
          <w:rFonts w:ascii="Calibri" w:hAnsi="Calibri" w:cs="Calibri"/>
          <w:sz w:val="24"/>
          <w:szCs w:val="24"/>
        </w:rPr>
        <w:t>Health Insurance Coverage Rate</w:t>
      </w:r>
      <w:r w:rsidR="00094D83" w:rsidRPr="001B4523">
        <w:rPr>
          <w:rFonts w:ascii="Calibri" w:hAnsi="Calibri" w:cs="Calibri"/>
          <w:sz w:val="24"/>
          <w:szCs w:val="24"/>
        </w:rPr>
        <w:t xml:space="preserve"> - </w:t>
      </w:r>
      <w:hyperlink r:id="rId13" w:history="1">
        <w:r w:rsidR="0032747D" w:rsidRPr="001B4523">
          <w:rPr>
            <w:rStyle w:val="Hyperlink"/>
            <w:rFonts w:ascii="Calibri" w:hAnsi="Calibri" w:cs="Calibri"/>
            <w:sz w:val="24"/>
            <w:szCs w:val="24"/>
          </w:rPr>
          <w:t>data.census.gov-InsuranceCoverage</w:t>
        </w:r>
      </w:hyperlink>
    </w:p>
    <w:p w14:paraId="183EEAD4" w14:textId="434F0083" w:rsidR="0082535A" w:rsidRPr="001B4523" w:rsidRDefault="0082535A" w:rsidP="0082535A">
      <w:pPr>
        <w:numPr>
          <w:ilvl w:val="0"/>
          <w:numId w:val="1"/>
        </w:numPr>
        <w:rPr>
          <w:rFonts w:ascii="Calibri" w:hAnsi="Calibri" w:cs="Calibri"/>
          <w:sz w:val="24"/>
          <w:szCs w:val="24"/>
        </w:rPr>
      </w:pPr>
      <w:r w:rsidRPr="001B4523">
        <w:rPr>
          <w:rFonts w:ascii="Calibri" w:hAnsi="Calibri" w:cs="Calibri"/>
          <w:b/>
          <w:bCs/>
          <w:sz w:val="24"/>
          <w:szCs w:val="24"/>
        </w:rPr>
        <w:t>Centers for Medicare and Medicaid Services:</w:t>
      </w:r>
    </w:p>
    <w:p w14:paraId="75C56A86" w14:textId="48BF133E" w:rsidR="0032747D" w:rsidRPr="001B4523" w:rsidRDefault="0082535A" w:rsidP="0032747D">
      <w:pPr>
        <w:numPr>
          <w:ilvl w:val="1"/>
          <w:numId w:val="1"/>
        </w:numPr>
        <w:rPr>
          <w:rFonts w:ascii="Calibri" w:hAnsi="Calibri" w:cs="Calibri"/>
          <w:sz w:val="24"/>
          <w:szCs w:val="24"/>
        </w:rPr>
      </w:pPr>
      <w:r w:rsidRPr="001B4523">
        <w:rPr>
          <w:rFonts w:ascii="Calibri" w:hAnsi="Calibri" w:cs="Calibri"/>
          <w:sz w:val="24"/>
          <w:szCs w:val="24"/>
        </w:rPr>
        <w:t>Medicare Geographic Variation Public Use File (Medicare Spending)</w:t>
      </w:r>
      <w:r w:rsidR="00D0617D" w:rsidRPr="001B4523">
        <w:rPr>
          <w:rFonts w:ascii="Calibri" w:hAnsi="Calibri" w:cs="Calibri"/>
          <w:sz w:val="24"/>
          <w:szCs w:val="24"/>
        </w:rPr>
        <w:t xml:space="preserve"> - </w:t>
      </w:r>
      <w:hyperlink r:id="rId14" w:history="1">
        <w:r w:rsidR="0032747D" w:rsidRPr="001B4523">
          <w:rPr>
            <w:rStyle w:val="Hyperlink"/>
            <w:rFonts w:ascii="Calibri" w:hAnsi="Calibri" w:cs="Calibri"/>
            <w:sz w:val="24"/>
            <w:szCs w:val="24"/>
          </w:rPr>
          <w:t>Data.CMS.gov</w:t>
        </w:r>
      </w:hyperlink>
    </w:p>
    <w:p w14:paraId="2A83544E" w14:textId="77777777" w:rsidR="0082535A" w:rsidRPr="001B4523" w:rsidRDefault="0082535A" w:rsidP="0082535A">
      <w:pPr>
        <w:numPr>
          <w:ilvl w:val="0"/>
          <w:numId w:val="1"/>
        </w:numPr>
        <w:rPr>
          <w:rFonts w:ascii="Calibri" w:hAnsi="Calibri" w:cs="Calibri"/>
          <w:sz w:val="24"/>
          <w:szCs w:val="24"/>
        </w:rPr>
      </w:pPr>
      <w:r w:rsidRPr="001B4523">
        <w:rPr>
          <w:rFonts w:ascii="Calibri" w:hAnsi="Calibri" w:cs="Calibri"/>
          <w:b/>
          <w:bCs/>
          <w:sz w:val="24"/>
          <w:szCs w:val="24"/>
        </w:rPr>
        <w:t>Numbeo Data 2023:</w:t>
      </w:r>
    </w:p>
    <w:p w14:paraId="517968C6" w14:textId="5E30B92A" w:rsidR="0032747D" w:rsidRPr="001B4523" w:rsidRDefault="0082535A" w:rsidP="00955C40">
      <w:pPr>
        <w:numPr>
          <w:ilvl w:val="1"/>
          <w:numId w:val="1"/>
        </w:numPr>
        <w:rPr>
          <w:rFonts w:ascii="Calibri" w:hAnsi="Calibri" w:cs="Calibri"/>
          <w:sz w:val="24"/>
          <w:szCs w:val="24"/>
        </w:rPr>
      </w:pPr>
      <w:r w:rsidRPr="001B4523">
        <w:rPr>
          <w:rFonts w:ascii="Calibri" w:hAnsi="Calibri" w:cs="Calibri"/>
          <w:sz w:val="24"/>
          <w:szCs w:val="24"/>
        </w:rPr>
        <w:t>Cost of Commuting</w:t>
      </w:r>
      <w:r w:rsidR="007412EE" w:rsidRPr="001B4523">
        <w:rPr>
          <w:rFonts w:ascii="Calibri" w:hAnsi="Calibri" w:cs="Calibri"/>
          <w:sz w:val="24"/>
          <w:szCs w:val="24"/>
        </w:rPr>
        <w:t xml:space="preserve"> - </w:t>
      </w:r>
      <w:hyperlink r:id="rId15" w:history="1">
        <w:r w:rsidR="0032747D" w:rsidRPr="001B4523">
          <w:rPr>
            <w:rStyle w:val="Hyperlink"/>
            <w:rFonts w:ascii="Calibri" w:hAnsi="Calibri" w:cs="Calibri"/>
            <w:sz w:val="24"/>
            <w:szCs w:val="24"/>
          </w:rPr>
          <w:t>Numbeo-Taxi-Fare</w:t>
        </w:r>
      </w:hyperlink>
      <w:r w:rsidR="0032747D" w:rsidRPr="001B4523">
        <w:rPr>
          <w:rFonts w:ascii="Calibri" w:hAnsi="Calibri" w:cs="Calibri"/>
          <w:sz w:val="24"/>
          <w:szCs w:val="24"/>
        </w:rPr>
        <w:t xml:space="preserve"> &amp; </w:t>
      </w:r>
      <w:hyperlink r:id="rId16" w:history="1">
        <w:r w:rsidR="0032747D" w:rsidRPr="001B4523">
          <w:rPr>
            <w:rStyle w:val="Hyperlink"/>
            <w:rFonts w:ascii="Calibri" w:hAnsi="Calibri" w:cs="Calibri"/>
            <w:sz w:val="24"/>
            <w:szCs w:val="24"/>
          </w:rPr>
          <w:t>Numbeo-gas-prices</w:t>
        </w:r>
      </w:hyperlink>
    </w:p>
    <w:p w14:paraId="3953486C" w14:textId="4D8BD92E" w:rsidR="003F3F61" w:rsidRPr="001B4523" w:rsidRDefault="003F3F61" w:rsidP="003F3F61">
      <w:pPr>
        <w:numPr>
          <w:ilvl w:val="0"/>
          <w:numId w:val="1"/>
        </w:numPr>
        <w:rPr>
          <w:rFonts w:ascii="Calibri" w:hAnsi="Calibri" w:cs="Calibri"/>
          <w:sz w:val="24"/>
          <w:szCs w:val="24"/>
        </w:rPr>
      </w:pPr>
      <w:r w:rsidRPr="001B4523">
        <w:rPr>
          <w:rFonts w:ascii="Calibri" w:hAnsi="Calibri" w:cs="Calibri"/>
          <w:b/>
          <w:bCs/>
          <w:sz w:val="24"/>
          <w:szCs w:val="24"/>
        </w:rPr>
        <w:t>Zillow Research:</w:t>
      </w:r>
    </w:p>
    <w:p w14:paraId="674DE7DC" w14:textId="4D3F0395" w:rsidR="003F3F61" w:rsidRPr="001B4523" w:rsidRDefault="003F3F61" w:rsidP="003F3F61">
      <w:pPr>
        <w:numPr>
          <w:ilvl w:val="1"/>
          <w:numId w:val="1"/>
        </w:numPr>
        <w:rPr>
          <w:rFonts w:ascii="Calibri" w:hAnsi="Calibri" w:cs="Calibri"/>
          <w:sz w:val="24"/>
          <w:szCs w:val="24"/>
        </w:rPr>
      </w:pPr>
      <w:r w:rsidRPr="001B4523">
        <w:rPr>
          <w:rFonts w:ascii="Calibri" w:hAnsi="Calibri" w:cs="Calibri"/>
          <w:sz w:val="24"/>
          <w:szCs w:val="24"/>
        </w:rPr>
        <w:t>Typical Home Value</w:t>
      </w:r>
      <w:r w:rsidR="00581608" w:rsidRPr="001B4523">
        <w:rPr>
          <w:rFonts w:ascii="Calibri" w:hAnsi="Calibri" w:cs="Calibri"/>
          <w:sz w:val="24"/>
          <w:szCs w:val="24"/>
        </w:rPr>
        <w:t xml:space="preserve"> - </w:t>
      </w:r>
      <w:hyperlink r:id="rId17" w:anchor=":~:text=Zillow%20Home%20Value%20Index%20(ZHVI,and%20as%20a%20raw%20measure" w:history="1">
        <w:r w:rsidR="0032747D" w:rsidRPr="001B4523">
          <w:rPr>
            <w:rStyle w:val="Hyperlink"/>
            <w:rFonts w:ascii="Calibri" w:hAnsi="Calibri" w:cs="Calibri"/>
            <w:sz w:val="24"/>
            <w:szCs w:val="24"/>
          </w:rPr>
          <w:t>www.zillow.com-research</w:t>
        </w:r>
      </w:hyperlink>
    </w:p>
    <w:p w14:paraId="4F5BFD2B" w14:textId="77777777" w:rsidR="0032747D" w:rsidRPr="001B4523" w:rsidRDefault="0032747D" w:rsidP="0032747D">
      <w:pPr>
        <w:ind w:left="1080"/>
        <w:rPr>
          <w:rFonts w:ascii="Calibri" w:hAnsi="Calibri" w:cs="Calibri"/>
          <w:sz w:val="24"/>
          <w:szCs w:val="24"/>
        </w:rPr>
      </w:pPr>
    </w:p>
    <w:p w14:paraId="346B6876" w14:textId="77777777" w:rsidR="003F3F61" w:rsidRPr="001B4523" w:rsidRDefault="003F3F61" w:rsidP="003F3F61">
      <w:pPr>
        <w:rPr>
          <w:rFonts w:ascii="Calibri" w:hAnsi="Calibri" w:cs="Calibri"/>
          <w:sz w:val="24"/>
          <w:szCs w:val="24"/>
        </w:rPr>
      </w:pPr>
    </w:p>
    <w:p w14:paraId="3B244B02" w14:textId="77777777" w:rsidR="00CE6C77" w:rsidRPr="001B4523" w:rsidRDefault="00CE6C77" w:rsidP="00CE6C77">
      <w:pPr>
        <w:rPr>
          <w:rFonts w:ascii="Calibri" w:hAnsi="Calibri" w:cs="Calibri"/>
          <w:sz w:val="24"/>
          <w:szCs w:val="24"/>
        </w:rPr>
      </w:pPr>
    </w:p>
    <w:p w14:paraId="18234838" w14:textId="77777777" w:rsidR="007D4784" w:rsidRPr="001B4523" w:rsidRDefault="007D4784" w:rsidP="00CE6C77">
      <w:pPr>
        <w:rPr>
          <w:rFonts w:ascii="Calibri" w:hAnsi="Calibri" w:cs="Calibri"/>
          <w:sz w:val="24"/>
          <w:szCs w:val="24"/>
        </w:rPr>
      </w:pPr>
    </w:p>
    <w:p w14:paraId="4A51F603" w14:textId="77777777" w:rsidR="007D4784" w:rsidRPr="001B4523" w:rsidRDefault="007D4784" w:rsidP="00CE6C77">
      <w:pPr>
        <w:rPr>
          <w:rFonts w:ascii="Calibri" w:hAnsi="Calibri" w:cs="Calibri"/>
          <w:sz w:val="24"/>
          <w:szCs w:val="24"/>
        </w:rPr>
      </w:pPr>
    </w:p>
    <w:p w14:paraId="52309C82" w14:textId="77777777" w:rsidR="007D4784" w:rsidRPr="001B4523" w:rsidRDefault="007D4784" w:rsidP="00CE6C77">
      <w:pPr>
        <w:rPr>
          <w:rFonts w:ascii="Calibri" w:hAnsi="Calibri" w:cs="Calibri"/>
          <w:sz w:val="24"/>
          <w:szCs w:val="24"/>
        </w:rPr>
      </w:pPr>
    </w:p>
    <w:p w14:paraId="1218F6F9" w14:textId="77777777" w:rsidR="007D4784" w:rsidRPr="001B4523" w:rsidRDefault="007D4784" w:rsidP="00CE6C77">
      <w:pPr>
        <w:rPr>
          <w:rFonts w:ascii="Calibri" w:hAnsi="Calibri" w:cs="Calibri"/>
          <w:sz w:val="24"/>
          <w:szCs w:val="24"/>
        </w:rPr>
      </w:pPr>
    </w:p>
    <w:p w14:paraId="766F9155" w14:textId="77777777" w:rsidR="00E334EB" w:rsidRPr="001B4523" w:rsidRDefault="00E334EB" w:rsidP="00CE6C77">
      <w:pPr>
        <w:rPr>
          <w:rFonts w:ascii="Calibri" w:hAnsi="Calibri" w:cs="Calibri"/>
          <w:b/>
          <w:bCs/>
          <w:sz w:val="24"/>
          <w:szCs w:val="24"/>
        </w:rPr>
      </w:pPr>
    </w:p>
    <w:p w14:paraId="7E7AC710" w14:textId="4F5AE50B" w:rsidR="005B6968" w:rsidRPr="001B4523" w:rsidRDefault="005B6968" w:rsidP="00CE6C77">
      <w:pPr>
        <w:rPr>
          <w:rFonts w:ascii="Calibri" w:hAnsi="Calibri" w:cs="Calibri"/>
          <w:b/>
          <w:bCs/>
          <w:sz w:val="28"/>
          <w:szCs w:val="28"/>
        </w:rPr>
      </w:pPr>
      <w:r w:rsidRPr="001B4523">
        <w:rPr>
          <w:rFonts w:ascii="Calibri" w:hAnsi="Calibri" w:cs="Calibri"/>
          <w:b/>
          <w:bCs/>
          <w:sz w:val="28"/>
          <w:szCs w:val="28"/>
        </w:rPr>
        <w:lastRenderedPageBreak/>
        <w:t>Analysis</w:t>
      </w:r>
    </w:p>
    <w:p w14:paraId="05CC93BF" w14:textId="1A3348ED" w:rsidR="00E7269D" w:rsidRPr="001B4523" w:rsidRDefault="00175A68" w:rsidP="00E7269D">
      <w:pPr>
        <w:numPr>
          <w:ilvl w:val="0"/>
          <w:numId w:val="2"/>
        </w:numPr>
        <w:rPr>
          <w:rFonts w:ascii="Calibri" w:hAnsi="Calibri" w:cs="Calibri"/>
          <w:b/>
          <w:bCs/>
          <w:sz w:val="24"/>
          <w:szCs w:val="24"/>
        </w:rPr>
      </w:pPr>
      <w:r w:rsidRPr="001B4523">
        <w:rPr>
          <w:rFonts w:ascii="Calibri" w:hAnsi="Calibri" w:cs="Calibri"/>
          <w:b/>
          <w:bCs/>
          <w:sz w:val="24"/>
          <w:szCs w:val="24"/>
        </w:rPr>
        <w:t>Visualization</w:t>
      </w:r>
      <w:r w:rsidR="000659D6" w:rsidRPr="001B4523">
        <w:rPr>
          <w:rFonts w:ascii="Calibri" w:hAnsi="Calibri" w:cs="Calibri"/>
          <w:b/>
          <w:bCs/>
          <w:sz w:val="24"/>
          <w:szCs w:val="24"/>
        </w:rPr>
        <w:t xml:space="preserve">: </w:t>
      </w:r>
      <w:r w:rsidR="00E7269D" w:rsidRPr="001B4523">
        <w:rPr>
          <w:rFonts w:ascii="Calibri" w:hAnsi="Calibri" w:cs="Calibri"/>
          <w:b/>
          <w:bCs/>
          <w:sz w:val="24"/>
          <w:szCs w:val="24"/>
        </w:rPr>
        <w:t>Cost of Housing Index</w:t>
      </w:r>
    </w:p>
    <w:p w14:paraId="6BE383D5" w14:textId="74C73CE0" w:rsidR="00AB5FE1" w:rsidRPr="001B4523" w:rsidRDefault="00E7269D" w:rsidP="00E7269D">
      <w:pPr>
        <w:rPr>
          <w:rFonts w:ascii="Calibri" w:hAnsi="Calibri" w:cs="Calibri"/>
          <w:sz w:val="24"/>
          <w:szCs w:val="24"/>
        </w:rPr>
      </w:pPr>
      <w:r w:rsidRPr="001B4523">
        <w:rPr>
          <w:rFonts w:ascii="Calibri" w:hAnsi="Calibri" w:cs="Calibri"/>
          <w:sz w:val="24"/>
          <w:szCs w:val="24"/>
        </w:rPr>
        <w:t>This visualization depicts the trend of the Cost of Housing Index from 2012 to 2022 for various MSAs. Each MSA is represented by a trend line, allowing for easy comparison.</w:t>
      </w:r>
      <w:r w:rsidR="00443034" w:rsidRPr="001B4523">
        <w:rPr>
          <w:rFonts w:ascii="Calibri" w:hAnsi="Calibri" w:cs="Calibri"/>
          <w:sz w:val="24"/>
          <w:szCs w:val="24"/>
        </w:rPr>
        <w:t xml:space="preserve"> </w:t>
      </w:r>
      <w:r w:rsidR="008C463E" w:rsidRPr="001B4523">
        <w:rPr>
          <w:rFonts w:ascii="Calibri" w:hAnsi="Calibri" w:cs="Calibri"/>
          <w:sz w:val="24"/>
          <w:szCs w:val="24"/>
        </w:rPr>
        <w:t xml:space="preserve">Additionally, this visualization incorporates an </w:t>
      </w:r>
      <w:r w:rsidR="008C463E" w:rsidRPr="001B4523">
        <w:rPr>
          <w:rFonts w:ascii="Calibri" w:hAnsi="Calibri" w:cs="Calibri"/>
          <w:b/>
          <w:bCs/>
          <w:sz w:val="24"/>
          <w:szCs w:val="24"/>
        </w:rPr>
        <w:t>animation</w:t>
      </w:r>
      <w:r w:rsidR="008C463E" w:rsidRPr="001B4523">
        <w:rPr>
          <w:rFonts w:ascii="Calibri" w:hAnsi="Calibri" w:cs="Calibri"/>
          <w:sz w:val="24"/>
          <w:szCs w:val="24"/>
        </w:rPr>
        <w:t xml:space="preserve"> feature that dynamically illustrates trends from 2012 to 2022, offering a comprehensive view of the changes in Housing Index over the years.</w:t>
      </w:r>
    </w:p>
    <w:p w14:paraId="1EEC6E61" w14:textId="63DB096F" w:rsidR="00794B17" w:rsidRPr="001B4523" w:rsidRDefault="00E7269D" w:rsidP="00E7269D">
      <w:pPr>
        <w:rPr>
          <w:rFonts w:ascii="Calibri" w:hAnsi="Calibri" w:cs="Calibri"/>
          <w:sz w:val="24"/>
          <w:szCs w:val="24"/>
        </w:rPr>
      </w:pPr>
      <w:r w:rsidRPr="001B4523">
        <w:rPr>
          <w:rFonts w:ascii="Calibri" w:hAnsi="Calibri" w:cs="Calibri"/>
          <w:noProof/>
          <w:sz w:val="24"/>
          <w:szCs w:val="24"/>
        </w:rPr>
        <w:drawing>
          <wp:inline distT="0" distB="0" distL="0" distR="0" wp14:anchorId="662D7CFB" wp14:editId="7A20A44A">
            <wp:extent cx="6515100" cy="3477260"/>
            <wp:effectExtent l="0" t="0" r="0" b="0"/>
            <wp:docPr id="93079592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95925" name="Picture 1" descr="A graph of different colored lines&#10;&#10;Description automatically generated"/>
                    <pic:cNvPicPr/>
                  </pic:nvPicPr>
                  <pic:blipFill>
                    <a:blip r:embed="rId18"/>
                    <a:stretch>
                      <a:fillRect/>
                    </a:stretch>
                  </pic:blipFill>
                  <pic:spPr>
                    <a:xfrm>
                      <a:off x="0" y="0"/>
                      <a:ext cx="6515100" cy="3477260"/>
                    </a:xfrm>
                    <a:prstGeom prst="rect">
                      <a:avLst/>
                    </a:prstGeom>
                  </pic:spPr>
                </pic:pic>
              </a:graphicData>
            </a:graphic>
          </wp:inline>
        </w:drawing>
      </w:r>
    </w:p>
    <w:p w14:paraId="028B3C97" w14:textId="77777777" w:rsidR="00702C55" w:rsidRPr="001B4523" w:rsidRDefault="00E7269D" w:rsidP="00794B17">
      <w:pPr>
        <w:rPr>
          <w:rFonts w:ascii="Calibri" w:hAnsi="Calibri" w:cs="Calibri"/>
          <w:sz w:val="24"/>
          <w:szCs w:val="24"/>
          <w:u w:val="single"/>
        </w:rPr>
      </w:pPr>
      <w:r w:rsidRPr="001B4523">
        <w:rPr>
          <w:rFonts w:ascii="Calibri" w:hAnsi="Calibri" w:cs="Calibri"/>
          <w:sz w:val="24"/>
          <w:szCs w:val="24"/>
          <w:u w:val="single"/>
        </w:rPr>
        <w:t>Insights</w:t>
      </w:r>
    </w:p>
    <w:p w14:paraId="7031876D" w14:textId="77777777" w:rsidR="00AB1192" w:rsidRPr="001B4523" w:rsidRDefault="00AB1192" w:rsidP="00AB1192">
      <w:pPr>
        <w:rPr>
          <w:rFonts w:ascii="Calibri" w:hAnsi="Calibri" w:cs="Calibri"/>
          <w:sz w:val="24"/>
          <w:szCs w:val="24"/>
        </w:rPr>
      </w:pPr>
      <w:r w:rsidRPr="001B4523">
        <w:rPr>
          <w:rFonts w:ascii="Calibri" w:hAnsi="Calibri" w:cs="Calibri"/>
          <w:sz w:val="24"/>
          <w:szCs w:val="24"/>
        </w:rPr>
        <w:t>The visualization showcases a general upward trend in the Cost of Housing Index across most MSAs from 2012 to 2022, indicating a consistent increase in housing costs over the years.</w:t>
      </w:r>
    </w:p>
    <w:p w14:paraId="37255749" w14:textId="77777777" w:rsidR="00AB1192" w:rsidRPr="001B4523" w:rsidRDefault="00AB1192" w:rsidP="00AB1192">
      <w:pPr>
        <w:rPr>
          <w:rFonts w:ascii="Calibri" w:hAnsi="Calibri" w:cs="Calibri"/>
          <w:sz w:val="24"/>
          <w:szCs w:val="24"/>
        </w:rPr>
      </w:pPr>
      <w:r w:rsidRPr="001B4523">
        <w:rPr>
          <w:rFonts w:ascii="Calibri" w:hAnsi="Calibri" w:cs="Calibri"/>
          <w:sz w:val="24"/>
          <w:szCs w:val="24"/>
        </w:rPr>
        <w:t>Specifically, the Tampa-St. Petersburg-Clearwater, FL area demonstrates fluctuations in the Cost of Housing Index but maintains an overall increasing trend, highlighting the region's evolving housing market dynamics.</w:t>
      </w:r>
    </w:p>
    <w:p w14:paraId="2E925A92" w14:textId="77777777" w:rsidR="00AB1192" w:rsidRPr="001B4523" w:rsidRDefault="00AB1192" w:rsidP="00AB1192">
      <w:pPr>
        <w:rPr>
          <w:rFonts w:ascii="Calibri" w:hAnsi="Calibri" w:cs="Calibri"/>
          <w:sz w:val="24"/>
          <w:szCs w:val="24"/>
        </w:rPr>
      </w:pPr>
      <w:r w:rsidRPr="001B4523">
        <w:rPr>
          <w:rFonts w:ascii="Calibri" w:hAnsi="Calibri" w:cs="Calibri"/>
          <w:sz w:val="24"/>
          <w:szCs w:val="24"/>
        </w:rPr>
        <w:t>Among the MSAs compared, San Diego stands out with the highest Cost of Housing Index value, indicating relatively higher housing costs compared to other regions.</w:t>
      </w:r>
    </w:p>
    <w:p w14:paraId="3FA95EB8" w14:textId="77777777" w:rsidR="00AB1192" w:rsidRPr="001B4523" w:rsidRDefault="00AB1192" w:rsidP="00AB1192">
      <w:pPr>
        <w:rPr>
          <w:rFonts w:ascii="Calibri" w:hAnsi="Calibri" w:cs="Calibri"/>
          <w:sz w:val="24"/>
          <w:szCs w:val="24"/>
        </w:rPr>
      </w:pPr>
      <w:r w:rsidRPr="001B4523">
        <w:rPr>
          <w:rFonts w:ascii="Calibri" w:hAnsi="Calibri" w:cs="Calibri"/>
          <w:sz w:val="24"/>
          <w:szCs w:val="24"/>
        </w:rPr>
        <w:t>Seattle follows with the second-highest Cost of Housing Index among the selected MSAs, underscoring the significant housing affordability challenges in these areas.</w:t>
      </w:r>
    </w:p>
    <w:p w14:paraId="07F0FA75" w14:textId="5620917F" w:rsidR="00794B17" w:rsidRPr="001B4523" w:rsidRDefault="00AB1192" w:rsidP="0082535A">
      <w:pPr>
        <w:rPr>
          <w:rFonts w:ascii="Calibri" w:hAnsi="Calibri" w:cs="Calibri"/>
          <w:sz w:val="24"/>
          <w:szCs w:val="24"/>
        </w:rPr>
      </w:pPr>
      <w:r w:rsidRPr="001B4523">
        <w:rPr>
          <w:rFonts w:ascii="Calibri" w:hAnsi="Calibri" w:cs="Calibri"/>
          <w:sz w:val="24"/>
          <w:szCs w:val="24"/>
        </w:rPr>
        <w:t>The visualization's animated feature allows for a dynamic representation of the trends, facilitating a nuanced understanding of how housing costs have evolved over the past decade in various regions.</w:t>
      </w:r>
    </w:p>
    <w:p w14:paraId="2ED1753C" w14:textId="26B8CA3D" w:rsidR="00C442FD" w:rsidRPr="001B4523" w:rsidRDefault="00175A68" w:rsidP="00C442FD">
      <w:pPr>
        <w:numPr>
          <w:ilvl w:val="0"/>
          <w:numId w:val="2"/>
        </w:numPr>
        <w:rPr>
          <w:rFonts w:ascii="Calibri" w:hAnsi="Calibri" w:cs="Calibri"/>
          <w:sz w:val="24"/>
          <w:szCs w:val="24"/>
        </w:rPr>
      </w:pPr>
      <w:r w:rsidRPr="001B4523">
        <w:rPr>
          <w:rFonts w:ascii="Calibri" w:hAnsi="Calibri" w:cs="Calibri"/>
          <w:b/>
          <w:bCs/>
          <w:sz w:val="24"/>
          <w:szCs w:val="24"/>
        </w:rPr>
        <w:lastRenderedPageBreak/>
        <w:t>Visualization</w:t>
      </w:r>
      <w:r w:rsidR="000659D6" w:rsidRPr="001B4523">
        <w:rPr>
          <w:rFonts w:ascii="Calibri" w:hAnsi="Calibri" w:cs="Calibri"/>
          <w:b/>
          <w:bCs/>
          <w:sz w:val="24"/>
          <w:szCs w:val="24"/>
        </w:rPr>
        <w:t>:</w:t>
      </w:r>
      <w:r w:rsidRPr="001B4523">
        <w:rPr>
          <w:rFonts w:ascii="Calibri" w:hAnsi="Calibri" w:cs="Calibri"/>
          <w:b/>
          <w:bCs/>
          <w:sz w:val="24"/>
          <w:szCs w:val="24"/>
        </w:rPr>
        <w:t xml:space="preserve"> </w:t>
      </w:r>
      <w:r w:rsidR="00C442FD" w:rsidRPr="001B4523">
        <w:rPr>
          <w:rFonts w:ascii="Calibri" w:hAnsi="Calibri" w:cs="Calibri"/>
          <w:b/>
          <w:bCs/>
          <w:sz w:val="24"/>
          <w:szCs w:val="24"/>
        </w:rPr>
        <w:t>Medicare Spending Data for MSA and Counties</w:t>
      </w:r>
    </w:p>
    <w:p w14:paraId="348B47DA" w14:textId="348F9228" w:rsidR="00C442FD" w:rsidRPr="001B4523" w:rsidRDefault="00C442FD" w:rsidP="00794B17">
      <w:pPr>
        <w:rPr>
          <w:rFonts w:ascii="Calibri" w:hAnsi="Calibri" w:cs="Calibri"/>
          <w:sz w:val="24"/>
          <w:szCs w:val="24"/>
        </w:rPr>
      </w:pPr>
      <w:r w:rsidRPr="001B4523">
        <w:rPr>
          <w:rFonts w:ascii="Calibri" w:hAnsi="Calibri" w:cs="Calibri"/>
          <w:sz w:val="24"/>
          <w:szCs w:val="24"/>
        </w:rPr>
        <w:t>This visualization presents Medicare spending data for MSAs and respective counties using a clustered bar graph.</w:t>
      </w:r>
      <w:r w:rsidR="00872415" w:rsidRPr="001B4523">
        <w:rPr>
          <w:rFonts w:ascii="Calibri" w:hAnsi="Calibri" w:cs="Calibri"/>
          <w:sz w:val="24"/>
          <w:szCs w:val="24"/>
        </w:rPr>
        <w:t xml:space="preserve"> </w:t>
      </w:r>
      <w:r w:rsidR="00D24751" w:rsidRPr="001B4523">
        <w:rPr>
          <w:rFonts w:ascii="Calibri" w:hAnsi="Calibri" w:cs="Calibri"/>
          <w:sz w:val="24"/>
          <w:szCs w:val="24"/>
        </w:rPr>
        <w:t xml:space="preserve">I've implemented a </w:t>
      </w:r>
      <w:r w:rsidR="00D24751" w:rsidRPr="001B4523">
        <w:rPr>
          <w:rFonts w:ascii="Calibri" w:hAnsi="Calibri" w:cs="Calibri"/>
          <w:b/>
          <w:bCs/>
          <w:sz w:val="24"/>
          <w:szCs w:val="24"/>
        </w:rPr>
        <w:t>drill-down</w:t>
      </w:r>
      <w:r w:rsidR="00D24751" w:rsidRPr="001B4523">
        <w:rPr>
          <w:rFonts w:ascii="Calibri" w:hAnsi="Calibri" w:cs="Calibri"/>
          <w:sz w:val="24"/>
          <w:szCs w:val="24"/>
        </w:rPr>
        <w:t xml:space="preserve"> feature where </w:t>
      </w:r>
      <w:r w:rsidR="000659D6" w:rsidRPr="001B4523">
        <w:rPr>
          <w:rFonts w:ascii="Calibri" w:hAnsi="Calibri" w:cs="Calibri"/>
          <w:sz w:val="24"/>
          <w:szCs w:val="24"/>
        </w:rPr>
        <w:t>initially;</w:t>
      </w:r>
      <w:r w:rsidR="00D24751" w:rsidRPr="001B4523">
        <w:rPr>
          <w:rFonts w:ascii="Calibri" w:hAnsi="Calibri" w:cs="Calibri"/>
          <w:sz w:val="24"/>
          <w:szCs w:val="24"/>
        </w:rPr>
        <w:t xml:space="preserve"> it displays Medicare spending data for each Metropolitan Statistical Area (MSA). Upon drilling down, the visualization provides a more detailed breakdown, showing Medicare spending for each county within the selected MSA.</w:t>
      </w:r>
    </w:p>
    <w:p w14:paraId="28AD4D1A" w14:textId="77777777" w:rsidR="00DD1527" w:rsidRPr="001B4523" w:rsidRDefault="00DD1527" w:rsidP="00DD1527">
      <w:pPr>
        <w:rPr>
          <w:rFonts w:ascii="Calibri" w:hAnsi="Calibri" w:cs="Calibri"/>
          <w:sz w:val="24"/>
          <w:szCs w:val="24"/>
        </w:rPr>
      </w:pPr>
    </w:p>
    <w:p w14:paraId="3F49B306" w14:textId="78309B50" w:rsidR="00DD1527" w:rsidRPr="001B4523" w:rsidRDefault="005A5AA7" w:rsidP="00DD1527">
      <w:pPr>
        <w:rPr>
          <w:rFonts w:ascii="Calibri" w:hAnsi="Calibri" w:cs="Calibri"/>
          <w:sz w:val="24"/>
          <w:szCs w:val="24"/>
        </w:rPr>
      </w:pPr>
      <w:r w:rsidRPr="001B4523">
        <w:rPr>
          <w:rFonts w:ascii="Calibri" w:hAnsi="Calibri" w:cs="Calibri"/>
          <w:noProof/>
          <w:sz w:val="24"/>
          <w:szCs w:val="24"/>
        </w:rPr>
        <w:drawing>
          <wp:inline distT="0" distB="0" distL="0" distR="0" wp14:anchorId="7BC34C69" wp14:editId="121D2D58">
            <wp:extent cx="6515100" cy="3805555"/>
            <wp:effectExtent l="0" t="0" r="0" b="0"/>
            <wp:docPr id="64599027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90272" name="Picture 1" descr="A screen shot of a graph&#10;&#10;Description automatically generated"/>
                    <pic:cNvPicPr/>
                  </pic:nvPicPr>
                  <pic:blipFill>
                    <a:blip r:embed="rId19"/>
                    <a:stretch>
                      <a:fillRect/>
                    </a:stretch>
                  </pic:blipFill>
                  <pic:spPr>
                    <a:xfrm>
                      <a:off x="0" y="0"/>
                      <a:ext cx="6515100" cy="3805555"/>
                    </a:xfrm>
                    <a:prstGeom prst="rect">
                      <a:avLst/>
                    </a:prstGeom>
                  </pic:spPr>
                </pic:pic>
              </a:graphicData>
            </a:graphic>
          </wp:inline>
        </w:drawing>
      </w:r>
    </w:p>
    <w:p w14:paraId="29D00F2E" w14:textId="77777777" w:rsidR="007B027D" w:rsidRPr="001B4523" w:rsidRDefault="007B027D" w:rsidP="00DD1527">
      <w:pPr>
        <w:rPr>
          <w:rFonts w:ascii="Calibri" w:hAnsi="Calibri" w:cs="Calibri"/>
          <w:sz w:val="24"/>
          <w:szCs w:val="24"/>
        </w:rPr>
      </w:pPr>
    </w:p>
    <w:p w14:paraId="7EAAC2D7" w14:textId="77777777" w:rsidR="00702C55" w:rsidRPr="001B4523" w:rsidRDefault="00C442FD" w:rsidP="00F15DAA">
      <w:pPr>
        <w:rPr>
          <w:rFonts w:ascii="Calibri" w:hAnsi="Calibri" w:cs="Calibri"/>
          <w:sz w:val="24"/>
          <w:szCs w:val="24"/>
          <w:u w:val="single"/>
        </w:rPr>
      </w:pPr>
      <w:r w:rsidRPr="001B4523">
        <w:rPr>
          <w:rFonts w:ascii="Calibri" w:hAnsi="Calibri" w:cs="Calibri"/>
          <w:sz w:val="24"/>
          <w:szCs w:val="24"/>
          <w:u w:val="single"/>
        </w:rPr>
        <w:t>Insights</w:t>
      </w:r>
    </w:p>
    <w:p w14:paraId="1B66DC1E" w14:textId="77777777" w:rsidR="004A37E7" w:rsidRPr="001B4523" w:rsidRDefault="004A37E7" w:rsidP="004A37E7">
      <w:pPr>
        <w:rPr>
          <w:rFonts w:ascii="Calibri" w:hAnsi="Calibri" w:cs="Calibri"/>
          <w:sz w:val="24"/>
          <w:szCs w:val="24"/>
        </w:rPr>
      </w:pPr>
      <w:r w:rsidRPr="001B4523">
        <w:rPr>
          <w:rFonts w:ascii="Calibri" w:hAnsi="Calibri" w:cs="Calibri"/>
          <w:sz w:val="24"/>
          <w:szCs w:val="24"/>
        </w:rPr>
        <w:t>The breakdown of Medicare spending in 2022 reveals significant allocation across various counties within the Tampa-St. Petersburg-Clearwater, FL area, with notable spending observed in Hillsborough and Pinellas counties, indicating diverse healthcare utilization patterns within the region.</w:t>
      </w:r>
    </w:p>
    <w:p w14:paraId="54173C32" w14:textId="77777777" w:rsidR="004A37E7" w:rsidRPr="001B4523" w:rsidRDefault="004A37E7" w:rsidP="004A37E7">
      <w:pPr>
        <w:rPr>
          <w:rFonts w:ascii="Calibri" w:hAnsi="Calibri" w:cs="Calibri"/>
          <w:sz w:val="24"/>
          <w:szCs w:val="24"/>
        </w:rPr>
      </w:pPr>
      <w:r w:rsidRPr="001B4523">
        <w:rPr>
          <w:rFonts w:ascii="Calibri" w:hAnsi="Calibri" w:cs="Calibri"/>
          <w:sz w:val="24"/>
          <w:szCs w:val="24"/>
        </w:rPr>
        <w:t>Miami-Dade County emerges as a standout with the highest Medicare spending among all counties, underscoring the substantial healthcare expenditure and potential healthcare needs of its residents.</w:t>
      </w:r>
    </w:p>
    <w:p w14:paraId="2886C206" w14:textId="1A6D2714" w:rsidR="00702C55" w:rsidRPr="001B4523" w:rsidRDefault="004A37E7" w:rsidP="004A37E7">
      <w:pPr>
        <w:rPr>
          <w:rFonts w:ascii="Calibri" w:hAnsi="Calibri" w:cs="Calibri"/>
          <w:sz w:val="24"/>
          <w:szCs w:val="24"/>
        </w:rPr>
      </w:pPr>
      <w:r w:rsidRPr="001B4523">
        <w:rPr>
          <w:rFonts w:ascii="Calibri" w:hAnsi="Calibri" w:cs="Calibri"/>
          <w:sz w:val="24"/>
          <w:szCs w:val="24"/>
        </w:rPr>
        <w:t>Furthermore, the Miami-Fort Lauderdale-Pompano Beach, FL Metropolitan Statistical Area (MSA) leads in Medicare spending among all MSAs, reflecting the region's overall healthcare demand and resource utilization.</w:t>
      </w:r>
    </w:p>
    <w:p w14:paraId="5DDCF413" w14:textId="77777777" w:rsidR="00794B17" w:rsidRPr="001B4523" w:rsidRDefault="00794B17" w:rsidP="00794B17">
      <w:pPr>
        <w:rPr>
          <w:rFonts w:ascii="Calibri" w:hAnsi="Calibri" w:cs="Calibri"/>
          <w:sz w:val="24"/>
          <w:szCs w:val="24"/>
        </w:rPr>
      </w:pPr>
    </w:p>
    <w:p w14:paraId="0A924DAA" w14:textId="0EB6F5BD" w:rsidR="00F747AA" w:rsidRPr="001B4523" w:rsidRDefault="00175A68" w:rsidP="00F747AA">
      <w:pPr>
        <w:numPr>
          <w:ilvl w:val="0"/>
          <w:numId w:val="2"/>
        </w:numPr>
        <w:rPr>
          <w:rFonts w:ascii="Calibri" w:hAnsi="Calibri" w:cs="Calibri"/>
          <w:sz w:val="24"/>
          <w:szCs w:val="24"/>
        </w:rPr>
      </w:pPr>
      <w:r w:rsidRPr="001B4523">
        <w:rPr>
          <w:rFonts w:ascii="Calibri" w:hAnsi="Calibri" w:cs="Calibri"/>
          <w:b/>
          <w:bCs/>
          <w:sz w:val="24"/>
          <w:szCs w:val="24"/>
        </w:rPr>
        <w:lastRenderedPageBreak/>
        <w:t>Visualization</w:t>
      </w:r>
      <w:r w:rsidR="000659D6" w:rsidRPr="001B4523">
        <w:rPr>
          <w:rFonts w:ascii="Calibri" w:hAnsi="Calibri" w:cs="Calibri"/>
          <w:b/>
          <w:bCs/>
          <w:sz w:val="24"/>
          <w:szCs w:val="24"/>
        </w:rPr>
        <w:t>:</w:t>
      </w:r>
      <w:r w:rsidRPr="001B4523">
        <w:rPr>
          <w:rFonts w:ascii="Calibri" w:hAnsi="Calibri" w:cs="Calibri"/>
          <w:b/>
          <w:bCs/>
          <w:sz w:val="24"/>
          <w:szCs w:val="24"/>
        </w:rPr>
        <w:t xml:space="preserve"> </w:t>
      </w:r>
      <w:r w:rsidR="00E8302C" w:rsidRPr="001B4523">
        <w:rPr>
          <w:rFonts w:ascii="Calibri" w:hAnsi="Calibri" w:cs="Calibri"/>
          <w:b/>
          <w:bCs/>
          <w:sz w:val="24"/>
          <w:szCs w:val="24"/>
        </w:rPr>
        <w:t xml:space="preserve">Cost of living Index Competitive Position Trend  </w:t>
      </w:r>
    </w:p>
    <w:p w14:paraId="3EFE95AD" w14:textId="52518C3C" w:rsidR="007B027D" w:rsidRPr="001B4523" w:rsidRDefault="000446AA" w:rsidP="00794B17">
      <w:pPr>
        <w:rPr>
          <w:rFonts w:ascii="Calibri" w:hAnsi="Calibri" w:cs="Calibri"/>
          <w:sz w:val="24"/>
          <w:szCs w:val="24"/>
        </w:rPr>
      </w:pPr>
      <w:r w:rsidRPr="001B4523">
        <w:rPr>
          <w:rFonts w:ascii="Calibri" w:hAnsi="Calibri" w:cs="Calibri"/>
          <w:sz w:val="24"/>
          <w:szCs w:val="24"/>
        </w:rPr>
        <w:t xml:space="preserve">An </w:t>
      </w:r>
      <w:r w:rsidRPr="001B4523">
        <w:rPr>
          <w:rFonts w:ascii="Calibri" w:hAnsi="Calibri" w:cs="Calibri"/>
          <w:b/>
          <w:bCs/>
          <w:sz w:val="24"/>
          <w:szCs w:val="24"/>
        </w:rPr>
        <w:t>animated line graph</w:t>
      </w:r>
      <w:r w:rsidRPr="001B4523">
        <w:rPr>
          <w:rFonts w:ascii="Calibri" w:hAnsi="Calibri" w:cs="Calibri"/>
          <w:sz w:val="24"/>
          <w:szCs w:val="24"/>
        </w:rPr>
        <w:t xml:space="preserve"> is utilized to illustrate the trend in the Cost-of-Living Index rankings for each Metropolitan Statistical Area (MSA) from 2012 to 2022. In this visualization, MSAs with higher rankings, indicating a higher Cost of Living Index, are represented with a larger position on the graph, while those with lower rankings are depicted with a smaller position. The animation feature dynamically showcases the fluctuation in rankings over the specified period, providing a clear understanding of how the competitiveness of the </w:t>
      </w:r>
      <w:r w:rsidR="003E2401" w:rsidRPr="001B4523">
        <w:rPr>
          <w:rFonts w:ascii="Calibri" w:hAnsi="Calibri" w:cs="Calibri"/>
          <w:sz w:val="24"/>
          <w:szCs w:val="24"/>
        </w:rPr>
        <w:t>cost-of-living</w:t>
      </w:r>
      <w:r w:rsidRPr="001B4523">
        <w:rPr>
          <w:rFonts w:ascii="Calibri" w:hAnsi="Calibri" w:cs="Calibri"/>
          <w:sz w:val="24"/>
          <w:szCs w:val="24"/>
        </w:rPr>
        <w:t xml:space="preserve"> changes across different MSAs throughout the years.</w:t>
      </w:r>
    </w:p>
    <w:p w14:paraId="04644F02" w14:textId="2A70445B" w:rsidR="00D27020" w:rsidRPr="001B4523" w:rsidRDefault="00625C2A" w:rsidP="00D27020">
      <w:pPr>
        <w:rPr>
          <w:rFonts w:ascii="Calibri" w:hAnsi="Calibri" w:cs="Calibri"/>
          <w:sz w:val="24"/>
          <w:szCs w:val="24"/>
        </w:rPr>
      </w:pPr>
      <w:r w:rsidRPr="001B4523">
        <w:rPr>
          <w:rFonts w:ascii="Calibri" w:hAnsi="Calibri" w:cs="Calibri"/>
          <w:noProof/>
          <w:sz w:val="24"/>
          <w:szCs w:val="24"/>
        </w:rPr>
        <w:drawing>
          <wp:inline distT="0" distB="0" distL="0" distR="0" wp14:anchorId="2FFB152D" wp14:editId="685C7DF1">
            <wp:extent cx="6515100" cy="3526790"/>
            <wp:effectExtent l="0" t="0" r="0" b="0"/>
            <wp:docPr id="2078440436" name="Picture 1" descr="A graph of lines with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40436" name="Picture 1" descr="A graph of lines with different colors&#10;&#10;Description automatically generated with medium confidence"/>
                    <pic:cNvPicPr/>
                  </pic:nvPicPr>
                  <pic:blipFill>
                    <a:blip r:embed="rId20"/>
                    <a:stretch>
                      <a:fillRect/>
                    </a:stretch>
                  </pic:blipFill>
                  <pic:spPr>
                    <a:xfrm>
                      <a:off x="0" y="0"/>
                      <a:ext cx="6515100" cy="3526790"/>
                    </a:xfrm>
                    <a:prstGeom prst="rect">
                      <a:avLst/>
                    </a:prstGeom>
                  </pic:spPr>
                </pic:pic>
              </a:graphicData>
            </a:graphic>
          </wp:inline>
        </w:drawing>
      </w:r>
    </w:p>
    <w:p w14:paraId="2774B452" w14:textId="77777777" w:rsidR="00794B17" w:rsidRPr="001B4523" w:rsidRDefault="00794B17" w:rsidP="00794B17">
      <w:pPr>
        <w:rPr>
          <w:rFonts w:ascii="Calibri" w:hAnsi="Calibri" w:cs="Calibri"/>
          <w:sz w:val="24"/>
          <w:szCs w:val="24"/>
        </w:rPr>
      </w:pPr>
    </w:p>
    <w:p w14:paraId="50F1418D" w14:textId="77777777" w:rsidR="00702C55" w:rsidRPr="001B4523" w:rsidRDefault="00F747AA" w:rsidP="00794B17">
      <w:pPr>
        <w:rPr>
          <w:rFonts w:ascii="Calibri" w:hAnsi="Calibri" w:cs="Calibri"/>
          <w:sz w:val="24"/>
          <w:szCs w:val="24"/>
          <w:u w:val="single"/>
        </w:rPr>
      </w:pPr>
      <w:r w:rsidRPr="001B4523">
        <w:rPr>
          <w:rFonts w:ascii="Calibri" w:hAnsi="Calibri" w:cs="Calibri"/>
          <w:sz w:val="24"/>
          <w:szCs w:val="24"/>
          <w:u w:val="single"/>
        </w:rPr>
        <w:t>Insights</w:t>
      </w:r>
    </w:p>
    <w:p w14:paraId="6D442E7B" w14:textId="77777777" w:rsidR="0019318A" w:rsidRPr="001B4523" w:rsidRDefault="0019318A" w:rsidP="0019318A">
      <w:pPr>
        <w:rPr>
          <w:rFonts w:ascii="Calibri" w:hAnsi="Calibri" w:cs="Calibri"/>
          <w:sz w:val="24"/>
          <w:szCs w:val="24"/>
        </w:rPr>
      </w:pPr>
      <w:r w:rsidRPr="001B4523">
        <w:rPr>
          <w:rFonts w:ascii="Calibri" w:hAnsi="Calibri" w:cs="Calibri"/>
          <w:sz w:val="24"/>
          <w:szCs w:val="24"/>
        </w:rPr>
        <w:t>In 2022, the Cost-of-Living Index rankings varied significantly across different Metropolitan Statistical Areas (MSAs), reflecting diverse affordability dynamics and economic conditions.</w:t>
      </w:r>
    </w:p>
    <w:p w14:paraId="6BB80DA8" w14:textId="7D8061EE" w:rsidR="0019318A" w:rsidRPr="001B4523" w:rsidRDefault="0019318A" w:rsidP="0019318A">
      <w:pPr>
        <w:rPr>
          <w:rFonts w:ascii="Calibri" w:hAnsi="Calibri" w:cs="Calibri"/>
          <w:sz w:val="24"/>
          <w:szCs w:val="24"/>
        </w:rPr>
      </w:pPr>
      <w:r w:rsidRPr="001B4523">
        <w:rPr>
          <w:rFonts w:ascii="Calibri" w:hAnsi="Calibri" w:cs="Calibri"/>
          <w:sz w:val="24"/>
          <w:szCs w:val="24"/>
        </w:rPr>
        <w:t xml:space="preserve">Seattle, despite being a renowned tech hub, found itself at a relatively lower position with a rank of 19 in the </w:t>
      </w:r>
      <w:r w:rsidR="003E2401" w:rsidRPr="001B4523">
        <w:rPr>
          <w:rFonts w:ascii="Calibri" w:hAnsi="Calibri" w:cs="Calibri"/>
          <w:sz w:val="24"/>
          <w:szCs w:val="24"/>
        </w:rPr>
        <w:t>Cost-of-Living</w:t>
      </w:r>
      <w:r w:rsidRPr="001B4523">
        <w:rPr>
          <w:rFonts w:ascii="Calibri" w:hAnsi="Calibri" w:cs="Calibri"/>
          <w:sz w:val="24"/>
          <w:szCs w:val="24"/>
        </w:rPr>
        <w:t xml:space="preserve"> Index</w:t>
      </w:r>
      <w:r w:rsidR="00E908DB" w:rsidRPr="001B4523">
        <w:rPr>
          <w:rFonts w:ascii="Calibri" w:hAnsi="Calibri" w:cs="Calibri"/>
          <w:sz w:val="24"/>
          <w:szCs w:val="24"/>
        </w:rPr>
        <w:t>.</w:t>
      </w:r>
    </w:p>
    <w:p w14:paraId="0EF0D24E" w14:textId="77777777" w:rsidR="0019318A" w:rsidRPr="001B4523" w:rsidRDefault="0019318A" w:rsidP="0019318A">
      <w:pPr>
        <w:rPr>
          <w:rFonts w:ascii="Calibri" w:hAnsi="Calibri" w:cs="Calibri"/>
          <w:sz w:val="24"/>
          <w:szCs w:val="24"/>
        </w:rPr>
      </w:pPr>
      <w:r w:rsidRPr="001B4523">
        <w:rPr>
          <w:rFonts w:ascii="Calibri" w:hAnsi="Calibri" w:cs="Calibri"/>
          <w:sz w:val="24"/>
          <w:szCs w:val="24"/>
        </w:rPr>
        <w:t>Similarly, San Diego also ranked relatively lower with a position of 20, suggesting a relatively moderate cost of living compared to other regions.</w:t>
      </w:r>
    </w:p>
    <w:p w14:paraId="47C0BFF2" w14:textId="77777777" w:rsidR="0019318A" w:rsidRPr="001B4523" w:rsidRDefault="0019318A" w:rsidP="0019318A">
      <w:pPr>
        <w:rPr>
          <w:rFonts w:ascii="Calibri" w:hAnsi="Calibri" w:cs="Calibri"/>
          <w:sz w:val="24"/>
          <w:szCs w:val="24"/>
        </w:rPr>
      </w:pPr>
      <w:r w:rsidRPr="001B4523">
        <w:rPr>
          <w:rFonts w:ascii="Calibri" w:hAnsi="Calibri" w:cs="Calibri"/>
          <w:sz w:val="24"/>
          <w:szCs w:val="24"/>
        </w:rPr>
        <w:t>On the contrary, San Antonio secured the top position with a rank of 1, signifying the highest cost of living among the MSAs analyzed, possibly influenced by factors such as housing prices, utility costs, and other essential expenses.</w:t>
      </w:r>
    </w:p>
    <w:p w14:paraId="489076F0" w14:textId="77777777" w:rsidR="0019318A" w:rsidRPr="001B4523" w:rsidRDefault="0019318A" w:rsidP="0019318A">
      <w:pPr>
        <w:rPr>
          <w:rFonts w:ascii="Calibri" w:hAnsi="Calibri" w:cs="Calibri"/>
          <w:sz w:val="24"/>
          <w:szCs w:val="24"/>
        </w:rPr>
      </w:pPr>
      <w:r w:rsidRPr="001B4523">
        <w:rPr>
          <w:rFonts w:ascii="Calibri" w:hAnsi="Calibri" w:cs="Calibri"/>
          <w:sz w:val="24"/>
          <w:szCs w:val="24"/>
        </w:rPr>
        <w:lastRenderedPageBreak/>
        <w:t>Nashville closely followed with a rank of 2, indicating a significantly high cost of living, potentially driven by factors like housing affordability and overall living expenses.</w:t>
      </w:r>
    </w:p>
    <w:p w14:paraId="77051B01" w14:textId="79F3C29C" w:rsidR="007B027D" w:rsidRPr="001B4523" w:rsidRDefault="0019318A" w:rsidP="00794B17">
      <w:pPr>
        <w:rPr>
          <w:rFonts w:ascii="Calibri" w:hAnsi="Calibri" w:cs="Calibri"/>
          <w:sz w:val="24"/>
          <w:szCs w:val="24"/>
        </w:rPr>
      </w:pPr>
      <w:r w:rsidRPr="001B4523">
        <w:rPr>
          <w:rFonts w:ascii="Calibri" w:hAnsi="Calibri" w:cs="Calibri"/>
          <w:sz w:val="24"/>
          <w:szCs w:val="24"/>
        </w:rPr>
        <w:t>Tampa, with a rank of 10, positioned itself within the mid-range, showcasing a moderate cost of living compared to other MSAs, which could be appealing for residents seeking a balance between affordability and quality of life.</w:t>
      </w:r>
    </w:p>
    <w:p w14:paraId="3FEC7EBF" w14:textId="77777777" w:rsidR="007E1F23" w:rsidRPr="001B4523" w:rsidRDefault="007E1F23" w:rsidP="00794B17">
      <w:pPr>
        <w:rPr>
          <w:rFonts w:ascii="Calibri" w:hAnsi="Calibri" w:cs="Calibri"/>
          <w:sz w:val="24"/>
          <w:szCs w:val="24"/>
        </w:rPr>
      </w:pPr>
    </w:p>
    <w:p w14:paraId="734F4ACE" w14:textId="01462671" w:rsidR="00F747AA" w:rsidRPr="001B4523" w:rsidRDefault="000659D6" w:rsidP="00F747AA">
      <w:pPr>
        <w:numPr>
          <w:ilvl w:val="0"/>
          <w:numId w:val="2"/>
        </w:numPr>
        <w:rPr>
          <w:rFonts w:ascii="Calibri" w:hAnsi="Calibri" w:cs="Calibri"/>
          <w:b/>
          <w:bCs/>
          <w:sz w:val="24"/>
          <w:szCs w:val="24"/>
        </w:rPr>
      </w:pPr>
      <w:r w:rsidRPr="001B4523">
        <w:rPr>
          <w:rFonts w:ascii="Calibri" w:hAnsi="Calibri" w:cs="Calibri"/>
          <w:b/>
          <w:bCs/>
          <w:sz w:val="24"/>
          <w:szCs w:val="24"/>
        </w:rPr>
        <w:t>Visualization:</w:t>
      </w:r>
      <w:r w:rsidR="00F747AA" w:rsidRPr="001B4523">
        <w:rPr>
          <w:rFonts w:ascii="Calibri" w:hAnsi="Calibri" w:cs="Calibri"/>
          <w:b/>
          <w:bCs/>
          <w:sz w:val="24"/>
          <w:szCs w:val="24"/>
        </w:rPr>
        <w:t xml:space="preserve"> Proportion of Indexes</w:t>
      </w:r>
    </w:p>
    <w:p w14:paraId="10637966" w14:textId="77777777" w:rsidR="009A7B62" w:rsidRPr="001B4523" w:rsidRDefault="009A7B62" w:rsidP="009A7B62">
      <w:pPr>
        <w:rPr>
          <w:rFonts w:ascii="Calibri" w:hAnsi="Calibri" w:cs="Calibri"/>
          <w:sz w:val="24"/>
          <w:szCs w:val="24"/>
        </w:rPr>
      </w:pPr>
      <w:r w:rsidRPr="001B4523">
        <w:rPr>
          <w:rFonts w:ascii="Calibri" w:hAnsi="Calibri" w:cs="Calibri"/>
          <w:sz w:val="24"/>
          <w:szCs w:val="24"/>
        </w:rPr>
        <w:t xml:space="preserve">The </w:t>
      </w:r>
      <w:r w:rsidRPr="001B4523">
        <w:rPr>
          <w:rFonts w:ascii="Calibri" w:hAnsi="Calibri" w:cs="Calibri"/>
          <w:b/>
          <w:bCs/>
          <w:sz w:val="24"/>
          <w:szCs w:val="24"/>
        </w:rPr>
        <w:t>pie chart</w:t>
      </w:r>
      <w:r w:rsidRPr="001B4523">
        <w:rPr>
          <w:rFonts w:ascii="Calibri" w:hAnsi="Calibri" w:cs="Calibri"/>
          <w:sz w:val="24"/>
          <w:szCs w:val="24"/>
        </w:rPr>
        <w:t xml:space="preserve"> provides a visual breakdown of the various indexes contributing to the overall cost of living in different Metropolitan Statistical Areas (MSAs) for the year 2022.</w:t>
      </w:r>
    </w:p>
    <w:p w14:paraId="31032180" w14:textId="77777777" w:rsidR="009A7B62" w:rsidRPr="001B4523" w:rsidRDefault="009A7B62" w:rsidP="009A7B62">
      <w:pPr>
        <w:rPr>
          <w:rFonts w:ascii="Calibri" w:hAnsi="Calibri" w:cs="Calibri"/>
          <w:sz w:val="24"/>
          <w:szCs w:val="24"/>
        </w:rPr>
      </w:pPr>
      <w:r w:rsidRPr="001B4523">
        <w:rPr>
          <w:rFonts w:ascii="Calibri" w:hAnsi="Calibri" w:cs="Calibri"/>
          <w:sz w:val="24"/>
          <w:szCs w:val="24"/>
        </w:rPr>
        <w:t>Analyzing the proportions of these indexes offers valuable insights into the components influencing the overall cost of living in each MSA.</w:t>
      </w:r>
    </w:p>
    <w:p w14:paraId="60290BDB" w14:textId="77777777" w:rsidR="009A7B62" w:rsidRPr="001B4523" w:rsidRDefault="009A7B62" w:rsidP="009A7B62">
      <w:pPr>
        <w:rPr>
          <w:rFonts w:ascii="Calibri" w:hAnsi="Calibri" w:cs="Calibri"/>
          <w:sz w:val="24"/>
          <w:szCs w:val="24"/>
        </w:rPr>
      </w:pPr>
      <w:r w:rsidRPr="001B4523">
        <w:rPr>
          <w:rFonts w:ascii="Calibri" w:hAnsi="Calibri" w:cs="Calibri"/>
          <w:sz w:val="24"/>
          <w:szCs w:val="24"/>
        </w:rPr>
        <w:t>Understanding the relative contributions of each index can help policymakers and residents identify areas of focus for improving affordability and addressing cost-of-living challenges.</w:t>
      </w:r>
    </w:p>
    <w:p w14:paraId="1A837F59" w14:textId="21B8C107" w:rsidR="00794B17" w:rsidRPr="001B4523" w:rsidRDefault="009A7B62" w:rsidP="009A7B62">
      <w:pPr>
        <w:rPr>
          <w:rFonts w:ascii="Calibri" w:hAnsi="Calibri" w:cs="Calibri"/>
          <w:sz w:val="24"/>
          <w:szCs w:val="24"/>
        </w:rPr>
      </w:pPr>
      <w:r w:rsidRPr="001B4523">
        <w:rPr>
          <w:rFonts w:ascii="Calibri" w:hAnsi="Calibri" w:cs="Calibri"/>
          <w:sz w:val="24"/>
          <w:szCs w:val="24"/>
        </w:rPr>
        <w:t>For example, if the Cost of Housing Index dominates the pie chart in certain MSAs, it suggests that housing costs play a significant role in driving the overall cost of living in those areas, highlighting the importance of initiatives aimed at housing affordability. Similarly, a higher proportion of the Cost of Goods Index may indicate higher expenses related to essential goods and services, prompting efforts to address factors affecting the affordability of consumer goods.</w:t>
      </w:r>
    </w:p>
    <w:p w14:paraId="648D81FF" w14:textId="2925D5CA" w:rsidR="007E1F23" w:rsidRPr="001B4523" w:rsidRDefault="0063760E" w:rsidP="0063760E">
      <w:pPr>
        <w:rPr>
          <w:rFonts w:ascii="Calibri" w:hAnsi="Calibri" w:cs="Calibri"/>
          <w:sz w:val="24"/>
          <w:szCs w:val="24"/>
        </w:rPr>
      </w:pPr>
      <w:r w:rsidRPr="001B4523">
        <w:rPr>
          <w:rFonts w:ascii="Calibri" w:hAnsi="Calibri" w:cs="Calibri"/>
          <w:noProof/>
          <w:sz w:val="24"/>
          <w:szCs w:val="24"/>
        </w:rPr>
        <w:drawing>
          <wp:inline distT="0" distB="0" distL="0" distR="0" wp14:anchorId="3251958B" wp14:editId="24AEE3BF">
            <wp:extent cx="6515100" cy="3509010"/>
            <wp:effectExtent l="0" t="0" r="0" b="0"/>
            <wp:docPr id="1753782997" name="Picture 1" descr="A pie chart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82997" name="Picture 1" descr="A pie chart with numbers and a number on it&#10;&#10;Description automatically generated"/>
                    <pic:cNvPicPr/>
                  </pic:nvPicPr>
                  <pic:blipFill>
                    <a:blip r:embed="rId21"/>
                    <a:stretch>
                      <a:fillRect/>
                    </a:stretch>
                  </pic:blipFill>
                  <pic:spPr>
                    <a:xfrm>
                      <a:off x="0" y="0"/>
                      <a:ext cx="6515100" cy="3509010"/>
                    </a:xfrm>
                    <a:prstGeom prst="rect">
                      <a:avLst/>
                    </a:prstGeom>
                  </pic:spPr>
                </pic:pic>
              </a:graphicData>
            </a:graphic>
          </wp:inline>
        </w:drawing>
      </w:r>
    </w:p>
    <w:p w14:paraId="07B02DF9" w14:textId="2CF559C2" w:rsidR="007B027D" w:rsidRPr="001B4523" w:rsidRDefault="00F747AA" w:rsidP="00794B17">
      <w:pPr>
        <w:rPr>
          <w:rFonts w:ascii="Calibri" w:hAnsi="Calibri" w:cs="Calibri"/>
          <w:sz w:val="24"/>
          <w:szCs w:val="24"/>
          <w:u w:val="single"/>
        </w:rPr>
      </w:pPr>
      <w:r w:rsidRPr="001B4523">
        <w:rPr>
          <w:rFonts w:ascii="Calibri" w:hAnsi="Calibri" w:cs="Calibri"/>
          <w:sz w:val="24"/>
          <w:szCs w:val="24"/>
          <w:u w:val="single"/>
        </w:rPr>
        <w:lastRenderedPageBreak/>
        <w:t>Insights</w:t>
      </w:r>
    </w:p>
    <w:p w14:paraId="21645E09" w14:textId="559D1EB7" w:rsidR="00F747AA" w:rsidRPr="001B4523" w:rsidRDefault="00F747AA" w:rsidP="00794B17">
      <w:pPr>
        <w:rPr>
          <w:rFonts w:ascii="Calibri" w:hAnsi="Calibri" w:cs="Calibri"/>
          <w:sz w:val="24"/>
          <w:szCs w:val="24"/>
        </w:rPr>
      </w:pPr>
      <w:r w:rsidRPr="001B4523">
        <w:rPr>
          <w:rFonts w:ascii="Calibri" w:hAnsi="Calibri" w:cs="Calibri"/>
          <w:sz w:val="24"/>
          <w:szCs w:val="24"/>
        </w:rPr>
        <w:t>Cost of Goods Index:</w:t>
      </w:r>
    </w:p>
    <w:p w14:paraId="22784016" w14:textId="62B4CC20" w:rsidR="00F747AA" w:rsidRPr="001B4523" w:rsidRDefault="00F747AA" w:rsidP="00794B17">
      <w:pPr>
        <w:rPr>
          <w:rFonts w:ascii="Calibri" w:eastAsia="Times New Roman" w:hAnsi="Calibri" w:cs="Calibri"/>
          <w:color w:val="000000"/>
          <w:kern w:val="0"/>
          <w14:ligatures w14:val="none"/>
        </w:rPr>
      </w:pPr>
      <w:r w:rsidRPr="001B4523">
        <w:rPr>
          <w:rFonts w:ascii="Calibri" w:hAnsi="Calibri" w:cs="Calibri"/>
          <w:sz w:val="24"/>
          <w:szCs w:val="24"/>
        </w:rPr>
        <w:t>Across most MSAs, the Cost of Goods Index ranges from approximately 9</w:t>
      </w:r>
      <w:r w:rsidR="00B94252" w:rsidRPr="001B4523">
        <w:rPr>
          <w:rFonts w:ascii="Calibri" w:hAnsi="Calibri" w:cs="Calibri"/>
          <w:sz w:val="24"/>
          <w:szCs w:val="24"/>
        </w:rPr>
        <w:t>5</w:t>
      </w:r>
      <w:r w:rsidRPr="001B4523">
        <w:rPr>
          <w:rFonts w:ascii="Calibri" w:hAnsi="Calibri" w:cs="Calibri"/>
          <w:sz w:val="24"/>
          <w:szCs w:val="24"/>
        </w:rPr>
        <w:t>.</w:t>
      </w:r>
      <w:r w:rsidR="00B94252" w:rsidRPr="001B4523">
        <w:rPr>
          <w:rFonts w:ascii="Calibri" w:hAnsi="Calibri" w:cs="Calibri"/>
          <w:sz w:val="24"/>
          <w:szCs w:val="24"/>
        </w:rPr>
        <w:t>2</w:t>
      </w:r>
      <w:r w:rsidRPr="001B4523">
        <w:rPr>
          <w:rFonts w:ascii="Calibri" w:hAnsi="Calibri" w:cs="Calibri"/>
          <w:sz w:val="24"/>
          <w:szCs w:val="24"/>
        </w:rPr>
        <w:t xml:space="preserve">7 to 116.23. Notably, Seattle-Tacoma-Bellevue, WA, and San Diego-Chula Vista-Carlsbad, CA exhibit higher values, indicating relatively higher costs of goods in these areas. Conversely, </w:t>
      </w:r>
      <w:r w:rsidR="00D5622D" w:rsidRPr="001B4523">
        <w:rPr>
          <w:rFonts w:ascii="Calibri" w:eastAsia="Times New Roman" w:hAnsi="Calibri" w:cs="Calibri"/>
          <w:color w:val="000000"/>
          <w:kern w:val="0"/>
          <w14:ligatures w14:val="none"/>
        </w:rPr>
        <w:t>Orlando-Kissimmee-Sanford, FL</w:t>
      </w:r>
      <w:r w:rsidRPr="001B4523">
        <w:rPr>
          <w:rFonts w:ascii="Calibri" w:hAnsi="Calibri" w:cs="Calibri"/>
          <w:sz w:val="24"/>
          <w:szCs w:val="24"/>
        </w:rPr>
        <w:t xml:space="preserve">, and </w:t>
      </w:r>
      <w:r w:rsidR="005E17EB" w:rsidRPr="001B4523">
        <w:rPr>
          <w:rFonts w:ascii="Calibri" w:eastAsia="Times New Roman" w:hAnsi="Calibri" w:cs="Calibri"/>
          <w:color w:val="000000"/>
          <w:kern w:val="0"/>
          <w14:ligatures w14:val="none"/>
        </w:rPr>
        <w:t xml:space="preserve">Tampa-St. Petersburg-Clearwater, </w:t>
      </w:r>
      <w:r w:rsidR="000659D6" w:rsidRPr="001B4523">
        <w:rPr>
          <w:rFonts w:ascii="Calibri" w:eastAsia="Times New Roman" w:hAnsi="Calibri" w:cs="Calibri"/>
          <w:color w:val="000000"/>
          <w:kern w:val="0"/>
          <w14:ligatures w14:val="none"/>
        </w:rPr>
        <w:t>FL show</w:t>
      </w:r>
      <w:r w:rsidRPr="001B4523">
        <w:rPr>
          <w:rFonts w:ascii="Calibri" w:hAnsi="Calibri" w:cs="Calibri"/>
          <w:sz w:val="24"/>
          <w:szCs w:val="24"/>
        </w:rPr>
        <w:t xml:space="preserve"> relatively lower values.</w:t>
      </w:r>
    </w:p>
    <w:p w14:paraId="68220860" w14:textId="77777777" w:rsidR="00F747AA" w:rsidRPr="001B4523" w:rsidRDefault="00F747AA" w:rsidP="00794B17">
      <w:pPr>
        <w:rPr>
          <w:rFonts w:ascii="Calibri" w:hAnsi="Calibri" w:cs="Calibri"/>
          <w:sz w:val="24"/>
          <w:szCs w:val="24"/>
        </w:rPr>
      </w:pPr>
      <w:r w:rsidRPr="001B4523">
        <w:rPr>
          <w:rFonts w:ascii="Calibri" w:hAnsi="Calibri" w:cs="Calibri"/>
          <w:sz w:val="24"/>
          <w:szCs w:val="24"/>
        </w:rPr>
        <w:t>Cost of Utilities Index:</w:t>
      </w:r>
    </w:p>
    <w:p w14:paraId="5C19352F" w14:textId="722B1B7D" w:rsidR="00F747AA" w:rsidRPr="001B4523" w:rsidRDefault="00F747AA" w:rsidP="00794B17">
      <w:pPr>
        <w:rPr>
          <w:rFonts w:ascii="Calibri" w:hAnsi="Calibri" w:cs="Calibri"/>
          <w:sz w:val="24"/>
          <w:szCs w:val="24"/>
        </w:rPr>
      </w:pPr>
      <w:r w:rsidRPr="001B4523">
        <w:rPr>
          <w:rFonts w:ascii="Calibri" w:hAnsi="Calibri" w:cs="Calibri"/>
          <w:sz w:val="24"/>
          <w:szCs w:val="24"/>
        </w:rPr>
        <w:t xml:space="preserve">The Cost of Utilities Index varies significantly across different MSAs, ranging from approximately </w:t>
      </w:r>
      <w:r w:rsidR="00CE045D" w:rsidRPr="001B4523">
        <w:rPr>
          <w:rFonts w:ascii="Calibri" w:hAnsi="Calibri" w:cs="Calibri"/>
          <w:sz w:val="24"/>
          <w:szCs w:val="24"/>
        </w:rPr>
        <w:t>85.69</w:t>
      </w:r>
      <w:r w:rsidRPr="001B4523">
        <w:rPr>
          <w:rFonts w:ascii="Calibri" w:hAnsi="Calibri" w:cs="Calibri"/>
          <w:sz w:val="24"/>
          <w:szCs w:val="24"/>
        </w:rPr>
        <w:t xml:space="preserve"> to 161.0</w:t>
      </w:r>
      <w:r w:rsidR="00CE045D" w:rsidRPr="001B4523">
        <w:rPr>
          <w:rFonts w:ascii="Calibri" w:hAnsi="Calibri" w:cs="Calibri"/>
          <w:sz w:val="24"/>
          <w:szCs w:val="24"/>
        </w:rPr>
        <w:t>7</w:t>
      </w:r>
      <w:r w:rsidRPr="001B4523">
        <w:rPr>
          <w:rFonts w:ascii="Calibri" w:hAnsi="Calibri" w:cs="Calibri"/>
          <w:sz w:val="24"/>
          <w:szCs w:val="24"/>
        </w:rPr>
        <w:t xml:space="preserve">. and San Diego-Chula Vista-Carlsbad, CA demonstrate notably higher values, indicating relatively higher utility expenses in </w:t>
      </w:r>
      <w:r w:rsidR="00D80FB8" w:rsidRPr="001B4523">
        <w:rPr>
          <w:rFonts w:ascii="Calibri" w:hAnsi="Calibri" w:cs="Calibri"/>
          <w:sz w:val="24"/>
          <w:szCs w:val="24"/>
        </w:rPr>
        <w:t>this</w:t>
      </w:r>
      <w:r w:rsidRPr="001B4523">
        <w:rPr>
          <w:rFonts w:ascii="Calibri" w:hAnsi="Calibri" w:cs="Calibri"/>
          <w:sz w:val="24"/>
          <w:szCs w:val="24"/>
        </w:rPr>
        <w:t xml:space="preserve"> area.</w:t>
      </w:r>
      <w:r w:rsidR="00C53D02" w:rsidRPr="001B4523">
        <w:rPr>
          <w:rFonts w:ascii="Calibri" w:hAnsi="Calibri" w:cs="Calibri"/>
          <w:sz w:val="24"/>
          <w:szCs w:val="24"/>
        </w:rPr>
        <w:t xml:space="preserve"> </w:t>
      </w:r>
      <w:r w:rsidRPr="001B4523">
        <w:rPr>
          <w:rFonts w:ascii="Calibri" w:hAnsi="Calibri" w:cs="Calibri"/>
          <w:sz w:val="24"/>
          <w:szCs w:val="24"/>
        </w:rPr>
        <w:t>Tampa-St. Petersburg-Clearwater, FL records a Cost of Utilities Index of 92.504, indicating moderate utility costs compared to other MSAs.</w:t>
      </w:r>
    </w:p>
    <w:p w14:paraId="4E1A2337" w14:textId="77777777" w:rsidR="00F747AA" w:rsidRPr="001B4523" w:rsidRDefault="00F747AA" w:rsidP="00794B17">
      <w:pPr>
        <w:rPr>
          <w:rFonts w:ascii="Calibri" w:hAnsi="Calibri" w:cs="Calibri"/>
          <w:sz w:val="24"/>
          <w:szCs w:val="24"/>
        </w:rPr>
      </w:pPr>
      <w:r w:rsidRPr="001B4523">
        <w:rPr>
          <w:rFonts w:ascii="Calibri" w:hAnsi="Calibri" w:cs="Calibri"/>
          <w:sz w:val="24"/>
          <w:szCs w:val="24"/>
        </w:rPr>
        <w:t>Cost of Housing Index:</w:t>
      </w:r>
    </w:p>
    <w:p w14:paraId="50092F89" w14:textId="34C2A78E" w:rsidR="00F747AA" w:rsidRPr="001B4523" w:rsidRDefault="00F747AA" w:rsidP="00794B17">
      <w:pPr>
        <w:rPr>
          <w:rFonts w:ascii="Calibri" w:hAnsi="Calibri" w:cs="Calibri"/>
          <w:sz w:val="24"/>
          <w:szCs w:val="24"/>
        </w:rPr>
      </w:pPr>
      <w:r w:rsidRPr="001B4523">
        <w:rPr>
          <w:rFonts w:ascii="Calibri" w:hAnsi="Calibri" w:cs="Calibri"/>
          <w:sz w:val="24"/>
          <w:szCs w:val="24"/>
        </w:rPr>
        <w:t xml:space="preserve">The Cost of Housing Index exhibits considerable variation, with values ranging from around </w:t>
      </w:r>
      <w:r w:rsidR="00A64BEA" w:rsidRPr="001B4523">
        <w:rPr>
          <w:rFonts w:ascii="Calibri" w:hAnsi="Calibri" w:cs="Calibri"/>
          <w:sz w:val="24"/>
          <w:szCs w:val="24"/>
        </w:rPr>
        <w:t>116.30</w:t>
      </w:r>
      <w:r w:rsidRPr="001B4523">
        <w:rPr>
          <w:rFonts w:ascii="Calibri" w:hAnsi="Calibri" w:cs="Calibri"/>
          <w:sz w:val="24"/>
          <w:szCs w:val="24"/>
        </w:rPr>
        <w:t xml:space="preserve"> to 183.903. San Diego-Chula Vista-Carlsbad, CA, and Seattle-Tacoma-Bellevue, WA show significantly higher values, indicating high housing costs in these regions.</w:t>
      </w:r>
      <w:r w:rsidR="00CA1A6E" w:rsidRPr="001B4523">
        <w:rPr>
          <w:rFonts w:ascii="Calibri" w:hAnsi="Calibri" w:cs="Calibri"/>
          <w:sz w:val="24"/>
          <w:szCs w:val="24"/>
        </w:rPr>
        <w:t xml:space="preserve"> </w:t>
      </w:r>
      <w:r w:rsidRPr="001B4523">
        <w:rPr>
          <w:rFonts w:ascii="Calibri" w:hAnsi="Calibri" w:cs="Calibri"/>
          <w:sz w:val="24"/>
          <w:szCs w:val="24"/>
        </w:rPr>
        <w:t>In the Tampa-St. Petersburg-Clearwater, FL area, the Cost of Housing Index is recorded at 118.62, indicating moderately high housing costs compared to other MSAs.</w:t>
      </w:r>
    </w:p>
    <w:p w14:paraId="0B7181E0" w14:textId="77777777" w:rsidR="00F747AA" w:rsidRPr="001B4523" w:rsidRDefault="00F747AA" w:rsidP="00794B17">
      <w:pPr>
        <w:rPr>
          <w:rFonts w:ascii="Calibri" w:hAnsi="Calibri" w:cs="Calibri"/>
          <w:sz w:val="24"/>
          <w:szCs w:val="24"/>
        </w:rPr>
      </w:pPr>
      <w:r w:rsidRPr="001B4523">
        <w:rPr>
          <w:rFonts w:ascii="Calibri" w:hAnsi="Calibri" w:cs="Calibri"/>
          <w:sz w:val="24"/>
          <w:szCs w:val="24"/>
        </w:rPr>
        <w:t>Cost of Others Index:</w:t>
      </w:r>
    </w:p>
    <w:p w14:paraId="0ADD9FFC" w14:textId="73A471C8" w:rsidR="00F747AA" w:rsidRPr="001B4523" w:rsidRDefault="00F747AA" w:rsidP="00794B17">
      <w:pPr>
        <w:rPr>
          <w:rFonts w:ascii="Calibri" w:eastAsia="Times New Roman" w:hAnsi="Calibri" w:cs="Calibri"/>
          <w:color w:val="000000"/>
          <w:kern w:val="0"/>
          <w14:ligatures w14:val="none"/>
        </w:rPr>
      </w:pPr>
      <w:r w:rsidRPr="001B4523">
        <w:rPr>
          <w:rFonts w:ascii="Calibri" w:hAnsi="Calibri" w:cs="Calibri"/>
          <w:sz w:val="24"/>
          <w:szCs w:val="24"/>
        </w:rPr>
        <w:t>The Cost of Others Index shows relatively minor variation across MSAs, with values ranging from approximately 9</w:t>
      </w:r>
      <w:r w:rsidR="00592EA2" w:rsidRPr="001B4523">
        <w:rPr>
          <w:rFonts w:ascii="Calibri" w:hAnsi="Calibri" w:cs="Calibri"/>
          <w:sz w:val="24"/>
          <w:szCs w:val="24"/>
        </w:rPr>
        <w:t>6.39</w:t>
      </w:r>
      <w:r w:rsidRPr="001B4523">
        <w:rPr>
          <w:rFonts w:ascii="Calibri" w:hAnsi="Calibri" w:cs="Calibri"/>
          <w:sz w:val="24"/>
          <w:szCs w:val="24"/>
        </w:rPr>
        <w:t xml:space="preserve"> to 106.6</w:t>
      </w:r>
      <w:r w:rsidR="00DC4BF3" w:rsidRPr="001B4523">
        <w:rPr>
          <w:rFonts w:ascii="Calibri" w:hAnsi="Calibri" w:cs="Calibri"/>
          <w:sz w:val="24"/>
          <w:szCs w:val="24"/>
        </w:rPr>
        <w:t>3</w:t>
      </w:r>
      <w:r w:rsidRPr="001B4523">
        <w:rPr>
          <w:rFonts w:ascii="Calibri" w:hAnsi="Calibri" w:cs="Calibri"/>
          <w:sz w:val="24"/>
          <w:szCs w:val="24"/>
        </w:rPr>
        <w:t>.</w:t>
      </w:r>
      <w:r w:rsidR="001801E4" w:rsidRPr="001B4523">
        <w:rPr>
          <w:rFonts w:ascii="Calibri" w:hAnsi="Calibri" w:cs="Calibri"/>
          <w:color w:val="000000"/>
        </w:rPr>
        <w:t xml:space="preserve"> </w:t>
      </w:r>
      <w:r w:rsidR="001801E4" w:rsidRPr="001B4523">
        <w:rPr>
          <w:rFonts w:ascii="Calibri" w:eastAsia="Times New Roman" w:hAnsi="Calibri" w:cs="Calibri"/>
          <w:color w:val="000000"/>
          <w:kern w:val="0"/>
          <w14:ligatures w14:val="none"/>
        </w:rPr>
        <w:t>Miami-Fort Lauderdale-Pompano Beach, FL</w:t>
      </w:r>
      <w:r w:rsidRPr="001B4523">
        <w:rPr>
          <w:rFonts w:ascii="Calibri" w:hAnsi="Calibri" w:cs="Calibri"/>
          <w:sz w:val="24"/>
          <w:szCs w:val="24"/>
        </w:rPr>
        <w:t>, and Miami-Fort Lauderdale-Pompano Beach, FL exhibit slightly higher values compared to other regions.</w:t>
      </w:r>
      <w:r w:rsidR="002C791A" w:rsidRPr="001B4523">
        <w:rPr>
          <w:rFonts w:ascii="Calibri" w:hAnsi="Calibri" w:cs="Calibri"/>
          <w:sz w:val="24"/>
          <w:szCs w:val="24"/>
        </w:rPr>
        <w:t xml:space="preserve"> </w:t>
      </w:r>
      <w:r w:rsidRPr="001B4523">
        <w:rPr>
          <w:rFonts w:ascii="Calibri" w:hAnsi="Calibri" w:cs="Calibri"/>
          <w:sz w:val="24"/>
          <w:szCs w:val="24"/>
        </w:rPr>
        <w:t>In the Tampa-St. Petersburg-Clearwater, FL area, the Cost of Others Index is recorded at 96.386, suggesting moderately low costs in other categories compared to other MSAs.</w:t>
      </w:r>
    </w:p>
    <w:p w14:paraId="6393427D" w14:textId="77777777" w:rsidR="00C442FD" w:rsidRPr="001B4523" w:rsidRDefault="00C442FD" w:rsidP="0082535A">
      <w:pPr>
        <w:rPr>
          <w:rFonts w:ascii="Calibri" w:hAnsi="Calibri" w:cs="Calibri"/>
          <w:sz w:val="24"/>
          <w:szCs w:val="24"/>
        </w:rPr>
      </w:pPr>
    </w:p>
    <w:p w14:paraId="52B192B8" w14:textId="77777777" w:rsidR="00794B17" w:rsidRPr="001B4523" w:rsidRDefault="00794B17" w:rsidP="0082535A">
      <w:pPr>
        <w:rPr>
          <w:rFonts w:ascii="Calibri" w:hAnsi="Calibri" w:cs="Calibri"/>
          <w:sz w:val="24"/>
          <w:szCs w:val="24"/>
        </w:rPr>
      </w:pPr>
    </w:p>
    <w:p w14:paraId="6BEBD690" w14:textId="77777777" w:rsidR="00794B17" w:rsidRPr="001B4523" w:rsidRDefault="00794B17" w:rsidP="0082535A">
      <w:pPr>
        <w:rPr>
          <w:rFonts w:ascii="Calibri" w:hAnsi="Calibri" w:cs="Calibri"/>
          <w:sz w:val="24"/>
          <w:szCs w:val="24"/>
        </w:rPr>
      </w:pPr>
    </w:p>
    <w:p w14:paraId="1C1F0BAD" w14:textId="77777777" w:rsidR="00794B17" w:rsidRPr="001B4523" w:rsidRDefault="00794B17" w:rsidP="0082535A">
      <w:pPr>
        <w:rPr>
          <w:rFonts w:ascii="Calibri" w:hAnsi="Calibri" w:cs="Calibri"/>
          <w:sz w:val="24"/>
          <w:szCs w:val="24"/>
        </w:rPr>
      </w:pPr>
    </w:p>
    <w:p w14:paraId="68B920D0" w14:textId="77777777" w:rsidR="00794B17" w:rsidRPr="001B4523" w:rsidRDefault="00794B17" w:rsidP="0082535A">
      <w:pPr>
        <w:rPr>
          <w:rFonts w:ascii="Calibri" w:hAnsi="Calibri" w:cs="Calibri"/>
          <w:sz w:val="24"/>
          <w:szCs w:val="24"/>
        </w:rPr>
      </w:pPr>
    </w:p>
    <w:p w14:paraId="4C9DC661" w14:textId="77777777" w:rsidR="00794B17" w:rsidRPr="001B4523" w:rsidRDefault="00794B17" w:rsidP="0082535A">
      <w:pPr>
        <w:rPr>
          <w:rFonts w:ascii="Calibri" w:hAnsi="Calibri" w:cs="Calibri"/>
          <w:sz w:val="24"/>
          <w:szCs w:val="24"/>
        </w:rPr>
      </w:pPr>
    </w:p>
    <w:p w14:paraId="5FEBD325" w14:textId="77777777" w:rsidR="00794B17" w:rsidRPr="001B4523" w:rsidRDefault="00794B17" w:rsidP="0082535A">
      <w:pPr>
        <w:rPr>
          <w:rFonts w:ascii="Calibri" w:hAnsi="Calibri" w:cs="Calibri"/>
          <w:sz w:val="24"/>
          <w:szCs w:val="24"/>
        </w:rPr>
      </w:pPr>
    </w:p>
    <w:p w14:paraId="3BA64480" w14:textId="77777777" w:rsidR="00794B17" w:rsidRPr="001B4523" w:rsidRDefault="00794B17" w:rsidP="0082535A">
      <w:pPr>
        <w:rPr>
          <w:rFonts w:ascii="Calibri" w:hAnsi="Calibri" w:cs="Calibri"/>
          <w:sz w:val="24"/>
          <w:szCs w:val="24"/>
        </w:rPr>
      </w:pPr>
    </w:p>
    <w:p w14:paraId="026C7FA8" w14:textId="77777777" w:rsidR="007B027D" w:rsidRPr="001B4523" w:rsidRDefault="007B027D" w:rsidP="0082535A">
      <w:pPr>
        <w:rPr>
          <w:rFonts w:ascii="Calibri" w:hAnsi="Calibri" w:cs="Calibri"/>
          <w:sz w:val="24"/>
          <w:szCs w:val="24"/>
        </w:rPr>
      </w:pPr>
    </w:p>
    <w:p w14:paraId="5DF07474" w14:textId="0E71AB8E" w:rsidR="00927E80" w:rsidRPr="001B4523" w:rsidRDefault="000659D6" w:rsidP="002A4797">
      <w:pPr>
        <w:numPr>
          <w:ilvl w:val="0"/>
          <w:numId w:val="2"/>
        </w:numPr>
        <w:rPr>
          <w:rFonts w:ascii="Calibri" w:hAnsi="Calibri" w:cs="Calibri"/>
          <w:sz w:val="24"/>
          <w:szCs w:val="24"/>
        </w:rPr>
      </w:pPr>
      <w:r w:rsidRPr="001B4523">
        <w:rPr>
          <w:rFonts w:ascii="Calibri" w:hAnsi="Calibri" w:cs="Calibri"/>
          <w:b/>
          <w:bCs/>
          <w:sz w:val="24"/>
          <w:szCs w:val="24"/>
        </w:rPr>
        <w:lastRenderedPageBreak/>
        <w:t>Visualization:</w:t>
      </w:r>
      <w:r w:rsidR="00175A68" w:rsidRPr="001B4523">
        <w:rPr>
          <w:rFonts w:ascii="Calibri" w:hAnsi="Calibri" w:cs="Calibri"/>
          <w:b/>
          <w:bCs/>
          <w:sz w:val="24"/>
          <w:szCs w:val="24"/>
        </w:rPr>
        <w:t xml:space="preserve"> </w:t>
      </w:r>
      <w:r w:rsidR="00927E80" w:rsidRPr="001B4523">
        <w:rPr>
          <w:rFonts w:ascii="Calibri" w:hAnsi="Calibri" w:cs="Calibri"/>
          <w:b/>
          <w:bCs/>
          <w:sz w:val="24"/>
          <w:szCs w:val="24"/>
        </w:rPr>
        <w:t>Exploring the Correlation Between Median Household Income, Median Gross Rent, and Typical Home Value Across MSAs for 2022</w:t>
      </w:r>
    </w:p>
    <w:p w14:paraId="175E9208" w14:textId="149F320F" w:rsidR="00AA4E5A" w:rsidRPr="001B4523" w:rsidRDefault="00942A39" w:rsidP="00AA4E5A">
      <w:pPr>
        <w:rPr>
          <w:rFonts w:ascii="Calibri" w:hAnsi="Calibri" w:cs="Calibri"/>
          <w:sz w:val="24"/>
          <w:szCs w:val="24"/>
        </w:rPr>
      </w:pPr>
      <w:r w:rsidRPr="001B4523">
        <w:rPr>
          <w:rFonts w:ascii="Calibri" w:hAnsi="Calibri" w:cs="Calibri"/>
          <w:sz w:val="24"/>
          <w:szCs w:val="24"/>
        </w:rPr>
        <w:t xml:space="preserve">Utilizing a </w:t>
      </w:r>
      <w:r w:rsidRPr="001B4523">
        <w:rPr>
          <w:rFonts w:ascii="Calibri" w:hAnsi="Calibri" w:cs="Calibri"/>
          <w:b/>
          <w:bCs/>
          <w:sz w:val="24"/>
          <w:szCs w:val="24"/>
        </w:rPr>
        <w:t>scatter plot</w:t>
      </w:r>
      <w:r w:rsidRPr="001B4523">
        <w:rPr>
          <w:rFonts w:ascii="Calibri" w:hAnsi="Calibri" w:cs="Calibri"/>
          <w:sz w:val="24"/>
          <w:szCs w:val="24"/>
        </w:rPr>
        <w:t xml:space="preserve">, the relationship between Median Household Income, Median Gross Rent, and Typical Home Value across MSAs from 2018 to 2022 is explored. </w:t>
      </w:r>
      <w:r w:rsidRPr="001B4523">
        <w:rPr>
          <w:rFonts w:ascii="Calibri" w:hAnsi="Calibri" w:cs="Calibri"/>
          <w:b/>
          <w:bCs/>
          <w:sz w:val="24"/>
          <w:szCs w:val="24"/>
        </w:rPr>
        <w:t>This visualization integrates data from two sources</w:t>
      </w:r>
      <w:r w:rsidR="00E00D2C" w:rsidRPr="001B4523">
        <w:rPr>
          <w:rFonts w:ascii="Calibri" w:hAnsi="Calibri" w:cs="Calibri"/>
          <w:b/>
          <w:bCs/>
          <w:sz w:val="24"/>
          <w:szCs w:val="24"/>
        </w:rPr>
        <w:t xml:space="preserve"> (US Census Bureau &amp; Zillow Research)</w:t>
      </w:r>
      <w:r w:rsidRPr="001B4523">
        <w:rPr>
          <w:rFonts w:ascii="Calibri" w:hAnsi="Calibri" w:cs="Calibri"/>
          <w:b/>
          <w:bCs/>
          <w:sz w:val="24"/>
          <w:szCs w:val="24"/>
        </w:rPr>
        <w:t>,</w:t>
      </w:r>
      <w:r w:rsidRPr="001B4523">
        <w:rPr>
          <w:rFonts w:ascii="Calibri" w:hAnsi="Calibri" w:cs="Calibri"/>
          <w:sz w:val="24"/>
          <w:szCs w:val="24"/>
        </w:rPr>
        <w:t xml:space="preserve"> allowing for the examination of trends and patterns in the relationship between these variables over time. By plotting each MSA's data points on the graph, it facilitates the observation of correlations and provides insights into the affordability dynamics within different Metropolitan Statistical Areas (MSAs) over the specified period.</w:t>
      </w:r>
    </w:p>
    <w:p w14:paraId="1ACF14D3" w14:textId="5D398FD1" w:rsidR="00AA4E5A" w:rsidRPr="001B4523" w:rsidRDefault="001F162C" w:rsidP="00AA4E5A">
      <w:pPr>
        <w:rPr>
          <w:rFonts w:ascii="Calibri" w:hAnsi="Calibri" w:cs="Calibri"/>
          <w:sz w:val="24"/>
          <w:szCs w:val="24"/>
        </w:rPr>
      </w:pPr>
      <w:r w:rsidRPr="001B4523">
        <w:rPr>
          <w:rFonts w:ascii="Calibri" w:hAnsi="Calibri" w:cs="Calibri"/>
          <w:noProof/>
          <w:sz w:val="24"/>
          <w:szCs w:val="24"/>
        </w:rPr>
        <w:drawing>
          <wp:inline distT="0" distB="0" distL="0" distR="0" wp14:anchorId="044F2763" wp14:editId="0F0E083A">
            <wp:extent cx="6515100" cy="3495040"/>
            <wp:effectExtent l="0" t="0" r="0" b="0"/>
            <wp:docPr id="1154868877" name="Picture 1" descr="A graph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68877" name="Picture 1" descr="A graph of a number of dots&#10;&#10;Description automatically generated with medium confidence"/>
                    <pic:cNvPicPr/>
                  </pic:nvPicPr>
                  <pic:blipFill>
                    <a:blip r:embed="rId22"/>
                    <a:stretch>
                      <a:fillRect/>
                    </a:stretch>
                  </pic:blipFill>
                  <pic:spPr>
                    <a:xfrm>
                      <a:off x="0" y="0"/>
                      <a:ext cx="6515100" cy="3495040"/>
                    </a:xfrm>
                    <a:prstGeom prst="rect">
                      <a:avLst/>
                    </a:prstGeom>
                  </pic:spPr>
                </pic:pic>
              </a:graphicData>
            </a:graphic>
          </wp:inline>
        </w:drawing>
      </w:r>
    </w:p>
    <w:p w14:paraId="24537D19" w14:textId="77777777" w:rsidR="00AA4E5A" w:rsidRPr="001B4523" w:rsidRDefault="00AA4E5A" w:rsidP="00AA4E5A">
      <w:pPr>
        <w:rPr>
          <w:rFonts w:ascii="Calibri" w:hAnsi="Calibri" w:cs="Calibri"/>
          <w:sz w:val="24"/>
          <w:szCs w:val="24"/>
        </w:rPr>
      </w:pPr>
    </w:p>
    <w:p w14:paraId="14C9B6C6" w14:textId="085D55FB" w:rsidR="00A71867" w:rsidRPr="001B4523" w:rsidRDefault="0082535A" w:rsidP="00794B17">
      <w:pPr>
        <w:rPr>
          <w:rFonts w:ascii="Calibri" w:hAnsi="Calibri" w:cs="Calibri"/>
          <w:sz w:val="24"/>
          <w:szCs w:val="24"/>
          <w:u w:val="single"/>
        </w:rPr>
      </w:pPr>
      <w:r w:rsidRPr="001B4523">
        <w:rPr>
          <w:rFonts w:ascii="Calibri" w:hAnsi="Calibri" w:cs="Calibri"/>
          <w:sz w:val="24"/>
          <w:szCs w:val="24"/>
          <w:u w:val="single"/>
        </w:rPr>
        <w:t>Insights</w:t>
      </w:r>
    </w:p>
    <w:p w14:paraId="3D5E70FD" w14:textId="77777777" w:rsidR="00D54C18" w:rsidRPr="001B4523" w:rsidRDefault="00D54C18" w:rsidP="00D54C18">
      <w:pPr>
        <w:rPr>
          <w:rFonts w:ascii="Calibri" w:hAnsi="Calibri" w:cs="Calibri"/>
          <w:sz w:val="24"/>
          <w:szCs w:val="24"/>
        </w:rPr>
      </w:pPr>
      <w:r w:rsidRPr="001B4523">
        <w:rPr>
          <w:rFonts w:ascii="Calibri" w:hAnsi="Calibri" w:cs="Calibri"/>
          <w:sz w:val="24"/>
          <w:szCs w:val="24"/>
        </w:rPr>
        <w:t>The analysis suggests a moderate positive correlation between Median Household Income and Median Gross Rent across the MSAs. This implies that as the median household income increases within an MSA, there is a tendency for median gross rent values to also increase, and vice versa.</w:t>
      </w:r>
    </w:p>
    <w:p w14:paraId="6B217578" w14:textId="77777777" w:rsidR="00D54C18" w:rsidRPr="001B4523" w:rsidRDefault="00D54C18" w:rsidP="00D54C18">
      <w:pPr>
        <w:rPr>
          <w:rFonts w:ascii="Calibri" w:hAnsi="Calibri" w:cs="Calibri"/>
          <w:sz w:val="24"/>
          <w:szCs w:val="24"/>
        </w:rPr>
      </w:pPr>
      <w:r w:rsidRPr="001B4523">
        <w:rPr>
          <w:rFonts w:ascii="Calibri" w:hAnsi="Calibri" w:cs="Calibri"/>
          <w:sz w:val="24"/>
          <w:szCs w:val="24"/>
        </w:rPr>
        <w:t>In 2022, there appears to be a moderate positive correlation between Median Household Income and Median Gross Rent. For instance, the Tampa-St. Petersburg-Clearwater, FL area exhibits a relatively lower Median Household Income compared to other MSAs, correlating with lower Median Gross Rent values.</w:t>
      </w:r>
    </w:p>
    <w:p w14:paraId="7DA47B72" w14:textId="77777777" w:rsidR="00D54C18" w:rsidRPr="001B4523" w:rsidRDefault="00D54C18" w:rsidP="00D54C18">
      <w:pPr>
        <w:rPr>
          <w:rFonts w:ascii="Calibri" w:hAnsi="Calibri" w:cs="Calibri"/>
          <w:sz w:val="24"/>
          <w:szCs w:val="24"/>
        </w:rPr>
      </w:pPr>
      <w:r w:rsidRPr="001B4523">
        <w:rPr>
          <w:rFonts w:ascii="Calibri" w:hAnsi="Calibri" w:cs="Calibri"/>
          <w:sz w:val="24"/>
          <w:szCs w:val="24"/>
        </w:rPr>
        <w:t xml:space="preserve">The addition of Typical Home Value as bubble size provides further insights into the relationship. San Diego, for example, stands out with the highest bubble size, indicating the highest Typical Home Value among the MSAs analyzed. This suggests that areas with higher typical home values may also have higher </w:t>
      </w:r>
      <w:r w:rsidRPr="001B4523">
        <w:rPr>
          <w:rFonts w:ascii="Calibri" w:hAnsi="Calibri" w:cs="Calibri"/>
          <w:sz w:val="24"/>
          <w:szCs w:val="24"/>
        </w:rPr>
        <w:lastRenderedPageBreak/>
        <w:t>median household incomes and gross rents, reflecting the overall cost of living and housing market dynamics.</w:t>
      </w:r>
    </w:p>
    <w:p w14:paraId="1E2FF141" w14:textId="2A20B230" w:rsidR="00794B17" w:rsidRPr="001B4523" w:rsidRDefault="00D54C18" w:rsidP="00D54C18">
      <w:pPr>
        <w:rPr>
          <w:rFonts w:ascii="Calibri" w:hAnsi="Calibri" w:cs="Calibri"/>
          <w:sz w:val="24"/>
          <w:szCs w:val="24"/>
        </w:rPr>
      </w:pPr>
      <w:r w:rsidRPr="001B4523">
        <w:rPr>
          <w:rFonts w:ascii="Calibri" w:hAnsi="Calibri" w:cs="Calibri"/>
          <w:sz w:val="24"/>
          <w:szCs w:val="24"/>
        </w:rPr>
        <w:t>Lower median household incomes in certain areas may indicate challenges in affording higher rental prices, potentially leading to housing affordability issues for residents.</w:t>
      </w:r>
    </w:p>
    <w:p w14:paraId="3021693B" w14:textId="77777777" w:rsidR="002F25F6" w:rsidRPr="001B4523" w:rsidRDefault="002F25F6" w:rsidP="00D54C18">
      <w:pPr>
        <w:rPr>
          <w:rFonts w:ascii="Calibri" w:hAnsi="Calibri" w:cs="Calibri"/>
          <w:sz w:val="24"/>
          <w:szCs w:val="24"/>
        </w:rPr>
      </w:pPr>
    </w:p>
    <w:p w14:paraId="771E40D9" w14:textId="245D9D26" w:rsidR="0082535A" w:rsidRPr="001B4523" w:rsidRDefault="00175A68" w:rsidP="0082535A">
      <w:pPr>
        <w:numPr>
          <w:ilvl w:val="0"/>
          <w:numId w:val="2"/>
        </w:numPr>
        <w:rPr>
          <w:rFonts w:ascii="Calibri" w:hAnsi="Calibri" w:cs="Calibri"/>
          <w:sz w:val="24"/>
          <w:szCs w:val="24"/>
        </w:rPr>
      </w:pPr>
      <w:r w:rsidRPr="001B4523">
        <w:rPr>
          <w:rFonts w:ascii="Calibri" w:hAnsi="Calibri" w:cs="Calibri"/>
          <w:b/>
          <w:bCs/>
          <w:sz w:val="24"/>
          <w:szCs w:val="24"/>
        </w:rPr>
        <w:t>Visualization</w:t>
      </w:r>
      <w:r w:rsidR="002F26C8" w:rsidRPr="001B4523">
        <w:rPr>
          <w:rFonts w:ascii="Calibri" w:hAnsi="Calibri" w:cs="Calibri"/>
          <w:b/>
          <w:bCs/>
          <w:sz w:val="24"/>
          <w:szCs w:val="24"/>
        </w:rPr>
        <w:t>:</w:t>
      </w:r>
      <w:r w:rsidRPr="001B4523">
        <w:rPr>
          <w:rFonts w:ascii="Calibri" w:hAnsi="Calibri" w:cs="Calibri"/>
          <w:b/>
          <w:bCs/>
          <w:sz w:val="24"/>
          <w:szCs w:val="24"/>
        </w:rPr>
        <w:t xml:space="preserve"> </w:t>
      </w:r>
      <w:r w:rsidR="0082535A" w:rsidRPr="001B4523">
        <w:rPr>
          <w:rFonts w:ascii="Calibri" w:hAnsi="Calibri" w:cs="Calibri"/>
          <w:b/>
          <w:bCs/>
          <w:sz w:val="24"/>
          <w:szCs w:val="24"/>
        </w:rPr>
        <w:t>Graduate &amp; Undergraduate Tuition Fee</w:t>
      </w:r>
    </w:p>
    <w:p w14:paraId="5D213D6A" w14:textId="77777777" w:rsidR="00236B5C" w:rsidRPr="001B4523" w:rsidRDefault="004A2A4C" w:rsidP="00794B17">
      <w:pPr>
        <w:rPr>
          <w:rFonts w:ascii="Calibri" w:hAnsi="Calibri" w:cs="Calibri"/>
          <w:sz w:val="24"/>
          <w:szCs w:val="24"/>
        </w:rPr>
      </w:pPr>
      <w:r w:rsidRPr="001B4523">
        <w:rPr>
          <w:rFonts w:ascii="Calibri" w:hAnsi="Calibri" w:cs="Calibri"/>
          <w:sz w:val="24"/>
          <w:szCs w:val="24"/>
        </w:rPr>
        <w:t xml:space="preserve">In this visualization, a line graph with </w:t>
      </w:r>
      <w:r w:rsidRPr="001B4523">
        <w:rPr>
          <w:rFonts w:ascii="Calibri" w:hAnsi="Calibri" w:cs="Calibri"/>
          <w:b/>
          <w:bCs/>
          <w:sz w:val="24"/>
          <w:szCs w:val="24"/>
        </w:rPr>
        <w:t>dual axes</w:t>
      </w:r>
      <w:r w:rsidRPr="001B4523">
        <w:rPr>
          <w:rFonts w:ascii="Calibri" w:hAnsi="Calibri" w:cs="Calibri"/>
          <w:sz w:val="24"/>
          <w:szCs w:val="24"/>
        </w:rPr>
        <w:t xml:space="preserve"> is employed to illustrate the trends in Graduate and Undergraduate Tuition fees from 2011 to 2022. </w:t>
      </w:r>
    </w:p>
    <w:p w14:paraId="57B9938C" w14:textId="502601D6" w:rsidR="007B027D" w:rsidRPr="001B4523" w:rsidRDefault="004A2A4C" w:rsidP="00794B17">
      <w:pPr>
        <w:rPr>
          <w:rFonts w:ascii="Calibri" w:hAnsi="Calibri" w:cs="Calibri"/>
          <w:sz w:val="24"/>
          <w:szCs w:val="24"/>
        </w:rPr>
      </w:pPr>
      <w:r w:rsidRPr="001B4523">
        <w:rPr>
          <w:rFonts w:ascii="Calibri" w:hAnsi="Calibri" w:cs="Calibri"/>
          <w:sz w:val="24"/>
          <w:szCs w:val="24"/>
        </w:rPr>
        <w:t>The use of dual axes allows for the simultaneous representation of two distinct datasets—tuition fees for in-state and out-of-state students—on the same graph, facilitating easy comparison and identification of patterns over time.</w:t>
      </w:r>
    </w:p>
    <w:p w14:paraId="5E2BC4B3" w14:textId="09795E4A" w:rsidR="00236B5C" w:rsidRPr="001B4523" w:rsidRDefault="00484378" w:rsidP="00712E82">
      <w:pPr>
        <w:rPr>
          <w:rFonts w:ascii="Calibri" w:hAnsi="Calibri" w:cs="Calibri"/>
          <w:sz w:val="24"/>
          <w:szCs w:val="24"/>
        </w:rPr>
      </w:pPr>
      <w:r w:rsidRPr="001B4523">
        <w:rPr>
          <w:rFonts w:ascii="Calibri" w:hAnsi="Calibri" w:cs="Calibri"/>
          <w:sz w:val="24"/>
          <w:szCs w:val="24"/>
        </w:rPr>
        <w:t xml:space="preserve">Additionally, an </w:t>
      </w:r>
      <w:r w:rsidRPr="001B4523">
        <w:rPr>
          <w:rFonts w:ascii="Calibri" w:hAnsi="Calibri" w:cs="Calibri"/>
          <w:b/>
          <w:bCs/>
          <w:sz w:val="24"/>
          <w:szCs w:val="24"/>
        </w:rPr>
        <w:t>interactive feature allows users to select between the in-state and out-of-state categories</w:t>
      </w:r>
      <w:r w:rsidRPr="001B4523">
        <w:rPr>
          <w:rFonts w:ascii="Calibri" w:hAnsi="Calibri" w:cs="Calibri"/>
          <w:sz w:val="24"/>
          <w:szCs w:val="24"/>
        </w:rPr>
        <w:t xml:space="preserve">, enhancing the customization and user experience of the visualization. </w:t>
      </w:r>
    </w:p>
    <w:p w14:paraId="3EDBF163" w14:textId="1B4E1DB7" w:rsidR="00794B17" w:rsidRPr="001B4523" w:rsidRDefault="00712E82" w:rsidP="00370D3A">
      <w:pPr>
        <w:rPr>
          <w:rFonts w:ascii="Calibri" w:hAnsi="Calibri" w:cs="Calibri"/>
          <w:sz w:val="24"/>
          <w:szCs w:val="24"/>
        </w:rPr>
      </w:pPr>
      <w:r w:rsidRPr="001B4523">
        <w:rPr>
          <w:rFonts w:ascii="Calibri" w:hAnsi="Calibri" w:cs="Calibri"/>
          <w:noProof/>
          <w:sz w:val="24"/>
          <w:szCs w:val="24"/>
        </w:rPr>
        <w:drawing>
          <wp:inline distT="0" distB="0" distL="0" distR="0" wp14:anchorId="41FBBBFD" wp14:editId="7E16523B">
            <wp:extent cx="6515100" cy="3486150"/>
            <wp:effectExtent l="0" t="0" r="0" b="0"/>
            <wp:docPr id="84058291" name="Picture 1" descr="A graph with red line and purp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8291" name="Picture 1" descr="A graph with red line and purple line&#10;&#10;Description automatically generated"/>
                    <pic:cNvPicPr/>
                  </pic:nvPicPr>
                  <pic:blipFill>
                    <a:blip r:embed="rId23"/>
                    <a:stretch>
                      <a:fillRect/>
                    </a:stretch>
                  </pic:blipFill>
                  <pic:spPr>
                    <a:xfrm>
                      <a:off x="0" y="0"/>
                      <a:ext cx="6515100" cy="3486150"/>
                    </a:xfrm>
                    <a:prstGeom prst="rect">
                      <a:avLst/>
                    </a:prstGeom>
                  </pic:spPr>
                </pic:pic>
              </a:graphicData>
            </a:graphic>
          </wp:inline>
        </w:drawing>
      </w:r>
    </w:p>
    <w:p w14:paraId="7AB6826A" w14:textId="77777777" w:rsidR="00370D3A" w:rsidRPr="001B4523" w:rsidRDefault="0082535A" w:rsidP="00370D3A">
      <w:pPr>
        <w:rPr>
          <w:rFonts w:ascii="Calibri" w:hAnsi="Calibri" w:cs="Calibri"/>
          <w:sz w:val="24"/>
          <w:szCs w:val="24"/>
        </w:rPr>
      </w:pPr>
      <w:r w:rsidRPr="001B4523">
        <w:rPr>
          <w:rFonts w:ascii="Calibri" w:hAnsi="Calibri" w:cs="Calibri"/>
          <w:sz w:val="24"/>
          <w:szCs w:val="24"/>
        </w:rPr>
        <w:t xml:space="preserve">Insights: </w:t>
      </w:r>
      <w:r w:rsidR="00370D3A" w:rsidRPr="001B4523">
        <w:rPr>
          <w:rFonts w:ascii="Calibri" w:hAnsi="Calibri" w:cs="Calibri"/>
          <w:sz w:val="24"/>
          <w:szCs w:val="24"/>
        </w:rPr>
        <w:t>Among the analyzed Metropolitan Statistical Areas (MSAs), Portland-South Portland, ME, recorded the highest undergraduate in-state tuition fee at $25,412.05, highlighting the financial burden faced by in-state undergraduate students in this area.</w:t>
      </w:r>
    </w:p>
    <w:p w14:paraId="46B6148B" w14:textId="77777777" w:rsidR="00370D3A" w:rsidRPr="001B4523" w:rsidRDefault="00370D3A" w:rsidP="00370D3A">
      <w:pPr>
        <w:rPr>
          <w:rFonts w:ascii="Calibri" w:hAnsi="Calibri" w:cs="Calibri"/>
          <w:sz w:val="24"/>
          <w:szCs w:val="24"/>
        </w:rPr>
      </w:pPr>
      <w:r w:rsidRPr="001B4523">
        <w:rPr>
          <w:rFonts w:ascii="Calibri" w:hAnsi="Calibri" w:cs="Calibri"/>
          <w:sz w:val="24"/>
          <w:szCs w:val="24"/>
        </w:rPr>
        <w:t>Conversely, Phoenix-Mesa-Chandler, AZ, reported the lowest undergraduate in-state tuition fee at $10,798.88, indicating comparatively more affordable educational opportunities for in-state undergraduate students in this MSA.</w:t>
      </w:r>
    </w:p>
    <w:p w14:paraId="523EF209" w14:textId="77777777" w:rsidR="00370D3A" w:rsidRPr="001B4523" w:rsidRDefault="00370D3A" w:rsidP="00370D3A">
      <w:pPr>
        <w:rPr>
          <w:rFonts w:ascii="Calibri" w:hAnsi="Calibri" w:cs="Calibri"/>
          <w:sz w:val="24"/>
          <w:szCs w:val="24"/>
        </w:rPr>
      </w:pPr>
      <w:r w:rsidRPr="001B4523">
        <w:rPr>
          <w:rFonts w:ascii="Calibri" w:hAnsi="Calibri" w:cs="Calibri"/>
          <w:sz w:val="24"/>
          <w:szCs w:val="24"/>
        </w:rPr>
        <w:lastRenderedPageBreak/>
        <w:t>For graduate out-of-state tuition fees, Seattle-Tacoma-Bellevue, WA, registered the highest value at $23,940.06, suggesting significant financial investment required for out-of-state graduate students pursuing higher education in this region.</w:t>
      </w:r>
    </w:p>
    <w:p w14:paraId="54438EEF" w14:textId="148C4D74" w:rsidR="002F25F6" w:rsidRDefault="00370D3A" w:rsidP="00794B17">
      <w:pPr>
        <w:rPr>
          <w:rFonts w:ascii="Calibri" w:hAnsi="Calibri" w:cs="Calibri"/>
          <w:sz w:val="24"/>
          <w:szCs w:val="24"/>
        </w:rPr>
      </w:pPr>
      <w:r w:rsidRPr="001B4523">
        <w:rPr>
          <w:rFonts w:ascii="Calibri" w:hAnsi="Calibri" w:cs="Calibri"/>
          <w:sz w:val="24"/>
          <w:szCs w:val="24"/>
        </w:rPr>
        <w:t>In contrast, Tampa-St. Petersburg-Clearwater, FL, recorded the lowest graduate out-of-state tuition fee at $14,575.67, potentially making it a more affordable option for out-of-state graduate students seeking advanced degrees compared to other MSAs</w:t>
      </w:r>
      <w:r w:rsidR="00EE35CC" w:rsidRPr="001B4523">
        <w:rPr>
          <w:rFonts w:ascii="Calibri" w:hAnsi="Calibri" w:cs="Calibri"/>
          <w:sz w:val="24"/>
          <w:szCs w:val="24"/>
        </w:rPr>
        <w:t>.</w:t>
      </w:r>
    </w:p>
    <w:p w14:paraId="16541385" w14:textId="77777777" w:rsidR="00C10393" w:rsidRPr="001B4523" w:rsidRDefault="00C10393" w:rsidP="00794B17">
      <w:pPr>
        <w:rPr>
          <w:rFonts w:ascii="Calibri" w:hAnsi="Calibri" w:cs="Calibri"/>
          <w:sz w:val="24"/>
          <w:szCs w:val="24"/>
        </w:rPr>
      </w:pPr>
    </w:p>
    <w:p w14:paraId="335B95B3" w14:textId="3662910C" w:rsidR="0082535A" w:rsidRPr="001B4523" w:rsidRDefault="00175A68" w:rsidP="0082535A">
      <w:pPr>
        <w:numPr>
          <w:ilvl w:val="0"/>
          <w:numId w:val="2"/>
        </w:numPr>
        <w:rPr>
          <w:rFonts w:ascii="Calibri" w:hAnsi="Calibri" w:cs="Calibri"/>
          <w:sz w:val="24"/>
          <w:szCs w:val="24"/>
        </w:rPr>
      </w:pPr>
      <w:r w:rsidRPr="001B4523">
        <w:rPr>
          <w:rFonts w:ascii="Calibri" w:hAnsi="Calibri" w:cs="Calibri"/>
          <w:b/>
          <w:bCs/>
          <w:sz w:val="24"/>
          <w:szCs w:val="24"/>
        </w:rPr>
        <w:t>Visualization</w:t>
      </w:r>
      <w:r w:rsidR="005618E5" w:rsidRPr="001B4523">
        <w:rPr>
          <w:rFonts w:ascii="Calibri" w:hAnsi="Calibri" w:cs="Calibri"/>
          <w:b/>
          <w:bCs/>
          <w:sz w:val="24"/>
          <w:szCs w:val="24"/>
        </w:rPr>
        <w:t xml:space="preserve">: </w:t>
      </w:r>
      <w:r w:rsidR="0082535A" w:rsidRPr="001B4523">
        <w:rPr>
          <w:rFonts w:ascii="Calibri" w:hAnsi="Calibri" w:cs="Calibri"/>
          <w:b/>
          <w:bCs/>
          <w:sz w:val="24"/>
          <w:szCs w:val="24"/>
        </w:rPr>
        <w:t>Cost of Commuting for Year 2023</w:t>
      </w:r>
    </w:p>
    <w:p w14:paraId="5B8AC46D" w14:textId="6292D4F0" w:rsidR="0082535A" w:rsidRPr="001B4523" w:rsidRDefault="0082535A" w:rsidP="00794B17">
      <w:pPr>
        <w:rPr>
          <w:rFonts w:ascii="Calibri" w:hAnsi="Calibri" w:cs="Calibri"/>
          <w:sz w:val="24"/>
          <w:szCs w:val="24"/>
        </w:rPr>
      </w:pPr>
      <w:r w:rsidRPr="001B4523">
        <w:rPr>
          <w:rFonts w:ascii="Calibri" w:hAnsi="Calibri" w:cs="Calibri"/>
          <w:sz w:val="24"/>
          <w:szCs w:val="24"/>
        </w:rPr>
        <w:t xml:space="preserve">This visualization showcases the affordability measures for commuting in 2023 across different MSAs, including </w:t>
      </w:r>
      <w:r w:rsidRPr="001B4523">
        <w:rPr>
          <w:rFonts w:ascii="Calibri" w:hAnsi="Calibri" w:cs="Calibri"/>
          <w:b/>
          <w:bCs/>
          <w:sz w:val="24"/>
          <w:szCs w:val="24"/>
        </w:rPr>
        <w:t>parameters</w:t>
      </w:r>
      <w:r w:rsidRPr="001B4523">
        <w:rPr>
          <w:rFonts w:ascii="Calibri" w:hAnsi="Calibri" w:cs="Calibri"/>
          <w:sz w:val="24"/>
          <w:szCs w:val="24"/>
        </w:rPr>
        <w:t xml:space="preserve"> like average car buying cost, </w:t>
      </w:r>
      <w:r w:rsidR="00BD32C3" w:rsidRPr="001B4523">
        <w:rPr>
          <w:rFonts w:ascii="Calibri" w:hAnsi="Calibri" w:cs="Calibri"/>
          <w:sz w:val="24"/>
          <w:szCs w:val="24"/>
        </w:rPr>
        <w:t xml:space="preserve">Median Gross Rent, </w:t>
      </w:r>
      <w:r w:rsidRPr="001B4523">
        <w:rPr>
          <w:rFonts w:ascii="Calibri" w:hAnsi="Calibri" w:cs="Calibri"/>
          <w:sz w:val="24"/>
          <w:szCs w:val="24"/>
        </w:rPr>
        <w:t>gasoline price, and taxi fares.</w:t>
      </w:r>
      <w:r w:rsidR="00512DE1" w:rsidRPr="001B4523">
        <w:rPr>
          <w:rFonts w:ascii="Calibri" w:hAnsi="Calibri" w:cs="Calibri"/>
          <w:sz w:val="24"/>
          <w:szCs w:val="24"/>
        </w:rPr>
        <w:t xml:space="preserve"> </w:t>
      </w:r>
      <w:r w:rsidR="00BD32C3" w:rsidRPr="001B4523">
        <w:rPr>
          <w:rFonts w:ascii="Calibri" w:hAnsi="Calibri" w:cs="Calibri"/>
          <w:b/>
          <w:bCs/>
          <w:sz w:val="24"/>
          <w:szCs w:val="24"/>
        </w:rPr>
        <w:t xml:space="preserve">Derived this from </w:t>
      </w:r>
      <w:r w:rsidR="00184B4E" w:rsidRPr="001B4523">
        <w:rPr>
          <w:rFonts w:ascii="Calibri" w:hAnsi="Calibri" w:cs="Calibri"/>
          <w:b/>
          <w:bCs/>
          <w:sz w:val="24"/>
          <w:szCs w:val="24"/>
        </w:rPr>
        <w:t>two data sources</w:t>
      </w:r>
      <w:r w:rsidR="001A640E" w:rsidRPr="001B4523">
        <w:rPr>
          <w:rFonts w:ascii="Calibri" w:hAnsi="Calibri" w:cs="Calibri"/>
          <w:b/>
          <w:bCs/>
          <w:sz w:val="24"/>
          <w:szCs w:val="24"/>
        </w:rPr>
        <w:t xml:space="preserve"> (Numbeo Data &amp; US Census Bureau)</w:t>
      </w:r>
      <w:r w:rsidR="00184B4E" w:rsidRPr="001B4523">
        <w:rPr>
          <w:rFonts w:ascii="Calibri" w:hAnsi="Calibri" w:cs="Calibri"/>
          <w:sz w:val="24"/>
          <w:szCs w:val="24"/>
        </w:rPr>
        <w:t xml:space="preserve">. </w:t>
      </w:r>
      <w:r w:rsidR="00512DE1" w:rsidRPr="001B4523">
        <w:rPr>
          <w:rFonts w:ascii="Calibri" w:hAnsi="Calibri" w:cs="Calibri"/>
          <w:sz w:val="24"/>
          <w:szCs w:val="24"/>
        </w:rPr>
        <w:t>This dataset provides insights into the average rent costs in different MSAs, which can directly relate to the affordability of housing options for commuters. Higher rent costs may lead individuals to seek cheaper housing options farther away from their workplaces, increasing commuting expenses.</w:t>
      </w:r>
    </w:p>
    <w:p w14:paraId="6D53A5C4" w14:textId="77777777" w:rsidR="00794B17" w:rsidRPr="001B4523" w:rsidRDefault="00794B17" w:rsidP="00794B17">
      <w:pPr>
        <w:rPr>
          <w:rFonts w:ascii="Calibri" w:hAnsi="Calibri" w:cs="Calibri"/>
          <w:sz w:val="24"/>
          <w:szCs w:val="24"/>
        </w:rPr>
      </w:pPr>
    </w:p>
    <w:p w14:paraId="760D839B" w14:textId="2FB29EFE" w:rsidR="00DE778A" w:rsidRPr="001B4523" w:rsidRDefault="00DE778A" w:rsidP="00DE778A">
      <w:pPr>
        <w:rPr>
          <w:rFonts w:ascii="Calibri" w:hAnsi="Calibri" w:cs="Calibri"/>
          <w:sz w:val="24"/>
          <w:szCs w:val="24"/>
        </w:rPr>
      </w:pPr>
      <w:r w:rsidRPr="001B4523">
        <w:rPr>
          <w:rFonts w:ascii="Calibri" w:hAnsi="Calibri" w:cs="Calibri"/>
          <w:noProof/>
          <w:sz w:val="24"/>
          <w:szCs w:val="24"/>
        </w:rPr>
        <w:drawing>
          <wp:inline distT="0" distB="0" distL="0" distR="0" wp14:anchorId="728A3E20" wp14:editId="71AD52C9">
            <wp:extent cx="6515100" cy="3484245"/>
            <wp:effectExtent l="0" t="0" r="0" b="0"/>
            <wp:docPr id="77925213"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5213" name="Picture 1" descr="A map of the united states&#10;&#10;Description automatically generated"/>
                    <pic:cNvPicPr/>
                  </pic:nvPicPr>
                  <pic:blipFill>
                    <a:blip r:embed="rId24"/>
                    <a:stretch>
                      <a:fillRect/>
                    </a:stretch>
                  </pic:blipFill>
                  <pic:spPr>
                    <a:xfrm>
                      <a:off x="0" y="0"/>
                      <a:ext cx="6515100" cy="3484245"/>
                    </a:xfrm>
                    <a:prstGeom prst="rect">
                      <a:avLst/>
                    </a:prstGeom>
                  </pic:spPr>
                </pic:pic>
              </a:graphicData>
            </a:graphic>
          </wp:inline>
        </w:drawing>
      </w:r>
    </w:p>
    <w:p w14:paraId="75749EF9" w14:textId="77777777" w:rsidR="00794B17" w:rsidRPr="001B4523" w:rsidRDefault="00794B17" w:rsidP="00794B17">
      <w:pPr>
        <w:rPr>
          <w:rFonts w:ascii="Calibri" w:hAnsi="Calibri" w:cs="Calibri"/>
          <w:sz w:val="24"/>
          <w:szCs w:val="24"/>
        </w:rPr>
      </w:pPr>
    </w:p>
    <w:p w14:paraId="7A14D18A" w14:textId="77777777" w:rsidR="00702C55" w:rsidRPr="001B4523" w:rsidRDefault="0082535A" w:rsidP="001436FB">
      <w:pPr>
        <w:rPr>
          <w:rFonts w:ascii="Calibri" w:hAnsi="Calibri" w:cs="Calibri"/>
          <w:sz w:val="24"/>
          <w:szCs w:val="24"/>
          <w:u w:val="single"/>
        </w:rPr>
      </w:pPr>
      <w:r w:rsidRPr="001B4523">
        <w:rPr>
          <w:rFonts w:ascii="Calibri" w:hAnsi="Calibri" w:cs="Calibri"/>
          <w:sz w:val="24"/>
          <w:szCs w:val="24"/>
          <w:u w:val="single"/>
        </w:rPr>
        <w:t>Insights</w:t>
      </w:r>
    </w:p>
    <w:p w14:paraId="686FA07C" w14:textId="79E8FBE7" w:rsidR="001436FB" w:rsidRPr="001B4523" w:rsidRDefault="001436FB" w:rsidP="001436FB">
      <w:pPr>
        <w:rPr>
          <w:rFonts w:ascii="Calibri" w:hAnsi="Calibri" w:cs="Calibri"/>
          <w:sz w:val="24"/>
          <w:szCs w:val="24"/>
        </w:rPr>
      </w:pPr>
      <w:r w:rsidRPr="001B4523">
        <w:rPr>
          <w:rFonts w:ascii="Calibri" w:hAnsi="Calibri" w:cs="Calibri"/>
          <w:sz w:val="24"/>
          <w:szCs w:val="24"/>
        </w:rPr>
        <w:t>The Tampa-St. Petersburg-Clearwater, FL area stands out for its comparatively moderate commuting costs compared to other MSAs. This is attributed to lower average car buying costs and taxi tariffs.</w:t>
      </w:r>
    </w:p>
    <w:p w14:paraId="1D6CB58D" w14:textId="77777777" w:rsidR="001436FB" w:rsidRPr="001B4523" w:rsidRDefault="001436FB" w:rsidP="001436FB">
      <w:pPr>
        <w:rPr>
          <w:rFonts w:ascii="Calibri" w:hAnsi="Calibri" w:cs="Calibri"/>
          <w:sz w:val="24"/>
          <w:szCs w:val="24"/>
        </w:rPr>
      </w:pPr>
      <w:r w:rsidRPr="001B4523">
        <w:rPr>
          <w:rFonts w:ascii="Calibri" w:hAnsi="Calibri" w:cs="Calibri"/>
          <w:sz w:val="24"/>
          <w:szCs w:val="24"/>
        </w:rPr>
        <w:lastRenderedPageBreak/>
        <w:t>In contrast, Austin has the highest average car buying cost among the MSAs considered, indicating potentially higher expenses for vehicle ownership in that area.</w:t>
      </w:r>
    </w:p>
    <w:p w14:paraId="6E7DA967" w14:textId="77777777" w:rsidR="001436FB" w:rsidRPr="001B4523" w:rsidRDefault="001436FB" w:rsidP="001436FB">
      <w:pPr>
        <w:rPr>
          <w:rFonts w:ascii="Calibri" w:hAnsi="Calibri" w:cs="Calibri"/>
          <w:sz w:val="24"/>
          <w:szCs w:val="24"/>
        </w:rPr>
      </w:pPr>
      <w:r w:rsidRPr="001B4523">
        <w:rPr>
          <w:rFonts w:ascii="Calibri" w:hAnsi="Calibri" w:cs="Calibri"/>
          <w:sz w:val="24"/>
          <w:szCs w:val="24"/>
        </w:rPr>
        <w:t>Portland records the highest cost for 1 gallon of gasoline, suggesting that residents in that MSA may face greater expenses related to fuel consumption for commuting.</w:t>
      </w:r>
    </w:p>
    <w:p w14:paraId="65D8C3AF" w14:textId="77777777" w:rsidR="001436FB" w:rsidRPr="001B4523" w:rsidRDefault="001436FB" w:rsidP="001436FB">
      <w:pPr>
        <w:rPr>
          <w:rFonts w:ascii="Calibri" w:hAnsi="Calibri" w:cs="Calibri"/>
          <w:sz w:val="24"/>
          <w:szCs w:val="24"/>
        </w:rPr>
      </w:pPr>
      <w:r w:rsidRPr="001B4523">
        <w:rPr>
          <w:rFonts w:ascii="Calibri" w:hAnsi="Calibri" w:cs="Calibri"/>
          <w:sz w:val="24"/>
          <w:szCs w:val="24"/>
        </w:rPr>
        <w:t>Charlotte exhibits the highest taxi fare among the MSAs analyzed, implying that residents in this area may incur higher costs for taxi services compared to other regions.</w:t>
      </w:r>
    </w:p>
    <w:p w14:paraId="2B217A1D" w14:textId="658A6562" w:rsidR="00CB15FB" w:rsidRPr="001B4523" w:rsidRDefault="00CB15FB" w:rsidP="001436FB">
      <w:pPr>
        <w:rPr>
          <w:rFonts w:ascii="Calibri" w:hAnsi="Calibri" w:cs="Calibri"/>
          <w:sz w:val="24"/>
          <w:szCs w:val="24"/>
        </w:rPr>
      </w:pPr>
      <w:r w:rsidRPr="001B4523">
        <w:rPr>
          <w:rFonts w:ascii="Calibri" w:hAnsi="Calibri" w:cs="Calibri"/>
          <w:sz w:val="24"/>
          <w:szCs w:val="24"/>
        </w:rPr>
        <w:t>San Diego has the highest Median Gross rent compared to other MSAs.</w:t>
      </w:r>
    </w:p>
    <w:p w14:paraId="50926106" w14:textId="33720920" w:rsidR="00794B17" w:rsidRPr="001B4523" w:rsidRDefault="001436FB" w:rsidP="00794B17">
      <w:pPr>
        <w:rPr>
          <w:rFonts w:ascii="Calibri" w:hAnsi="Calibri" w:cs="Calibri"/>
          <w:sz w:val="24"/>
          <w:szCs w:val="24"/>
        </w:rPr>
      </w:pPr>
      <w:r w:rsidRPr="001B4523">
        <w:rPr>
          <w:rFonts w:ascii="Calibri" w:hAnsi="Calibri" w:cs="Calibri"/>
          <w:sz w:val="24"/>
          <w:szCs w:val="24"/>
        </w:rPr>
        <w:t>Understanding these variations in commuting costs across different MSAs can inform policymakers and residents about the affordability of transportation options and potential areas for improvement in urban mobility infrastructure.</w:t>
      </w:r>
    </w:p>
    <w:p w14:paraId="2FCC3B52" w14:textId="77777777" w:rsidR="00794B17" w:rsidRPr="001B4523" w:rsidRDefault="00794B17" w:rsidP="00794B17">
      <w:pPr>
        <w:rPr>
          <w:rFonts w:ascii="Calibri" w:hAnsi="Calibri" w:cs="Calibri"/>
          <w:sz w:val="24"/>
          <w:szCs w:val="24"/>
        </w:rPr>
      </w:pPr>
    </w:p>
    <w:p w14:paraId="4A6B5A32" w14:textId="2B9A816B" w:rsidR="00E7269D" w:rsidRPr="001B4523" w:rsidRDefault="00175A68" w:rsidP="0007395A">
      <w:pPr>
        <w:numPr>
          <w:ilvl w:val="0"/>
          <w:numId w:val="2"/>
        </w:numPr>
        <w:rPr>
          <w:rFonts w:ascii="Calibri" w:hAnsi="Calibri" w:cs="Calibri"/>
          <w:sz w:val="24"/>
          <w:szCs w:val="24"/>
        </w:rPr>
      </w:pPr>
      <w:r w:rsidRPr="001B4523">
        <w:rPr>
          <w:rFonts w:ascii="Calibri" w:hAnsi="Calibri" w:cs="Calibri"/>
          <w:b/>
          <w:bCs/>
          <w:sz w:val="24"/>
          <w:szCs w:val="24"/>
        </w:rPr>
        <w:t>Visualization</w:t>
      </w:r>
      <w:r w:rsidR="0007395A" w:rsidRPr="001B4523">
        <w:rPr>
          <w:rFonts w:ascii="Calibri" w:hAnsi="Calibri" w:cs="Calibri"/>
          <w:sz w:val="24"/>
          <w:szCs w:val="24"/>
        </w:rPr>
        <w:t>:</w:t>
      </w:r>
      <w:r w:rsidRPr="001B4523">
        <w:rPr>
          <w:rFonts w:ascii="Calibri" w:hAnsi="Calibri" w:cs="Calibri"/>
          <w:b/>
          <w:bCs/>
          <w:sz w:val="24"/>
          <w:szCs w:val="24"/>
        </w:rPr>
        <w:t xml:space="preserve"> </w:t>
      </w:r>
      <w:r w:rsidR="00E7269D" w:rsidRPr="001B4523">
        <w:rPr>
          <w:rFonts w:ascii="Calibri" w:hAnsi="Calibri" w:cs="Calibri"/>
          <w:b/>
          <w:bCs/>
          <w:sz w:val="24"/>
          <w:szCs w:val="24"/>
        </w:rPr>
        <w:t>Health Insurance Coverage Rate</w:t>
      </w:r>
    </w:p>
    <w:p w14:paraId="7C1AA2B4" w14:textId="7EC42EB5" w:rsidR="00794B17" w:rsidRPr="001B4523" w:rsidRDefault="00E7269D" w:rsidP="00794B17">
      <w:pPr>
        <w:rPr>
          <w:rFonts w:ascii="Calibri" w:hAnsi="Calibri" w:cs="Calibri"/>
          <w:sz w:val="24"/>
          <w:szCs w:val="24"/>
        </w:rPr>
      </w:pPr>
      <w:r w:rsidRPr="001B4523">
        <w:rPr>
          <w:rFonts w:ascii="Calibri" w:hAnsi="Calibri" w:cs="Calibri"/>
          <w:sz w:val="24"/>
          <w:szCs w:val="24"/>
        </w:rPr>
        <w:t xml:space="preserve">Through a </w:t>
      </w:r>
      <w:r w:rsidRPr="001B4523">
        <w:rPr>
          <w:rFonts w:ascii="Calibri" w:hAnsi="Calibri" w:cs="Calibri"/>
          <w:b/>
          <w:bCs/>
          <w:sz w:val="24"/>
          <w:szCs w:val="24"/>
        </w:rPr>
        <w:t>clustered bar graph</w:t>
      </w:r>
      <w:r w:rsidRPr="001B4523">
        <w:rPr>
          <w:rFonts w:ascii="Calibri" w:hAnsi="Calibri" w:cs="Calibri"/>
          <w:sz w:val="24"/>
          <w:szCs w:val="24"/>
        </w:rPr>
        <w:t>, the rates of private and public health insurance coverage are illustrated for various MSAs</w:t>
      </w:r>
      <w:r w:rsidR="005437B5" w:rsidRPr="001B4523">
        <w:rPr>
          <w:rFonts w:ascii="Calibri" w:hAnsi="Calibri" w:cs="Calibri"/>
          <w:sz w:val="24"/>
          <w:szCs w:val="24"/>
        </w:rPr>
        <w:t xml:space="preserve"> (Years 2017 to 2022).</w:t>
      </w:r>
    </w:p>
    <w:p w14:paraId="4A065383" w14:textId="77777777" w:rsidR="00E7269D" w:rsidRPr="001B4523" w:rsidRDefault="00E7269D" w:rsidP="00E7269D">
      <w:pPr>
        <w:rPr>
          <w:rFonts w:ascii="Calibri" w:hAnsi="Calibri" w:cs="Calibri"/>
          <w:sz w:val="24"/>
          <w:szCs w:val="24"/>
        </w:rPr>
      </w:pPr>
      <w:r w:rsidRPr="001B4523">
        <w:rPr>
          <w:rFonts w:ascii="Calibri" w:hAnsi="Calibri" w:cs="Calibri"/>
          <w:noProof/>
          <w:sz w:val="24"/>
          <w:szCs w:val="24"/>
        </w:rPr>
        <w:drawing>
          <wp:inline distT="0" distB="0" distL="0" distR="0" wp14:anchorId="00477DAE" wp14:editId="51AD24E5">
            <wp:extent cx="6522720" cy="3453989"/>
            <wp:effectExtent l="0" t="0" r="0" b="0"/>
            <wp:docPr id="1531451323" name="Picture 1" descr="A graph of different colored vertica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451323" name="Picture 1" descr="A graph of different colored vertical lines&#10;&#10;Description automatically generated with medium confidence"/>
                    <pic:cNvPicPr/>
                  </pic:nvPicPr>
                  <pic:blipFill>
                    <a:blip r:embed="rId25"/>
                    <a:stretch>
                      <a:fillRect/>
                    </a:stretch>
                  </pic:blipFill>
                  <pic:spPr>
                    <a:xfrm>
                      <a:off x="0" y="0"/>
                      <a:ext cx="6532186" cy="3459001"/>
                    </a:xfrm>
                    <a:prstGeom prst="rect">
                      <a:avLst/>
                    </a:prstGeom>
                  </pic:spPr>
                </pic:pic>
              </a:graphicData>
            </a:graphic>
          </wp:inline>
        </w:drawing>
      </w:r>
    </w:p>
    <w:p w14:paraId="6141C9F6" w14:textId="77777777" w:rsidR="00794B17" w:rsidRPr="001B4523" w:rsidRDefault="00794B17" w:rsidP="00E7269D">
      <w:pPr>
        <w:rPr>
          <w:rFonts w:ascii="Calibri" w:hAnsi="Calibri" w:cs="Calibri"/>
          <w:sz w:val="24"/>
          <w:szCs w:val="24"/>
        </w:rPr>
      </w:pPr>
    </w:p>
    <w:p w14:paraId="18FAB71F" w14:textId="77777777" w:rsidR="00C10393" w:rsidRDefault="00C10393" w:rsidP="00794B17">
      <w:pPr>
        <w:rPr>
          <w:rFonts w:ascii="Calibri" w:hAnsi="Calibri" w:cs="Calibri"/>
          <w:sz w:val="24"/>
          <w:szCs w:val="24"/>
          <w:u w:val="single"/>
        </w:rPr>
      </w:pPr>
    </w:p>
    <w:p w14:paraId="4588A828" w14:textId="77777777" w:rsidR="00C10393" w:rsidRDefault="00C10393" w:rsidP="00794B17">
      <w:pPr>
        <w:rPr>
          <w:rFonts w:ascii="Calibri" w:hAnsi="Calibri" w:cs="Calibri"/>
          <w:sz w:val="24"/>
          <w:szCs w:val="24"/>
          <w:u w:val="single"/>
        </w:rPr>
      </w:pPr>
    </w:p>
    <w:p w14:paraId="72177D61" w14:textId="654FE81E" w:rsidR="00702C55" w:rsidRPr="001B4523" w:rsidRDefault="00E7269D" w:rsidP="00794B17">
      <w:pPr>
        <w:rPr>
          <w:rFonts w:ascii="Calibri" w:hAnsi="Calibri" w:cs="Calibri"/>
          <w:sz w:val="24"/>
          <w:szCs w:val="24"/>
          <w:u w:val="single"/>
        </w:rPr>
      </w:pPr>
      <w:r w:rsidRPr="001B4523">
        <w:rPr>
          <w:rFonts w:ascii="Calibri" w:hAnsi="Calibri" w:cs="Calibri"/>
          <w:sz w:val="24"/>
          <w:szCs w:val="24"/>
          <w:u w:val="single"/>
        </w:rPr>
        <w:lastRenderedPageBreak/>
        <w:t>Insights</w:t>
      </w:r>
    </w:p>
    <w:p w14:paraId="6FBEA832" w14:textId="0195FCFF" w:rsidR="00E7269D" w:rsidRPr="001B4523" w:rsidRDefault="00E7269D" w:rsidP="00794B17">
      <w:pPr>
        <w:rPr>
          <w:rFonts w:ascii="Calibri" w:hAnsi="Calibri" w:cs="Calibri"/>
          <w:sz w:val="24"/>
          <w:szCs w:val="24"/>
        </w:rPr>
      </w:pPr>
      <w:r w:rsidRPr="001B4523">
        <w:rPr>
          <w:rFonts w:ascii="Calibri" w:hAnsi="Calibri" w:cs="Calibri"/>
          <w:sz w:val="24"/>
          <w:szCs w:val="24"/>
        </w:rPr>
        <w:t>In 2022, the Tampa-St. Petersburg-Clearwater, FL area shows a higher rate of public health insurance coverage compared to private coverage, indicating potentially greater access to public healthcare services.</w:t>
      </w:r>
    </w:p>
    <w:p w14:paraId="2396EA92" w14:textId="4B6C73DD" w:rsidR="00AC2644" w:rsidRPr="001B4523" w:rsidRDefault="00254CE7" w:rsidP="00794B17">
      <w:pPr>
        <w:rPr>
          <w:rFonts w:ascii="Calibri" w:hAnsi="Calibri" w:cs="Calibri"/>
          <w:sz w:val="24"/>
          <w:szCs w:val="24"/>
        </w:rPr>
      </w:pPr>
      <w:r w:rsidRPr="001B4523">
        <w:rPr>
          <w:rFonts w:ascii="Calibri" w:hAnsi="Calibri" w:cs="Calibri"/>
          <w:sz w:val="24"/>
          <w:szCs w:val="24"/>
        </w:rPr>
        <w:t xml:space="preserve">Raleigh shows </w:t>
      </w:r>
      <w:r w:rsidR="00AE7598" w:rsidRPr="001B4523">
        <w:rPr>
          <w:rFonts w:ascii="Calibri" w:hAnsi="Calibri" w:cs="Calibri"/>
          <w:sz w:val="24"/>
          <w:szCs w:val="24"/>
        </w:rPr>
        <w:t>the highest</w:t>
      </w:r>
      <w:r w:rsidRPr="001B4523">
        <w:rPr>
          <w:rFonts w:ascii="Calibri" w:hAnsi="Calibri" w:cs="Calibri"/>
          <w:sz w:val="24"/>
          <w:szCs w:val="24"/>
        </w:rPr>
        <w:t xml:space="preserve"> rates of private health insurance coverage.</w:t>
      </w:r>
      <w:r w:rsidR="00AE7598" w:rsidRPr="001B4523">
        <w:rPr>
          <w:rFonts w:ascii="Calibri" w:hAnsi="Calibri" w:cs="Calibri"/>
          <w:sz w:val="24"/>
          <w:szCs w:val="24"/>
        </w:rPr>
        <w:t xml:space="preserve"> Austin has the lowest rate of Public Health insurance coverage.</w:t>
      </w:r>
    </w:p>
    <w:p w14:paraId="093298D7" w14:textId="77777777" w:rsidR="00D82BF6" w:rsidRPr="001B4523" w:rsidRDefault="00D82BF6" w:rsidP="00794B17">
      <w:pPr>
        <w:rPr>
          <w:rFonts w:ascii="Calibri" w:hAnsi="Calibri" w:cs="Calibri"/>
          <w:sz w:val="24"/>
          <w:szCs w:val="24"/>
        </w:rPr>
      </w:pPr>
    </w:p>
    <w:p w14:paraId="484D5B05" w14:textId="521CAF81" w:rsidR="00D07D81" w:rsidRPr="001B4523" w:rsidRDefault="005464DD" w:rsidP="00D07D81">
      <w:pPr>
        <w:numPr>
          <w:ilvl w:val="0"/>
          <w:numId w:val="2"/>
        </w:numPr>
        <w:rPr>
          <w:rFonts w:ascii="Calibri" w:hAnsi="Calibri" w:cs="Calibri"/>
          <w:b/>
          <w:bCs/>
          <w:sz w:val="24"/>
          <w:szCs w:val="24"/>
        </w:rPr>
      </w:pPr>
      <w:r w:rsidRPr="001B4523">
        <w:rPr>
          <w:rFonts w:ascii="Calibri" w:hAnsi="Calibri" w:cs="Calibri"/>
          <w:b/>
          <w:bCs/>
          <w:sz w:val="24"/>
          <w:szCs w:val="24"/>
        </w:rPr>
        <w:t xml:space="preserve">Visualization: </w:t>
      </w:r>
      <w:r w:rsidR="00D07D81" w:rsidRPr="001B4523">
        <w:rPr>
          <w:rFonts w:ascii="Calibri" w:hAnsi="Calibri" w:cs="Calibri"/>
          <w:b/>
          <w:bCs/>
          <w:sz w:val="24"/>
          <w:szCs w:val="24"/>
        </w:rPr>
        <w:t>Graduate Student Financial Burden: Tuition, Income, and Taxi Costs</w:t>
      </w:r>
    </w:p>
    <w:p w14:paraId="282C8F92" w14:textId="0B268617" w:rsidR="00D07D81" w:rsidRPr="001B4523" w:rsidRDefault="00D07D81" w:rsidP="00D07D81">
      <w:pPr>
        <w:rPr>
          <w:rFonts w:ascii="Calibri" w:hAnsi="Calibri" w:cs="Calibri"/>
          <w:sz w:val="24"/>
          <w:szCs w:val="24"/>
        </w:rPr>
      </w:pPr>
      <w:r w:rsidRPr="001B4523">
        <w:rPr>
          <w:rFonts w:ascii="Calibri" w:hAnsi="Calibri" w:cs="Calibri"/>
          <w:sz w:val="24"/>
          <w:szCs w:val="24"/>
        </w:rPr>
        <w:t xml:space="preserve">Utilizing a </w:t>
      </w:r>
      <w:r w:rsidRPr="001B4523">
        <w:rPr>
          <w:rFonts w:ascii="Calibri" w:hAnsi="Calibri" w:cs="Calibri"/>
          <w:b/>
          <w:bCs/>
          <w:sz w:val="24"/>
          <w:szCs w:val="24"/>
        </w:rPr>
        <w:t>scatter</w:t>
      </w:r>
      <w:r w:rsidRPr="001B4523">
        <w:rPr>
          <w:rFonts w:ascii="Calibri" w:hAnsi="Calibri" w:cs="Calibri"/>
          <w:sz w:val="24"/>
          <w:szCs w:val="24"/>
        </w:rPr>
        <w:t xml:space="preserve"> </w:t>
      </w:r>
      <w:r w:rsidRPr="001B4523">
        <w:rPr>
          <w:rFonts w:ascii="Calibri" w:hAnsi="Calibri" w:cs="Calibri"/>
          <w:b/>
          <w:bCs/>
          <w:sz w:val="24"/>
          <w:szCs w:val="24"/>
        </w:rPr>
        <w:t>plot</w:t>
      </w:r>
      <w:r w:rsidRPr="001B4523">
        <w:rPr>
          <w:rFonts w:ascii="Calibri" w:hAnsi="Calibri" w:cs="Calibri"/>
          <w:sz w:val="24"/>
          <w:szCs w:val="24"/>
        </w:rPr>
        <w:t xml:space="preserve">, the visualization "Graduate Student Financial Burden: Tuition, Income, and Taxi Costs" explores the relationship between three key indicators across various Metropolitan Statistical Areas (MSAs). These indicators include Graduate Tuition Fee, Median Household Income, and Taxi Costs, differentiated by </w:t>
      </w:r>
      <w:r w:rsidR="00413093" w:rsidRPr="001B4523">
        <w:rPr>
          <w:rFonts w:ascii="Calibri" w:hAnsi="Calibri" w:cs="Calibri"/>
          <w:sz w:val="24"/>
          <w:szCs w:val="24"/>
        </w:rPr>
        <w:t>in state</w:t>
      </w:r>
      <w:r w:rsidRPr="001B4523">
        <w:rPr>
          <w:rFonts w:ascii="Calibri" w:hAnsi="Calibri" w:cs="Calibri"/>
          <w:sz w:val="24"/>
          <w:szCs w:val="24"/>
        </w:rPr>
        <w:t xml:space="preserve"> and out-of-state categories. </w:t>
      </w:r>
      <w:r w:rsidRPr="001B4523">
        <w:rPr>
          <w:rFonts w:ascii="Calibri" w:hAnsi="Calibri" w:cs="Calibri"/>
          <w:b/>
          <w:bCs/>
          <w:sz w:val="24"/>
          <w:szCs w:val="24"/>
        </w:rPr>
        <w:t>By integrating data from multiple sources, including the Integrated Postsecondary Education System (IPEDS) for tuition fees, the US Census Bureau for household income, and Numbeo Data for taxi costs, this visualization provides a holistic view of the financial burden faced by graduate students.</w:t>
      </w:r>
      <w:r w:rsidRPr="001B4523">
        <w:rPr>
          <w:rFonts w:ascii="Calibri" w:hAnsi="Calibri" w:cs="Calibri"/>
          <w:sz w:val="24"/>
          <w:szCs w:val="24"/>
        </w:rPr>
        <w:t xml:space="preserve"> The scatter plot allows for the examination of correlations and trends between these variables, offering insights into the affordability challenges encountered by graduate students across different MSAs. Additionally, the inclusion of the taxi costs factor provides a unique perspective on the overall financial landscape, highlighting the impact of transportation expenses on students' budgets. Through this analysis, policymakers, educators, and students can gain valuable insights into the financial dynamics of pursuing higher education in various regions, aiding in informed decision-making and resource allocation efforts.</w:t>
      </w:r>
    </w:p>
    <w:p w14:paraId="5A20EB29" w14:textId="77777777" w:rsidR="006923A6" w:rsidRPr="001B4523" w:rsidRDefault="006923A6" w:rsidP="00D07D81">
      <w:pPr>
        <w:rPr>
          <w:rFonts w:ascii="Calibri" w:hAnsi="Calibri" w:cs="Calibri"/>
          <w:sz w:val="24"/>
          <w:szCs w:val="24"/>
        </w:rPr>
      </w:pPr>
    </w:p>
    <w:p w14:paraId="1783F76D" w14:textId="090B4B3A" w:rsidR="00413093" w:rsidRPr="001B4523" w:rsidRDefault="006923A6" w:rsidP="00D07D81">
      <w:pPr>
        <w:rPr>
          <w:rFonts w:ascii="Calibri" w:hAnsi="Calibri" w:cs="Calibri"/>
          <w:sz w:val="24"/>
          <w:szCs w:val="24"/>
        </w:rPr>
      </w:pPr>
      <w:r w:rsidRPr="001B4523">
        <w:rPr>
          <w:rFonts w:ascii="Calibri" w:hAnsi="Calibri" w:cs="Calibri"/>
          <w:noProof/>
          <w:sz w:val="24"/>
          <w:szCs w:val="24"/>
        </w:rPr>
        <w:drawing>
          <wp:inline distT="0" distB="0" distL="0" distR="0" wp14:anchorId="17FD0DCA" wp14:editId="6F4E8034">
            <wp:extent cx="5433060" cy="2949526"/>
            <wp:effectExtent l="0" t="0" r="0" b="3810"/>
            <wp:docPr id="210134001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40011" name="Picture 1" descr="A screen shot of a graph&#10;&#10;Description automatically generated"/>
                    <pic:cNvPicPr/>
                  </pic:nvPicPr>
                  <pic:blipFill>
                    <a:blip r:embed="rId26"/>
                    <a:stretch>
                      <a:fillRect/>
                    </a:stretch>
                  </pic:blipFill>
                  <pic:spPr>
                    <a:xfrm>
                      <a:off x="0" y="0"/>
                      <a:ext cx="5434652" cy="2950390"/>
                    </a:xfrm>
                    <a:prstGeom prst="rect">
                      <a:avLst/>
                    </a:prstGeom>
                  </pic:spPr>
                </pic:pic>
              </a:graphicData>
            </a:graphic>
          </wp:inline>
        </w:drawing>
      </w:r>
    </w:p>
    <w:p w14:paraId="59A45E77" w14:textId="77777777" w:rsidR="00816812" w:rsidRPr="001B4523" w:rsidRDefault="00816812" w:rsidP="00816812">
      <w:pPr>
        <w:rPr>
          <w:rFonts w:ascii="Calibri" w:hAnsi="Calibri" w:cs="Calibri"/>
          <w:sz w:val="24"/>
          <w:szCs w:val="24"/>
          <w:u w:val="single"/>
        </w:rPr>
      </w:pPr>
      <w:r w:rsidRPr="001B4523">
        <w:rPr>
          <w:rFonts w:ascii="Calibri" w:hAnsi="Calibri" w:cs="Calibri"/>
          <w:sz w:val="24"/>
          <w:szCs w:val="24"/>
          <w:u w:val="single"/>
        </w:rPr>
        <w:lastRenderedPageBreak/>
        <w:t>In-State Undergraduate Tuition:</w:t>
      </w:r>
    </w:p>
    <w:p w14:paraId="11C8DB97" w14:textId="77777777" w:rsidR="00816812" w:rsidRPr="001B4523" w:rsidRDefault="00816812" w:rsidP="00816812">
      <w:pPr>
        <w:rPr>
          <w:rFonts w:ascii="Calibri" w:hAnsi="Calibri" w:cs="Calibri"/>
          <w:sz w:val="24"/>
          <w:szCs w:val="24"/>
        </w:rPr>
      </w:pPr>
      <w:r w:rsidRPr="001B4523">
        <w:rPr>
          <w:rFonts w:ascii="Calibri" w:hAnsi="Calibri" w:cs="Calibri"/>
          <w:sz w:val="24"/>
          <w:szCs w:val="24"/>
        </w:rPr>
        <w:t>Portland-South Portland, ME, stands out with the highest undergraduate in-state tuition fee among the analyzed MSAs, reaching $25,412.05. This highlights the significant financial burden faced by in-state undergraduate students in this area.</w:t>
      </w:r>
    </w:p>
    <w:p w14:paraId="619CF9F5" w14:textId="77777777" w:rsidR="00816812" w:rsidRPr="001B4523" w:rsidRDefault="00816812" w:rsidP="00816812">
      <w:pPr>
        <w:rPr>
          <w:rFonts w:ascii="Calibri" w:hAnsi="Calibri" w:cs="Calibri"/>
          <w:sz w:val="24"/>
          <w:szCs w:val="24"/>
        </w:rPr>
      </w:pPr>
      <w:r w:rsidRPr="001B4523">
        <w:rPr>
          <w:rFonts w:ascii="Calibri" w:hAnsi="Calibri" w:cs="Calibri"/>
          <w:sz w:val="24"/>
          <w:szCs w:val="24"/>
        </w:rPr>
        <w:t>Conversely, Phoenix-Mesa-Chandler, AZ, reports the lowest undergraduate in-state tuition fee at $10,798.88, indicating comparatively more accessible educational opportunities for in-state undergraduate students in this MSA.</w:t>
      </w:r>
    </w:p>
    <w:p w14:paraId="5E2E1E7E" w14:textId="77777777" w:rsidR="00816812" w:rsidRPr="001B4523" w:rsidRDefault="00816812" w:rsidP="00816812">
      <w:pPr>
        <w:rPr>
          <w:rFonts w:ascii="Calibri" w:hAnsi="Calibri" w:cs="Calibri"/>
          <w:sz w:val="24"/>
          <w:szCs w:val="24"/>
          <w:u w:val="single"/>
        </w:rPr>
      </w:pPr>
      <w:r w:rsidRPr="001B4523">
        <w:rPr>
          <w:rFonts w:ascii="Calibri" w:hAnsi="Calibri" w:cs="Calibri"/>
          <w:sz w:val="24"/>
          <w:szCs w:val="24"/>
          <w:u w:val="single"/>
        </w:rPr>
        <w:t>Out-of-State Graduate Tuition:</w:t>
      </w:r>
    </w:p>
    <w:p w14:paraId="2A54B698" w14:textId="77777777" w:rsidR="00816812" w:rsidRPr="001B4523" w:rsidRDefault="00816812" w:rsidP="00816812">
      <w:pPr>
        <w:rPr>
          <w:rFonts w:ascii="Calibri" w:hAnsi="Calibri" w:cs="Calibri"/>
          <w:sz w:val="24"/>
          <w:szCs w:val="24"/>
        </w:rPr>
      </w:pPr>
      <w:r w:rsidRPr="001B4523">
        <w:rPr>
          <w:rFonts w:ascii="Calibri" w:hAnsi="Calibri" w:cs="Calibri"/>
          <w:sz w:val="24"/>
          <w:szCs w:val="24"/>
        </w:rPr>
        <w:t>Seattle-Tacoma-Bellevue, WA, records the highest out-of-state graduate tuition fee at $23,940.06, suggesting a substantial financial investment required for out-of-state graduate students pursuing higher education in this region.</w:t>
      </w:r>
    </w:p>
    <w:p w14:paraId="1272E154" w14:textId="0EEDB180" w:rsidR="006923A6" w:rsidRPr="001B4523" w:rsidRDefault="00816812" w:rsidP="00816812">
      <w:pPr>
        <w:rPr>
          <w:rFonts w:ascii="Calibri" w:hAnsi="Calibri" w:cs="Calibri"/>
          <w:sz w:val="24"/>
          <w:szCs w:val="24"/>
        </w:rPr>
      </w:pPr>
      <w:r w:rsidRPr="001B4523">
        <w:rPr>
          <w:rFonts w:ascii="Calibri" w:hAnsi="Calibri" w:cs="Calibri"/>
          <w:sz w:val="24"/>
          <w:szCs w:val="24"/>
        </w:rPr>
        <w:t>On the other hand, Tampa-St. Petersburg-Clearwater, FL, reports the lowest graduate out-of-state tuition fee at $14,575.67, potentially making it a more financially feasible option for out-of-state graduate students seeking advanced degrees compared to other MSAs.</w:t>
      </w:r>
    </w:p>
    <w:p w14:paraId="3B3E61D5" w14:textId="77777777" w:rsidR="009B675E" w:rsidRPr="001B4523" w:rsidRDefault="009B675E" w:rsidP="009B675E">
      <w:pPr>
        <w:rPr>
          <w:rFonts w:ascii="Calibri" w:hAnsi="Calibri" w:cs="Calibri"/>
          <w:sz w:val="24"/>
          <w:szCs w:val="24"/>
          <w:u w:val="single"/>
        </w:rPr>
      </w:pPr>
      <w:r w:rsidRPr="001B4523">
        <w:rPr>
          <w:rFonts w:ascii="Calibri" w:hAnsi="Calibri" w:cs="Calibri"/>
          <w:sz w:val="24"/>
          <w:szCs w:val="24"/>
          <w:u w:val="single"/>
        </w:rPr>
        <w:t>Median Household Income and Taxi Costs Across MSAs:</w:t>
      </w:r>
    </w:p>
    <w:p w14:paraId="633C0ECE" w14:textId="77777777" w:rsidR="009B675E" w:rsidRPr="001B4523" w:rsidRDefault="009B675E" w:rsidP="009B675E">
      <w:pPr>
        <w:rPr>
          <w:rFonts w:ascii="Calibri" w:hAnsi="Calibri" w:cs="Calibri"/>
          <w:sz w:val="24"/>
          <w:szCs w:val="24"/>
        </w:rPr>
      </w:pPr>
      <w:r w:rsidRPr="001B4523">
        <w:rPr>
          <w:rFonts w:ascii="Calibri" w:hAnsi="Calibri" w:cs="Calibri"/>
          <w:sz w:val="24"/>
          <w:szCs w:val="24"/>
        </w:rPr>
        <w:t>Seattle-Tacoma-Bellevue, WA, boasts the highest median household income among the analyzed MSAs, indicating relatively higher income levels for residents in this area. However, it also reports high in-state tuition fees, suggesting a potential strain on local students.</w:t>
      </w:r>
    </w:p>
    <w:p w14:paraId="1210DA4B" w14:textId="77777777" w:rsidR="009B675E" w:rsidRPr="001B4523" w:rsidRDefault="009B675E" w:rsidP="009B675E">
      <w:pPr>
        <w:rPr>
          <w:rFonts w:ascii="Calibri" w:hAnsi="Calibri" w:cs="Calibri"/>
          <w:sz w:val="24"/>
          <w:szCs w:val="24"/>
        </w:rPr>
      </w:pPr>
      <w:r w:rsidRPr="001B4523">
        <w:rPr>
          <w:rFonts w:ascii="Calibri" w:hAnsi="Calibri" w:cs="Calibri"/>
          <w:sz w:val="24"/>
          <w:szCs w:val="24"/>
        </w:rPr>
        <w:t>Tampa-St. Petersburg-Clearwater, FL, exhibits the lowest median household income, implying tighter financial constraints for residents. Despite this, the area reports moderate taxi costs, potentially mitigating some transportation-related financial burdens for residents.</w:t>
      </w:r>
    </w:p>
    <w:p w14:paraId="4D9A3A3C" w14:textId="2B93207A" w:rsidR="00816812" w:rsidRPr="001B4523" w:rsidRDefault="009B675E" w:rsidP="009B675E">
      <w:pPr>
        <w:rPr>
          <w:rFonts w:ascii="Calibri" w:hAnsi="Calibri" w:cs="Calibri"/>
          <w:sz w:val="24"/>
          <w:szCs w:val="24"/>
        </w:rPr>
      </w:pPr>
      <w:r w:rsidRPr="001B4523">
        <w:rPr>
          <w:rFonts w:ascii="Calibri" w:hAnsi="Calibri" w:cs="Calibri"/>
          <w:sz w:val="24"/>
          <w:szCs w:val="24"/>
        </w:rPr>
        <w:t>These insights underscore the complex interplay between tuition fees, median household income, and transportation costs, highlighting the importance of considering multiple factors when assessing the financial burden on residents, including graduate students, across different MSAs.</w:t>
      </w:r>
    </w:p>
    <w:p w14:paraId="5F1AD4DC" w14:textId="77777777" w:rsidR="006923A6" w:rsidRPr="001B4523" w:rsidRDefault="006923A6" w:rsidP="00D07D81">
      <w:pPr>
        <w:rPr>
          <w:rFonts w:ascii="Calibri" w:hAnsi="Calibri" w:cs="Calibri"/>
          <w:sz w:val="24"/>
          <w:szCs w:val="24"/>
        </w:rPr>
      </w:pPr>
    </w:p>
    <w:p w14:paraId="6ED0E6DA" w14:textId="77777777" w:rsidR="006923A6" w:rsidRPr="001B4523" w:rsidRDefault="006923A6" w:rsidP="00D07D81">
      <w:pPr>
        <w:rPr>
          <w:rFonts w:ascii="Calibri" w:hAnsi="Calibri" w:cs="Calibri"/>
          <w:sz w:val="24"/>
          <w:szCs w:val="24"/>
        </w:rPr>
      </w:pPr>
    </w:p>
    <w:p w14:paraId="0E9E3F73" w14:textId="77777777" w:rsidR="00492954" w:rsidRPr="001B4523" w:rsidRDefault="00492954" w:rsidP="00D07D81">
      <w:pPr>
        <w:rPr>
          <w:rFonts w:ascii="Calibri" w:hAnsi="Calibri" w:cs="Calibri"/>
          <w:sz w:val="24"/>
          <w:szCs w:val="24"/>
        </w:rPr>
      </w:pPr>
    </w:p>
    <w:p w14:paraId="398E529E" w14:textId="77777777" w:rsidR="00492954" w:rsidRPr="001B4523" w:rsidRDefault="00492954" w:rsidP="00D07D81">
      <w:pPr>
        <w:rPr>
          <w:rFonts w:ascii="Calibri" w:hAnsi="Calibri" w:cs="Calibri"/>
          <w:sz w:val="24"/>
          <w:szCs w:val="24"/>
        </w:rPr>
      </w:pPr>
    </w:p>
    <w:p w14:paraId="53ECCB7F" w14:textId="77777777" w:rsidR="00492954" w:rsidRPr="001B4523" w:rsidRDefault="00492954" w:rsidP="00D07D81">
      <w:pPr>
        <w:rPr>
          <w:rFonts w:ascii="Calibri" w:hAnsi="Calibri" w:cs="Calibri"/>
          <w:sz w:val="24"/>
          <w:szCs w:val="24"/>
        </w:rPr>
      </w:pPr>
    </w:p>
    <w:p w14:paraId="5E087C34" w14:textId="77777777" w:rsidR="00492954" w:rsidRPr="001B4523" w:rsidRDefault="00492954" w:rsidP="00D07D81">
      <w:pPr>
        <w:rPr>
          <w:rFonts w:ascii="Calibri" w:hAnsi="Calibri" w:cs="Calibri"/>
          <w:sz w:val="24"/>
          <w:szCs w:val="24"/>
        </w:rPr>
      </w:pPr>
    </w:p>
    <w:p w14:paraId="45644336" w14:textId="77777777" w:rsidR="00493CD7" w:rsidRDefault="00493CD7" w:rsidP="0082535A">
      <w:pPr>
        <w:rPr>
          <w:rFonts w:ascii="Calibri" w:hAnsi="Calibri" w:cs="Calibri"/>
          <w:sz w:val="24"/>
          <w:szCs w:val="24"/>
        </w:rPr>
      </w:pPr>
    </w:p>
    <w:p w14:paraId="7F228A62" w14:textId="77777777" w:rsidR="004140B9" w:rsidRPr="001B4523" w:rsidRDefault="004140B9" w:rsidP="0082535A">
      <w:pPr>
        <w:rPr>
          <w:rFonts w:ascii="Calibri" w:hAnsi="Calibri" w:cs="Calibri"/>
          <w:sz w:val="24"/>
          <w:szCs w:val="24"/>
        </w:rPr>
      </w:pPr>
    </w:p>
    <w:p w14:paraId="0922FF89" w14:textId="13F96CE4" w:rsidR="00493CD7" w:rsidRPr="001B4523" w:rsidRDefault="00493CD7" w:rsidP="00493CD7">
      <w:pPr>
        <w:jc w:val="center"/>
        <w:rPr>
          <w:rFonts w:ascii="Calibri" w:hAnsi="Calibri" w:cs="Calibri"/>
          <w:b/>
          <w:bCs/>
          <w:sz w:val="32"/>
          <w:szCs w:val="32"/>
        </w:rPr>
      </w:pPr>
      <w:r w:rsidRPr="001B4523">
        <w:rPr>
          <w:rFonts w:ascii="Calibri" w:hAnsi="Calibri" w:cs="Calibri"/>
          <w:b/>
          <w:bCs/>
          <w:sz w:val="32"/>
          <w:szCs w:val="32"/>
        </w:rPr>
        <w:lastRenderedPageBreak/>
        <w:t>Dashboard 1</w:t>
      </w:r>
    </w:p>
    <w:p w14:paraId="02BABBC4" w14:textId="363A443F" w:rsidR="00493CD7" w:rsidRPr="001B4523" w:rsidRDefault="00B66829" w:rsidP="0082535A">
      <w:pPr>
        <w:rPr>
          <w:rFonts w:ascii="Calibri" w:hAnsi="Calibri" w:cs="Calibri"/>
          <w:sz w:val="24"/>
          <w:szCs w:val="24"/>
        </w:rPr>
      </w:pPr>
      <w:r w:rsidRPr="001B4523">
        <w:rPr>
          <w:rFonts w:ascii="Calibri" w:hAnsi="Calibri" w:cs="Calibri"/>
          <w:noProof/>
          <w:sz w:val="24"/>
          <w:szCs w:val="24"/>
        </w:rPr>
        <w:drawing>
          <wp:inline distT="0" distB="0" distL="0" distR="0" wp14:anchorId="7458EF70" wp14:editId="191170C5">
            <wp:extent cx="6797727" cy="3528060"/>
            <wp:effectExtent l="0" t="0" r="0" b="0"/>
            <wp:docPr id="923590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90788" name="Picture 1" descr="A screenshot of a computer&#10;&#10;Description automatically generated"/>
                    <pic:cNvPicPr/>
                  </pic:nvPicPr>
                  <pic:blipFill>
                    <a:blip r:embed="rId27"/>
                    <a:stretch>
                      <a:fillRect/>
                    </a:stretch>
                  </pic:blipFill>
                  <pic:spPr>
                    <a:xfrm>
                      <a:off x="0" y="0"/>
                      <a:ext cx="6804660" cy="3531658"/>
                    </a:xfrm>
                    <a:prstGeom prst="rect">
                      <a:avLst/>
                    </a:prstGeom>
                  </pic:spPr>
                </pic:pic>
              </a:graphicData>
            </a:graphic>
          </wp:inline>
        </w:drawing>
      </w:r>
    </w:p>
    <w:p w14:paraId="3CFB2B11" w14:textId="77777777" w:rsidR="00493CD7" w:rsidRPr="001B4523" w:rsidRDefault="00493CD7" w:rsidP="0082535A">
      <w:pPr>
        <w:rPr>
          <w:rFonts w:ascii="Calibri" w:hAnsi="Calibri" w:cs="Calibri"/>
          <w:sz w:val="24"/>
          <w:szCs w:val="24"/>
        </w:rPr>
      </w:pPr>
    </w:p>
    <w:p w14:paraId="27E0EB5B" w14:textId="50C1FC5C" w:rsidR="00C66BBD" w:rsidRPr="001B4523" w:rsidRDefault="00BD60C2" w:rsidP="00493CD7">
      <w:pPr>
        <w:jc w:val="center"/>
        <w:rPr>
          <w:rFonts w:ascii="Calibri" w:hAnsi="Calibri" w:cs="Calibri"/>
          <w:b/>
          <w:bCs/>
          <w:sz w:val="32"/>
          <w:szCs w:val="32"/>
        </w:rPr>
      </w:pPr>
      <w:r w:rsidRPr="001B4523">
        <w:rPr>
          <w:rFonts w:ascii="Calibri" w:hAnsi="Calibri" w:cs="Calibri"/>
          <w:b/>
          <w:bCs/>
          <w:sz w:val="32"/>
          <w:szCs w:val="32"/>
        </w:rPr>
        <w:t xml:space="preserve">Dashboard </w:t>
      </w:r>
      <w:r w:rsidR="00493CD7" w:rsidRPr="001B4523">
        <w:rPr>
          <w:rFonts w:ascii="Calibri" w:hAnsi="Calibri" w:cs="Calibri"/>
          <w:b/>
          <w:bCs/>
          <w:sz w:val="32"/>
          <w:szCs w:val="32"/>
        </w:rPr>
        <w:t>2</w:t>
      </w:r>
    </w:p>
    <w:p w14:paraId="014C7160" w14:textId="6FA504BA" w:rsidR="00BD60C2" w:rsidRPr="001B4523" w:rsidRDefault="00A57570" w:rsidP="00413093">
      <w:pPr>
        <w:jc w:val="center"/>
        <w:rPr>
          <w:rFonts w:ascii="Calibri" w:hAnsi="Calibri" w:cs="Calibri"/>
          <w:b/>
          <w:bCs/>
          <w:sz w:val="32"/>
          <w:szCs w:val="32"/>
        </w:rPr>
      </w:pPr>
      <w:r w:rsidRPr="001B4523">
        <w:rPr>
          <w:rFonts w:ascii="Calibri" w:hAnsi="Calibri" w:cs="Calibri"/>
          <w:b/>
          <w:bCs/>
          <w:noProof/>
          <w:sz w:val="32"/>
          <w:szCs w:val="32"/>
        </w:rPr>
        <w:drawing>
          <wp:inline distT="0" distB="0" distL="0" distR="0" wp14:anchorId="0BACE934" wp14:editId="7A4389C7">
            <wp:extent cx="6515100" cy="3395345"/>
            <wp:effectExtent l="0" t="0" r="0" b="0"/>
            <wp:docPr id="877847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47271" name="Picture 1" descr="A screenshot of a computer&#10;&#10;Description automatically generated"/>
                    <pic:cNvPicPr/>
                  </pic:nvPicPr>
                  <pic:blipFill>
                    <a:blip r:embed="rId28"/>
                    <a:stretch>
                      <a:fillRect/>
                    </a:stretch>
                  </pic:blipFill>
                  <pic:spPr>
                    <a:xfrm>
                      <a:off x="0" y="0"/>
                      <a:ext cx="6515100" cy="3395345"/>
                    </a:xfrm>
                    <a:prstGeom prst="rect">
                      <a:avLst/>
                    </a:prstGeom>
                  </pic:spPr>
                </pic:pic>
              </a:graphicData>
            </a:graphic>
          </wp:inline>
        </w:drawing>
      </w:r>
    </w:p>
    <w:p w14:paraId="44451330" w14:textId="77777777" w:rsidR="00227FDC" w:rsidRPr="001B4523" w:rsidRDefault="00227FDC" w:rsidP="00227FDC">
      <w:pPr>
        <w:rPr>
          <w:rFonts w:ascii="Calibri" w:hAnsi="Calibri" w:cs="Calibri"/>
          <w:sz w:val="24"/>
          <w:szCs w:val="24"/>
        </w:rPr>
      </w:pPr>
      <w:r w:rsidRPr="001B4523">
        <w:rPr>
          <w:rFonts w:ascii="Calibri" w:hAnsi="Calibri" w:cs="Calibri"/>
          <w:b/>
          <w:bCs/>
          <w:sz w:val="24"/>
          <w:szCs w:val="24"/>
        </w:rPr>
        <w:lastRenderedPageBreak/>
        <w:t>Conclusion: Exploring Affordability for Different MSAs</w:t>
      </w:r>
    </w:p>
    <w:p w14:paraId="28FDF5E0" w14:textId="77777777" w:rsidR="00227FDC" w:rsidRPr="001B4523" w:rsidRDefault="00227FDC" w:rsidP="00227FDC">
      <w:pPr>
        <w:rPr>
          <w:rFonts w:ascii="Calibri" w:hAnsi="Calibri" w:cs="Calibri"/>
          <w:sz w:val="24"/>
          <w:szCs w:val="24"/>
        </w:rPr>
      </w:pPr>
      <w:r w:rsidRPr="001B4523">
        <w:rPr>
          <w:rFonts w:ascii="Calibri" w:hAnsi="Calibri" w:cs="Calibri"/>
          <w:sz w:val="24"/>
          <w:szCs w:val="24"/>
        </w:rPr>
        <w:t>This project delved into various dimensions of affordability across Metropolitan Statistical Areas (MSAs), utilizing diverse datasets and visualizations to understand the economic landscape and challenges faced by residents. Here are the key conclusions drawn from the analysis:</w:t>
      </w:r>
    </w:p>
    <w:p w14:paraId="31CE5942" w14:textId="77777777" w:rsidR="00227FDC" w:rsidRPr="001B4523" w:rsidRDefault="00227FDC" w:rsidP="00227FDC">
      <w:pPr>
        <w:numPr>
          <w:ilvl w:val="0"/>
          <w:numId w:val="3"/>
        </w:numPr>
        <w:rPr>
          <w:rFonts w:ascii="Calibri" w:hAnsi="Calibri" w:cs="Calibri"/>
          <w:sz w:val="24"/>
          <w:szCs w:val="24"/>
        </w:rPr>
      </w:pPr>
      <w:r w:rsidRPr="001B4523">
        <w:rPr>
          <w:rFonts w:ascii="Calibri" w:hAnsi="Calibri" w:cs="Calibri"/>
          <w:b/>
          <w:bCs/>
          <w:sz w:val="24"/>
          <w:szCs w:val="24"/>
        </w:rPr>
        <w:t>Housing Affordability</w:t>
      </w:r>
      <w:r w:rsidRPr="001B4523">
        <w:rPr>
          <w:rFonts w:ascii="Calibri" w:hAnsi="Calibri" w:cs="Calibri"/>
          <w:sz w:val="24"/>
          <w:szCs w:val="24"/>
        </w:rPr>
        <w:t>: The cost of housing has exhibited significant variation across different MSAs over the past decade. While some areas have experienced steady growth, others have seen more volatile trends. In particular, the Tampa-St. Petersburg-Clearwater, FL area has maintained relatively moderate housing costs compared to some other MSAs.</w:t>
      </w:r>
    </w:p>
    <w:p w14:paraId="54430C5F" w14:textId="77777777" w:rsidR="00227FDC" w:rsidRPr="001B4523" w:rsidRDefault="00227FDC" w:rsidP="00227FDC">
      <w:pPr>
        <w:numPr>
          <w:ilvl w:val="0"/>
          <w:numId w:val="3"/>
        </w:numPr>
        <w:rPr>
          <w:rFonts w:ascii="Calibri" w:hAnsi="Calibri" w:cs="Calibri"/>
          <w:sz w:val="24"/>
          <w:szCs w:val="24"/>
        </w:rPr>
      </w:pPr>
      <w:r w:rsidRPr="001B4523">
        <w:rPr>
          <w:rFonts w:ascii="Calibri" w:hAnsi="Calibri" w:cs="Calibri"/>
          <w:b/>
          <w:bCs/>
          <w:sz w:val="24"/>
          <w:szCs w:val="24"/>
        </w:rPr>
        <w:t>Income-Rent Correlation</w:t>
      </w:r>
      <w:r w:rsidRPr="001B4523">
        <w:rPr>
          <w:rFonts w:ascii="Calibri" w:hAnsi="Calibri" w:cs="Calibri"/>
          <w:sz w:val="24"/>
          <w:szCs w:val="24"/>
        </w:rPr>
        <w:t>: There exists a discernible correlation between median household income and median gross rent in most MSAs. Generally, areas with higher median household incomes tend to have higher median gross rents. However, this relationship may vary across regions due to factors like local economic conditions and housing market dynamics.</w:t>
      </w:r>
    </w:p>
    <w:p w14:paraId="2B3E78B9" w14:textId="5873DABD" w:rsidR="00227FDC" w:rsidRPr="001B4523" w:rsidRDefault="00227FDC" w:rsidP="00227FDC">
      <w:pPr>
        <w:numPr>
          <w:ilvl w:val="0"/>
          <w:numId w:val="3"/>
        </w:numPr>
        <w:rPr>
          <w:rFonts w:ascii="Calibri" w:hAnsi="Calibri" w:cs="Calibri"/>
          <w:sz w:val="24"/>
          <w:szCs w:val="24"/>
        </w:rPr>
      </w:pPr>
      <w:r w:rsidRPr="001B4523">
        <w:rPr>
          <w:rFonts w:ascii="Calibri" w:hAnsi="Calibri" w:cs="Calibri"/>
          <w:b/>
          <w:bCs/>
          <w:sz w:val="24"/>
          <w:szCs w:val="24"/>
        </w:rPr>
        <w:t>Education Affordability</w:t>
      </w:r>
      <w:r w:rsidRPr="001B4523">
        <w:rPr>
          <w:rFonts w:ascii="Calibri" w:hAnsi="Calibri" w:cs="Calibri"/>
          <w:sz w:val="24"/>
          <w:szCs w:val="24"/>
        </w:rPr>
        <w:t xml:space="preserve">: Tuition fees for both graduate and undergraduate programs have risen steadily across MSAs, with considerable disparities between </w:t>
      </w:r>
      <w:r w:rsidR="004140B9" w:rsidRPr="001B4523">
        <w:rPr>
          <w:rFonts w:ascii="Calibri" w:hAnsi="Calibri" w:cs="Calibri"/>
          <w:sz w:val="24"/>
          <w:szCs w:val="24"/>
        </w:rPr>
        <w:t>in state</w:t>
      </w:r>
      <w:r w:rsidRPr="001B4523">
        <w:rPr>
          <w:rFonts w:ascii="Calibri" w:hAnsi="Calibri" w:cs="Calibri"/>
          <w:sz w:val="24"/>
          <w:szCs w:val="24"/>
        </w:rPr>
        <w:t xml:space="preserve"> and out-of-state rates. The Tampa-St. Petersburg-Clearwater, FL area has shown comparatively lower tuition fees for both categories, making education more accessible for residents.</w:t>
      </w:r>
    </w:p>
    <w:p w14:paraId="16AA0D61" w14:textId="77777777" w:rsidR="00227FDC" w:rsidRPr="001B4523" w:rsidRDefault="00227FDC" w:rsidP="00227FDC">
      <w:pPr>
        <w:numPr>
          <w:ilvl w:val="0"/>
          <w:numId w:val="3"/>
        </w:numPr>
        <w:rPr>
          <w:rFonts w:ascii="Calibri" w:hAnsi="Calibri" w:cs="Calibri"/>
          <w:sz w:val="24"/>
          <w:szCs w:val="24"/>
        </w:rPr>
      </w:pPr>
      <w:r w:rsidRPr="001B4523">
        <w:rPr>
          <w:rFonts w:ascii="Calibri" w:hAnsi="Calibri" w:cs="Calibri"/>
          <w:b/>
          <w:bCs/>
          <w:sz w:val="24"/>
          <w:szCs w:val="24"/>
        </w:rPr>
        <w:t>Cost of Commuting</w:t>
      </w:r>
      <w:r w:rsidRPr="001B4523">
        <w:rPr>
          <w:rFonts w:ascii="Calibri" w:hAnsi="Calibri" w:cs="Calibri"/>
          <w:sz w:val="24"/>
          <w:szCs w:val="24"/>
        </w:rPr>
        <w:t>: The affordability of commuting, including expenses like car buying costs and gasoline prices, varies widely across MSAs. While some areas have lower commuting costs, others face significant financial burdens related to transportation. The Tampa-St. Petersburg-Clearwater, FL area falls within the moderate range in terms of commuting costs.</w:t>
      </w:r>
    </w:p>
    <w:p w14:paraId="14CFF03F" w14:textId="77777777" w:rsidR="00227FDC" w:rsidRPr="001B4523" w:rsidRDefault="00227FDC" w:rsidP="00227FDC">
      <w:pPr>
        <w:numPr>
          <w:ilvl w:val="0"/>
          <w:numId w:val="3"/>
        </w:numPr>
        <w:rPr>
          <w:rFonts w:ascii="Calibri" w:hAnsi="Calibri" w:cs="Calibri"/>
          <w:sz w:val="24"/>
          <w:szCs w:val="24"/>
        </w:rPr>
      </w:pPr>
      <w:r w:rsidRPr="001B4523">
        <w:rPr>
          <w:rFonts w:ascii="Calibri" w:hAnsi="Calibri" w:cs="Calibri"/>
          <w:b/>
          <w:bCs/>
          <w:sz w:val="24"/>
          <w:szCs w:val="24"/>
        </w:rPr>
        <w:t>Healthcare Affordability</w:t>
      </w:r>
      <w:r w:rsidRPr="001B4523">
        <w:rPr>
          <w:rFonts w:ascii="Calibri" w:hAnsi="Calibri" w:cs="Calibri"/>
          <w:sz w:val="24"/>
          <w:szCs w:val="24"/>
        </w:rPr>
        <w:t>: Disparities exist in health insurance coverage rates between public and private insurance across MSAs. Access to healthcare remains a critical issue, with some areas demonstrating higher rates of uninsured individuals. Efforts to improve healthcare accessibility and affordability are essential to address these disparities.</w:t>
      </w:r>
    </w:p>
    <w:p w14:paraId="08406899" w14:textId="77777777" w:rsidR="00227FDC" w:rsidRPr="001B4523" w:rsidRDefault="00227FDC" w:rsidP="00227FDC">
      <w:pPr>
        <w:numPr>
          <w:ilvl w:val="0"/>
          <w:numId w:val="3"/>
        </w:numPr>
        <w:rPr>
          <w:rFonts w:ascii="Calibri" w:hAnsi="Calibri" w:cs="Calibri"/>
          <w:sz w:val="24"/>
          <w:szCs w:val="24"/>
        </w:rPr>
      </w:pPr>
      <w:r w:rsidRPr="001B4523">
        <w:rPr>
          <w:rFonts w:ascii="Calibri" w:hAnsi="Calibri" w:cs="Calibri"/>
          <w:b/>
          <w:bCs/>
          <w:sz w:val="24"/>
          <w:szCs w:val="24"/>
        </w:rPr>
        <w:t>Medicare Spending</w:t>
      </w:r>
      <w:r w:rsidRPr="001B4523">
        <w:rPr>
          <w:rFonts w:ascii="Calibri" w:hAnsi="Calibri" w:cs="Calibri"/>
          <w:sz w:val="24"/>
          <w:szCs w:val="24"/>
        </w:rPr>
        <w:t>: Medicare spending varies not only across different MSAs but also within counties within the same MSA. Understanding the factors influencing Medicare spending is crucial for policymakers to allocate resources effectively and ensure equitable healthcare access for residents.</w:t>
      </w:r>
    </w:p>
    <w:p w14:paraId="29F9628A" w14:textId="79AA36E0" w:rsidR="00227FDC" w:rsidRPr="001B4523" w:rsidRDefault="00227FDC" w:rsidP="00227FDC">
      <w:pPr>
        <w:numPr>
          <w:ilvl w:val="0"/>
          <w:numId w:val="3"/>
        </w:numPr>
        <w:rPr>
          <w:rFonts w:ascii="Calibri" w:hAnsi="Calibri" w:cs="Calibri"/>
          <w:sz w:val="24"/>
          <w:szCs w:val="24"/>
        </w:rPr>
      </w:pPr>
      <w:r w:rsidRPr="001B4523">
        <w:rPr>
          <w:rFonts w:ascii="Calibri" w:hAnsi="Calibri" w:cs="Calibri"/>
          <w:b/>
          <w:bCs/>
          <w:sz w:val="24"/>
          <w:szCs w:val="24"/>
        </w:rPr>
        <w:t>Cost of Living</w:t>
      </w:r>
      <w:r w:rsidRPr="001B4523">
        <w:rPr>
          <w:rFonts w:ascii="Calibri" w:hAnsi="Calibri" w:cs="Calibri"/>
          <w:sz w:val="24"/>
          <w:szCs w:val="24"/>
        </w:rPr>
        <w:t xml:space="preserve">: The </w:t>
      </w:r>
      <w:r w:rsidR="00FA24FA" w:rsidRPr="001B4523">
        <w:rPr>
          <w:rFonts w:ascii="Calibri" w:hAnsi="Calibri" w:cs="Calibri"/>
          <w:sz w:val="24"/>
          <w:szCs w:val="24"/>
        </w:rPr>
        <w:t>cost-of-living</w:t>
      </w:r>
      <w:r w:rsidRPr="001B4523">
        <w:rPr>
          <w:rFonts w:ascii="Calibri" w:hAnsi="Calibri" w:cs="Calibri"/>
          <w:sz w:val="24"/>
          <w:szCs w:val="24"/>
        </w:rPr>
        <w:t xml:space="preserve"> index reflects the overall affordability landscape in each MSA, encompassing factors like housing, utilities, goods, and other expenses. While some areas exhibit higher costs of living, others maintain more affordable conditions. The Tampa-St. Petersburg-Clearwater, FL area stands out as having a relatively moderate cost of living compared to several other MSAs.</w:t>
      </w:r>
    </w:p>
    <w:p w14:paraId="5F46215F" w14:textId="77777777" w:rsidR="00227FDC" w:rsidRPr="001B4523" w:rsidRDefault="00227FDC" w:rsidP="00227FDC">
      <w:pPr>
        <w:numPr>
          <w:ilvl w:val="0"/>
          <w:numId w:val="3"/>
        </w:numPr>
        <w:rPr>
          <w:rFonts w:ascii="Calibri" w:hAnsi="Calibri" w:cs="Calibri"/>
          <w:sz w:val="24"/>
          <w:szCs w:val="24"/>
        </w:rPr>
      </w:pPr>
      <w:r w:rsidRPr="001B4523">
        <w:rPr>
          <w:rFonts w:ascii="Calibri" w:hAnsi="Calibri" w:cs="Calibri"/>
          <w:b/>
          <w:bCs/>
          <w:sz w:val="24"/>
          <w:szCs w:val="24"/>
        </w:rPr>
        <w:t>Index Proportions</w:t>
      </w:r>
      <w:r w:rsidRPr="001B4523">
        <w:rPr>
          <w:rFonts w:ascii="Calibri" w:hAnsi="Calibri" w:cs="Calibri"/>
          <w:sz w:val="24"/>
          <w:szCs w:val="24"/>
        </w:rPr>
        <w:t xml:space="preserve">: Analyzing the proportions of various cost indexes provides insights into the components contributing to the overall cost of living in each MSA. Understanding these </w:t>
      </w:r>
      <w:r w:rsidRPr="001B4523">
        <w:rPr>
          <w:rFonts w:ascii="Calibri" w:hAnsi="Calibri" w:cs="Calibri"/>
          <w:sz w:val="24"/>
          <w:szCs w:val="24"/>
        </w:rPr>
        <w:lastRenderedPageBreak/>
        <w:t>proportions can inform policymakers and residents about areas where interventions or adjustments may be necessary to enhance affordability and quality of life.</w:t>
      </w:r>
    </w:p>
    <w:p w14:paraId="3E3ECD58" w14:textId="77777777" w:rsidR="00DC7B1D" w:rsidRPr="001B4523" w:rsidRDefault="00DC7B1D" w:rsidP="0082535A">
      <w:pPr>
        <w:rPr>
          <w:rFonts w:ascii="Calibri" w:hAnsi="Calibri" w:cs="Calibri"/>
          <w:b/>
          <w:bCs/>
          <w:sz w:val="24"/>
          <w:szCs w:val="24"/>
        </w:rPr>
      </w:pPr>
    </w:p>
    <w:p w14:paraId="02795B89" w14:textId="74BA9D65" w:rsidR="00DC7B1D" w:rsidRPr="001B4523" w:rsidRDefault="00DC7B1D" w:rsidP="0082535A">
      <w:pPr>
        <w:rPr>
          <w:rFonts w:ascii="Calibri" w:hAnsi="Calibri" w:cs="Calibri"/>
          <w:b/>
          <w:bCs/>
          <w:sz w:val="24"/>
          <w:szCs w:val="24"/>
        </w:rPr>
      </w:pPr>
      <w:r w:rsidRPr="00DC7B1D">
        <w:rPr>
          <w:rFonts w:ascii="Calibri" w:hAnsi="Calibri" w:cs="Calibri"/>
          <w:b/>
          <w:bCs/>
          <w:sz w:val="24"/>
          <w:szCs w:val="24"/>
        </w:rPr>
        <w:t>Further research questions</w:t>
      </w:r>
    </w:p>
    <w:p w14:paraId="6DEEDC7B" w14:textId="4849473D" w:rsidR="006F651D" w:rsidRPr="001B4523" w:rsidRDefault="002C065D" w:rsidP="0082535A">
      <w:pPr>
        <w:rPr>
          <w:rFonts w:ascii="Calibri" w:hAnsi="Calibri" w:cs="Calibri"/>
          <w:sz w:val="24"/>
          <w:szCs w:val="24"/>
        </w:rPr>
      </w:pPr>
      <w:r w:rsidRPr="001B4523">
        <w:rPr>
          <w:rFonts w:ascii="Calibri" w:hAnsi="Calibri" w:cs="Calibri"/>
          <w:sz w:val="24"/>
          <w:szCs w:val="24"/>
        </w:rPr>
        <w:t xml:space="preserve">Future research could delve deeper into understanding the underlying causes of these affordability trends. </w:t>
      </w:r>
    </w:p>
    <w:p w14:paraId="6871AD3C" w14:textId="5AE8AF60" w:rsidR="006F651D" w:rsidRPr="001B4523" w:rsidRDefault="00CC3E42" w:rsidP="006F651D">
      <w:pPr>
        <w:rPr>
          <w:rFonts w:ascii="Calibri" w:hAnsi="Calibri" w:cs="Calibri"/>
          <w:sz w:val="24"/>
          <w:szCs w:val="24"/>
        </w:rPr>
      </w:pPr>
      <w:r w:rsidRPr="001B4523">
        <w:rPr>
          <w:rFonts w:ascii="Calibri" w:hAnsi="Calibri" w:cs="Calibri"/>
          <w:sz w:val="24"/>
          <w:szCs w:val="24"/>
        </w:rPr>
        <w:t>Below</w:t>
      </w:r>
      <w:r w:rsidR="006F651D" w:rsidRPr="001B4523">
        <w:rPr>
          <w:rFonts w:ascii="Calibri" w:hAnsi="Calibri" w:cs="Calibri"/>
          <w:sz w:val="24"/>
          <w:szCs w:val="24"/>
        </w:rPr>
        <w:t xml:space="preserve"> </w:t>
      </w:r>
      <w:r w:rsidR="00DC7B1D" w:rsidRPr="001B4523">
        <w:rPr>
          <w:rFonts w:ascii="Calibri" w:hAnsi="Calibri" w:cs="Calibri"/>
          <w:sz w:val="24"/>
          <w:szCs w:val="24"/>
        </w:rPr>
        <w:t>are</w:t>
      </w:r>
      <w:r w:rsidR="006F651D" w:rsidRPr="001B4523">
        <w:rPr>
          <w:rFonts w:ascii="Calibri" w:hAnsi="Calibri" w:cs="Calibri"/>
          <w:sz w:val="24"/>
          <w:szCs w:val="24"/>
        </w:rPr>
        <w:t xml:space="preserve"> </w:t>
      </w:r>
      <w:r w:rsidR="00A30AEC" w:rsidRPr="001B4523">
        <w:rPr>
          <w:rFonts w:ascii="Calibri" w:hAnsi="Calibri" w:cs="Calibri"/>
          <w:sz w:val="24"/>
          <w:szCs w:val="24"/>
        </w:rPr>
        <w:t>further</w:t>
      </w:r>
      <w:r w:rsidR="006F651D" w:rsidRPr="001B4523">
        <w:rPr>
          <w:rFonts w:ascii="Calibri" w:hAnsi="Calibri" w:cs="Calibri"/>
          <w:sz w:val="24"/>
          <w:szCs w:val="24"/>
        </w:rPr>
        <w:t xml:space="preserve"> research questions </w:t>
      </w:r>
      <w:r w:rsidR="00801817" w:rsidRPr="001B4523">
        <w:rPr>
          <w:rFonts w:ascii="Calibri" w:hAnsi="Calibri" w:cs="Calibri"/>
          <w:sz w:val="24"/>
          <w:szCs w:val="24"/>
        </w:rPr>
        <w:t>which delve</w:t>
      </w:r>
      <w:r w:rsidR="006F651D" w:rsidRPr="001B4523">
        <w:rPr>
          <w:rFonts w:ascii="Calibri" w:hAnsi="Calibri" w:cs="Calibri"/>
          <w:sz w:val="24"/>
          <w:szCs w:val="24"/>
        </w:rPr>
        <w:t xml:space="preserve"> deeper into the complex interplay of factors influencing affordability dynamics within Metropolitan Statistical Areas (MSAs). </w:t>
      </w:r>
    </w:p>
    <w:p w14:paraId="68135FC4" w14:textId="6C0FB355" w:rsidR="006F651D" w:rsidRPr="001B4523" w:rsidRDefault="006F651D" w:rsidP="006F651D">
      <w:pPr>
        <w:rPr>
          <w:rFonts w:ascii="Calibri" w:hAnsi="Calibri" w:cs="Calibri"/>
          <w:sz w:val="24"/>
          <w:szCs w:val="24"/>
        </w:rPr>
      </w:pPr>
      <w:r w:rsidRPr="001B4523">
        <w:rPr>
          <w:rFonts w:ascii="Calibri" w:hAnsi="Calibri" w:cs="Calibri"/>
          <w:sz w:val="24"/>
          <w:szCs w:val="24"/>
        </w:rPr>
        <w:t>I think Understanding the impact of demographic shifts, technological advancements, and environmental factors is crucial for developing comprehensive strategies to address affordability challenges and promote sustainable economic development.</w:t>
      </w:r>
    </w:p>
    <w:p w14:paraId="08956690" w14:textId="346BBC1E" w:rsidR="002F6758" w:rsidRPr="001B4523" w:rsidRDefault="002F6758" w:rsidP="006F651D">
      <w:pPr>
        <w:rPr>
          <w:rFonts w:ascii="Calibri" w:hAnsi="Calibri" w:cs="Calibri"/>
          <w:sz w:val="24"/>
          <w:szCs w:val="24"/>
        </w:rPr>
      </w:pPr>
      <w:r w:rsidRPr="001B4523">
        <w:rPr>
          <w:rFonts w:ascii="Calibri" w:hAnsi="Calibri" w:cs="Calibri"/>
          <w:sz w:val="24"/>
          <w:szCs w:val="24"/>
        </w:rPr>
        <w:t xml:space="preserve">Additionally, examining the intersectionality of factors such as race, ethnicity, and socioeconomic status in relation to affordability could help identify disparities and inform targeted interventions to promote equity and </w:t>
      </w:r>
      <w:r w:rsidR="00DC7B1D" w:rsidRPr="001B4523">
        <w:rPr>
          <w:rFonts w:ascii="Calibri" w:hAnsi="Calibri" w:cs="Calibri"/>
          <w:sz w:val="24"/>
          <w:szCs w:val="24"/>
        </w:rPr>
        <w:t>inclusivity.</w:t>
      </w:r>
    </w:p>
    <w:p w14:paraId="64A6B18D" w14:textId="77777777" w:rsidR="00A766D6" w:rsidRPr="001B4523" w:rsidRDefault="00A766D6" w:rsidP="0082535A">
      <w:pPr>
        <w:rPr>
          <w:rFonts w:ascii="Calibri" w:hAnsi="Calibri" w:cs="Calibri"/>
          <w:sz w:val="24"/>
          <w:szCs w:val="24"/>
        </w:rPr>
      </w:pPr>
    </w:p>
    <w:p w14:paraId="73A99713" w14:textId="77777777" w:rsidR="00A766D6" w:rsidRPr="00A766D6" w:rsidRDefault="00A766D6" w:rsidP="00A766D6">
      <w:pPr>
        <w:numPr>
          <w:ilvl w:val="0"/>
          <w:numId w:val="5"/>
        </w:numPr>
        <w:rPr>
          <w:rFonts w:ascii="Calibri" w:hAnsi="Calibri" w:cs="Calibri"/>
          <w:sz w:val="24"/>
          <w:szCs w:val="24"/>
        </w:rPr>
      </w:pPr>
      <w:r w:rsidRPr="00A766D6">
        <w:rPr>
          <w:rFonts w:ascii="Calibri" w:hAnsi="Calibri" w:cs="Calibri"/>
          <w:i/>
          <w:iCs/>
          <w:sz w:val="24"/>
          <w:szCs w:val="24"/>
        </w:rPr>
        <w:t>How do changing demographic trends affect affordability dynamics?</w:t>
      </w:r>
    </w:p>
    <w:p w14:paraId="4C15A737" w14:textId="77777777" w:rsidR="00A766D6" w:rsidRPr="00A766D6" w:rsidRDefault="00A766D6" w:rsidP="00A766D6">
      <w:pPr>
        <w:numPr>
          <w:ilvl w:val="0"/>
          <w:numId w:val="5"/>
        </w:numPr>
        <w:rPr>
          <w:rFonts w:ascii="Calibri" w:hAnsi="Calibri" w:cs="Calibri"/>
          <w:sz w:val="24"/>
          <w:szCs w:val="24"/>
        </w:rPr>
      </w:pPr>
      <w:r w:rsidRPr="00A766D6">
        <w:rPr>
          <w:rFonts w:ascii="Calibri" w:hAnsi="Calibri" w:cs="Calibri"/>
          <w:i/>
          <w:iCs/>
          <w:sz w:val="24"/>
          <w:szCs w:val="24"/>
        </w:rPr>
        <w:t>What role do technological advancements play in shaping affordability in MSAs?</w:t>
      </w:r>
    </w:p>
    <w:p w14:paraId="75BCD7CC" w14:textId="77777777" w:rsidR="00A766D6" w:rsidRPr="00A766D6" w:rsidRDefault="00A766D6" w:rsidP="00A766D6">
      <w:pPr>
        <w:numPr>
          <w:ilvl w:val="0"/>
          <w:numId w:val="5"/>
        </w:numPr>
        <w:rPr>
          <w:rFonts w:ascii="Calibri" w:hAnsi="Calibri" w:cs="Calibri"/>
          <w:sz w:val="24"/>
          <w:szCs w:val="24"/>
        </w:rPr>
      </w:pPr>
      <w:r w:rsidRPr="00A766D6">
        <w:rPr>
          <w:rFonts w:ascii="Calibri" w:hAnsi="Calibri" w:cs="Calibri"/>
          <w:i/>
          <w:iCs/>
          <w:sz w:val="24"/>
          <w:szCs w:val="24"/>
        </w:rPr>
        <w:t>How do environmental factors impact affordability and vice versa?</w:t>
      </w:r>
    </w:p>
    <w:p w14:paraId="2B33FD16" w14:textId="77777777" w:rsidR="00A766D6" w:rsidRPr="001B4523" w:rsidRDefault="00A766D6" w:rsidP="0082535A">
      <w:pPr>
        <w:rPr>
          <w:rFonts w:ascii="Calibri" w:hAnsi="Calibri" w:cs="Calibri"/>
          <w:sz w:val="24"/>
          <w:szCs w:val="24"/>
        </w:rPr>
      </w:pPr>
    </w:p>
    <w:sectPr w:rsidR="00A766D6" w:rsidRPr="001B4523" w:rsidSect="00C275F8">
      <w:pgSz w:w="12240" w:h="15840"/>
      <w:pgMar w:top="1440" w:right="990" w:bottom="1440" w:left="99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0F6607"/>
    <w:multiLevelType w:val="multilevel"/>
    <w:tmpl w:val="B02CFB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E616B2"/>
    <w:multiLevelType w:val="multilevel"/>
    <w:tmpl w:val="E168E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831869"/>
    <w:multiLevelType w:val="hybridMultilevel"/>
    <w:tmpl w:val="66984354"/>
    <w:lvl w:ilvl="0" w:tplc="59A43A76">
      <w:start w:val="1"/>
      <w:numFmt w:val="bullet"/>
      <w:lvlText w:val=""/>
      <w:lvlJc w:val="left"/>
      <w:pPr>
        <w:tabs>
          <w:tab w:val="num" w:pos="720"/>
        </w:tabs>
        <w:ind w:left="720" w:hanging="360"/>
      </w:pPr>
      <w:rPr>
        <w:rFonts w:ascii="Wingdings" w:hAnsi="Wingdings" w:hint="default"/>
      </w:rPr>
    </w:lvl>
    <w:lvl w:ilvl="1" w:tplc="1BD05888" w:tentative="1">
      <w:start w:val="1"/>
      <w:numFmt w:val="bullet"/>
      <w:lvlText w:val=""/>
      <w:lvlJc w:val="left"/>
      <w:pPr>
        <w:tabs>
          <w:tab w:val="num" w:pos="1440"/>
        </w:tabs>
        <w:ind w:left="1440" w:hanging="360"/>
      </w:pPr>
      <w:rPr>
        <w:rFonts w:ascii="Wingdings" w:hAnsi="Wingdings" w:hint="default"/>
      </w:rPr>
    </w:lvl>
    <w:lvl w:ilvl="2" w:tplc="AFE20784" w:tentative="1">
      <w:start w:val="1"/>
      <w:numFmt w:val="bullet"/>
      <w:lvlText w:val=""/>
      <w:lvlJc w:val="left"/>
      <w:pPr>
        <w:tabs>
          <w:tab w:val="num" w:pos="2160"/>
        </w:tabs>
        <w:ind w:left="2160" w:hanging="360"/>
      </w:pPr>
      <w:rPr>
        <w:rFonts w:ascii="Wingdings" w:hAnsi="Wingdings" w:hint="default"/>
      </w:rPr>
    </w:lvl>
    <w:lvl w:ilvl="3" w:tplc="96386E78" w:tentative="1">
      <w:start w:val="1"/>
      <w:numFmt w:val="bullet"/>
      <w:lvlText w:val=""/>
      <w:lvlJc w:val="left"/>
      <w:pPr>
        <w:tabs>
          <w:tab w:val="num" w:pos="2880"/>
        </w:tabs>
        <w:ind w:left="2880" w:hanging="360"/>
      </w:pPr>
      <w:rPr>
        <w:rFonts w:ascii="Wingdings" w:hAnsi="Wingdings" w:hint="default"/>
      </w:rPr>
    </w:lvl>
    <w:lvl w:ilvl="4" w:tplc="91388EC2" w:tentative="1">
      <w:start w:val="1"/>
      <w:numFmt w:val="bullet"/>
      <w:lvlText w:val=""/>
      <w:lvlJc w:val="left"/>
      <w:pPr>
        <w:tabs>
          <w:tab w:val="num" w:pos="3600"/>
        </w:tabs>
        <w:ind w:left="3600" w:hanging="360"/>
      </w:pPr>
      <w:rPr>
        <w:rFonts w:ascii="Wingdings" w:hAnsi="Wingdings" w:hint="default"/>
      </w:rPr>
    </w:lvl>
    <w:lvl w:ilvl="5" w:tplc="1756B3B0" w:tentative="1">
      <w:start w:val="1"/>
      <w:numFmt w:val="bullet"/>
      <w:lvlText w:val=""/>
      <w:lvlJc w:val="left"/>
      <w:pPr>
        <w:tabs>
          <w:tab w:val="num" w:pos="4320"/>
        </w:tabs>
        <w:ind w:left="4320" w:hanging="360"/>
      </w:pPr>
      <w:rPr>
        <w:rFonts w:ascii="Wingdings" w:hAnsi="Wingdings" w:hint="default"/>
      </w:rPr>
    </w:lvl>
    <w:lvl w:ilvl="6" w:tplc="0338B6C0" w:tentative="1">
      <w:start w:val="1"/>
      <w:numFmt w:val="bullet"/>
      <w:lvlText w:val=""/>
      <w:lvlJc w:val="left"/>
      <w:pPr>
        <w:tabs>
          <w:tab w:val="num" w:pos="5040"/>
        </w:tabs>
        <w:ind w:left="5040" w:hanging="360"/>
      </w:pPr>
      <w:rPr>
        <w:rFonts w:ascii="Wingdings" w:hAnsi="Wingdings" w:hint="default"/>
      </w:rPr>
    </w:lvl>
    <w:lvl w:ilvl="7" w:tplc="8924AF76" w:tentative="1">
      <w:start w:val="1"/>
      <w:numFmt w:val="bullet"/>
      <w:lvlText w:val=""/>
      <w:lvlJc w:val="left"/>
      <w:pPr>
        <w:tabs>
          <w:tab w:val="num" w:pos="5760"/>
        </w:tabs>
        <w:ind w:left="5760" w:hanging="360"/>
      </w:pPr>
      <w:rPr>
        <w:rFonts w:ascii="Wingdings" w:hAnsi="Wingdings" w:hint="default"/>
      </w:rPr>
    </w:lvl>
    <w:lvl w:ilvl="8" w:tplc="CA1E595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C94179A"/>
    <w:multiLevelType w:val="multilevel"/>
    <w:tmpl w:val="6E6248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D306494"/>
    <w:multiLevelType w:val="hybridMultilevel"/>
    <w:tmpl w:val="79BA6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9380680">
    <w:abstractNumId w:val="0"/>
  </w:num>
  <w:num w:numId="2" w16cid:durableId="685785296">
    <w:abstractNumId w:val="3"/>
  </w:num>
  <w:num w:numId="3" w16cid:durableId="1406105271">
    <w:abstractNumId w:val="1"/>
  </w:num>
  <w:num w:numId="4" w16cid:durableId="1348361271">
    <w:abstractNumId w:val="4"/>
  </w:num>
  <w:num w:numId="5" w16cid:durableId="14030616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C38"/>
    <w:rsid w:val="00001AA7"/>
    <w:rsid w:val="000446AA"/>
    <w:rsid w:val="000659D6"/>
    <w:rsid w:val="0007395A"/>
    <w:rsid w:val="00080FB8"/>
    <w:rsid w:val="00091520"/>
    <w:rsid w:val="00094D83"/>
    <w:rsid w:val="000B161A"/>
    <w:rsid w:val="000B69B4"/>
    <w:rsid w:val="000E54EE"/>
    <w:rsid w:val="000F4219"/>
    <w:rsid w:val="00126475"/>
    <w:rsid w:val="00126F5F"/>
    <w:rsid w:val="001436FB"/>
    <w:rsid w:val="00144E03"/>
    <w:rsid w:val="0014582C"/>
    <w:rsid w:val="00175A68"/>
    <w:rsid w:val="001801E4"/>
    <w:rsid w:val="00184927"/>
    <w:rsid w:val="00184B4E"/>
    <w:rsid w:val="001917C1"/>
    <w:rsid w:val="00192896"/>
    <w:rsid w:val="0019318A"/>
    <w:rsid w:val="001A640E"/>
    <w:rsid w:val="001A644B"/>
    <w:rsid w:val="001B4523"/>
    <w:rsid w:val="001B6D3A"/>
    <w:rsid w:val="001E46CA"/>
    <w:rsid w:val="001E56BD"/>
    <w:rsid w:val="001E56E9"/>
    <w:rsid w:val="001F162C"/>
    <w:rsid w:val="0021561D"/>
    <w:rsid w:val="00227FDC"/>
    <w:rsid w:val="00236B5C"/>
    <w:rsid w:val="00253667"/>
    <w:rsid w:val="00254CE7"/>
    <w:rsid w:val="00262326"/>
    <w:rsid w:val="00287A24"/>
    <w:rsid w:val="002A6960"/>
    <w:rsid w:val="002B3971"/>
    <w:rsid w:val="002C065D"/>
    <w:rsid w:val="002C3E0B"/>
    <w:rsid w:val="002C791A"/>
    <w:rsid w:val="002F20F0"/>
    <w:rsid w:val="002F25F6"/>
    <w:rsid w:val="002F26C8"/>
    <w:rsid w:val="002F6758"/>
    <w:rsid w:val="003012BF"/>
    <w:rsid w:val="00320A65"/>
    <w:rsid w:val="003225FD"/>
    <w:rsid w:val="0032747D"/>
    <w:rsid w:val="00332541"/>
    <w:rsid w:val="00333A4D"/>
    <w:rsid w:val="00334EE2"/>
    <w:rsid w:val="00344161"/>
    <w:rsid w:val="00370D3A"/>
    <w:rsid w:val="00372EDC"/>
    <w:rsid w:val="003848F1"/>
    <w:rsid w:val="003C1D7C"/>
    <w:rsid w:val="003C2E95"/>
    <w:rsid w:val="003D6332"/>
    <w:rsid w:val="003D6FDE"/>
    <w:rsid w:val="003E2401"/>
    <w:rsid w:val="003F3F61"/>
    <w:rsid w:val="00407152"/>
    <w:rsid w:val="00413093"/>
    <w:rsid w:val="004140B9"/>
    <w:rsid w:val="00443034"/>
    <w:rsid w:val="00484378"/>
    <w:rsid w:val="00492954"/>
    <w:rsid w:val="00493CD7"/>
    <w:rsid w:val="004A0ED7"/>
    <w:rsid w:val="004A2A4C"/>
    <w:rsid w:val="004A37E7"/>
    <w:rsid w:val="004C0236"/>
    <w:rsid w:val="004D0793"/>
    <w:rsid w:val="004D351F"/>
    <w:rsid w:val="00512DE1"/>
    <w:rsid w:val="00521451"/>
    <w:rsid w:val="00527F23"/>
    <w:rsid w:val="00536065"/>
    <w:rsid w:val="005437B5"/>
    <w:rsid w:val="005464DD"/>
    <w:rsid w:val="005618E5"/>
    <w:rsid w:val="00563C38"/>
    <w:rsid w:val="00565886"/>
    <w:rsid w:val="00577BDB"/>
    <w:rsid w:val="00581608"/>
    <w:rsid w:val="00592EA2"/>
    <w:rsid w:val="005A5AA7"/>
    <w:rsid w:val="005B6968"/>
    <w:rsid w:val="005D0F18"/>
    <w:rsid w:val="005E17EB"/>
    <w:rsid w:val="005F58E9"/>
    <w:rsid w:val="0060576C"/>
    <w:rsid w:val="0061252C"/>
    <w:rsid w:val="00625C2A"/>
    <w:rsid w:val="006364D5"/>
    <w:rsid w:val="0063760E"/>
    <w:rsid w:val="00646DA9"/>
    <w:rsid w:val="00652020"/>
    <w:rsid w:val="00680579"/>
    <w:rsid w:val="006923A6"/>
    <w:rsid w:val="006A1640"/>
    <w:rsid w:val="006A7743"/>
    <w:rsid w:val="006D7F1E"/>
    <w:rsid w:val="006F0C4D"/>
    <w:rsid w:val="006F651D"/>
    <w:rsid w:val="00702C55"/>
    <w:rsid w:val="00706D4D"/>
    <w:rsid w:val="00707FEF"/>
    <w:rsid w:val="00712E82"/>
    <w:rsid w:val="00726DFA"/>
    <w:rsid w:val="007412EE"/>
    <w:rsid w:val="00744554"/>
    <w:rsid w:val="00754B0B"/>
    <w:rsid w:val="00755918"/>
    <w:rsid w:val="00767E35"/>
    <w:rsid w:val="007756BB"/>
    <w:rsid w:val="00791E32"/>
    <w:rsid w:val="00794B17"/>
    <w:rsid w:val="007A37B3"/>
    <w:rsid w:val="007B027D"/>
    <w:rsid w:val="007B253E"/>
    <w:rsid w:val="007D4784"/>
    <w:rsid w:val="007E0717"/>
    <w:rsid w:val="007E1F23"/>
    <w:rsid w:val="007F39AD"/>
    <w:rsid w:val="007F3E7E"/>
    <w:rsid w:val="00801817"/>
    <w:rsid w:val="00811282"/>
    <w:rsid w:val="00816812"/>
    <w:rsid w:val="00823630"/>
    <w:rsid w:val="0082535A"/>
    <w:rsid w:val="00842DA4"/>
    <w:rsid w:val="00850FA8"/>
    <w:rsid w:val="00865CE6"/>
    <w:rsid w:val="00872415"/>
    <w:rsid w:val="00875812"/>
    <w:rsid w:val="008826BA"/>
    <w:rsid w:val="0088786C"/>
    <w:rsid w:val="008A195F"/>
    <w:rsid w:val="008A484E"/>
    <w:rsid w:val="008C463E"/>
    <w:rsid w:val="008D13D2"/>
    <w:rsid w:val="008E1654"/>
    <w:rsid w:val="008E3430"/>
    <w:rsid w:val="008F108F"/>
    <w:rsid w:val="00913711"/>
    <w:rsid w:val="009142A3"/>
    <w:rsid w:val="009203F0"/>
    <w:rsid w:val="00927E80"/>
    <w:rsid w:val="00942A39"/>
    <w:rsid w:val="00952FF4"/>
    <w:rsid w:val="00955C40"/>
    <w:rsid w:val="009773EA"/>
    <w:rsid w:val="00977AB4"/>
    <w:rsid w:val="0098350C"/>
    <w:rsid w:val="009A7B62"/>
    <w:rsid w:val="009B675E"/>
    <w:rsid w:val="009C4909"/>
    <w:rsid w:val="009E4FAF"/>
    <w:rsid w:val="00A21452"/>
    <w:rsid w:val="00A30AEC"/>
    <w:rsid w:val="00A5245E"/>
    <w:rsid w:val="00A57570"/>
    <w:rsid w:val="00A64BEA"/>
    <w:rsid w:val="00A71867"/>
    <w:rsid w:val="00A766D6"/>
    <w:rsid w:val="00A900F2"/>
    <w:rsid w:val="00AA0977"/>
    <w:rsid w:val="00AA4E5A"/>
    <w:rsid w:val="00AA5198"/>
    <w:rsid w:val="00AB1192"/>
    <w:rsid w:val="00AB2BDE"/>
    <w:rsid w:val="00AB5FE1"/>
    <w:rsid w:val="00AB75EC"/>
    <w:rsid w:val="00AC23DB"/>
    <w:rsid w:val="00AC2644"/>
    <w:rsid w:val="00AD76D2"/>
    <w:rsid w:val="00AE7598"/>
    <w:rsid w:val="00B077AC"/>
    <w:rsid w:val="00B10B7B"/>
    <w:rsid w:val="00B32535"/>
    <w:rsid w:val="00B51F12"/>
    <w:rsid w:val="00B55662"/>
    <w:rsid w:val="00B66829"/>
    <w:rsid w:val="00B823FC"/>
    <w:rsid w:val="00B84C53"/>
    <w:rsid w:val="00B94252"/>
    <w:rsid w:val="00BD32C3"/>
    <w:rsid w:val="00BD60C2"/>
    <w:rsid w:val="00BF37B9"/>
    <w:rsid w:val="00C00C17"/>
    <w:rsid w:val="00C07EC7"/>
    <w:rsid w:val="00C07FE0"/>
    <w:rsid w:val="00C10393"/>
    <w:rsid w:val="00C12ED0"/>
    <w:rsid w:val="00C275F8"/>
    <w:rsid w:val="00C344D5"/>
    <w:rsid w:val="00C442FD"/>
    <w:rsid w:val="00C53D02"/>
    <w:rsid w:val="00C66BBD"/>
    <w:rsid w:val="00CA1A6E"/>
    <w:rsid w:val="00CA5B4E"/>
    <w:rsid w:val="00CB15FB"/>
    <w:rsid w:val="00CC3E42"/>
    <w:rsid w:val="00CE045D"/>
    <w:rsid w:val="00CE6C77"/>
    <w:rsid w:val="00CF4A64"/>
    <w:rsid w:val="00D0617D"/>
    <w:rsid w:val="00D07D81"/>
    <w:rsid w:val="00D24751"/>
    <w:rsid w:val="00D27020"/>
    <w:rsid w:val="00D31832"/>
    <w:rsid w:val="00D54C18"/>
    <w:rsid w:val="00D5622D"/>
    <w:rsid w:val="00D633F3"/>
    <w:rsid w:val="00D80FB8"/>
    <w:rsid w:val="00D82BF6"/>
    <w:rsid w:val="00D91EC8"/>
    <w:rsid w:val="00DB3BF0"/>
    <w:rsid w:val="00DB6E80"/>
    <w:rsid w:val="00DB7C2A"/>
    <w:rsid w:val="00DC4BF3"/>
    <w:rsid w:val="00DC7B1D"/>
    <w:rsid w:val="00DD1527"/>
    <w:rsid w:val="00DE381C"/>
    <w:rsid w:val="00DE778A"/>
    <w:rsid w:val="00E00D2C"/>
    <w:rsid w:val="00E03FAA"/>
    <w:rsid w:val="00E22B07"/>
    <w:rsid w:val="00E334EB"/>
    <w:rsid w:val="00E416C0"/>
    <w:rsid w:val="00E7269D"/>
    <w:rsid w:val="00E8302C"/>
    <w:rsid w:val="00E908DB"/>
    <w:rsid w:val="00EE1F4D"/>
    <w:rsid w:val="00EE35CC"/>
    <w:rsid w:val="00F14920"/>
    <w:rsid w:val="00F15517"/>
    <w:rsid w:val="00F15DAA"/>
    <w:rsid w:val="00F71B26"/>
    <w:rsid w:val="00F747AA"/>
    <w:rsid w:val="00F86981"/>
    <w:rsid w:val="00F976B4"/>
    <w:rsid w:val="00FA24FA"/>
    <w:rsid w:val="00FD58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EC8FF"/>
  <w15:chartTrackingRefBased/>
  <w15:docId w15:val="{F5D64D5B-EE0E-4720-B4B3-AF1A2A982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3C3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63C3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63C3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63C3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63C3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63C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3C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3C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3C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3C3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63C3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63C3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63C3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63C3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63C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3C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3C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3C38"/>
    <w:rPr>
      <w:rFonts w:eastAsiaTheme="majorEastAsia" w:cstheme="majorBidi"/>
      <w:color w:val="272727" w:themeColor="text1" w:themeTint="D8"/>
    </w:rPr>
  </w:style>
  <w:style w:type="paragraph" w:styleId="Title">
    <w:name w:val="Title"/>
    <w:basedOn w:val="Normal"/>
    <w:next w:val="Normal"/>
    <w:link w:val="TitleChar"/>
    <w:uiPriority w:val="10"/>
    <w:qFormat/>
    <w:rsid w:val="00563C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3C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3C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3C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3C38"/>
    <w:pPr>
      <w:spacing w:before="160"/>
      <w:jc w:val="center"/>
    </w:pPr>
    <w:rPr>
      <w:i/>
      <w:iCs/>
      <w:color w:val="404040" w:themeColor="text1" w:themeTint="BF"/>
    </w:rPr>
  </w:style>
  <w:style w:type="character" w:customStyle="1" w:styleId="QuoteChar">
    <w:name w:val="Quote Char"/>
    <w:basedOn w:val="DefaultParagraphFont"/>
    <w:link w:val="Quote"/>
    <w:uiPriority w:val="29"/>
    <w:rsid w:val="00563C38"/>
    <w:rPr>
      <w:i/>
      <w:iCs/>
      <w:color w:val="404040" w:themeColor="text1" w:themeTint="BF"/>
    </w:rPr>
  </w:style>
  <w:style w:type="paragraph" w:styleId="ListParagraph">
    <w:name w:val="List Paragraph"/>
    <w:basedOn w:val="Normal"/>
    <w:uiPriority w:val="34"/>
    <w:qFormat/>
    <w:rsid w:val="00563C38"/>
    <w:pPr>
      <w:ind w:left="720"/>
      <w:contextualSpacing/>
    </w:pPr>
  </w:style>
  <w:style w:type="character" w:styleId="IntenseEmphasis">
    <w:name w:val="Intense Emphasis"/>
    <w:basedOn w:val="DefaultParagraphFont"/>
    <w:uiPriority w:val="21"/>
    <w:qFormat/>
    <w:rsid w:val="00563C38"/>
    <w:rPr>
      <w:i/>
      <w:iCs/>
      <w:color w:val="0F4761" w:themeColor="accent1" w:themeShade="BF"/>
    </w:rPr>
  </w:style>
  <w:style w:type="paragraph" w:styleId="IntenseQuote">
    <w:name w:val="Intense Quote"/>
    <w:basedOn w:val="Normal"/>
    <w:next w:val="Normal"/>
    <w:link w:val="IntenseQuoteChar"/>
    <w:uiPriority w:val="30"/>
    <w:qFormat/>
    <w:rsid w:val="00563C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63C38"/>
    <w:rPr>
      <w:i/>
      <w:iCs/>
      <w:color w:val="0F4761" w:themeColor="accent1" w:themeShade="BF"/>
    </w:rPr>
  </w:style>
  <w:style w:type="character" w:styleId="IntenseReference">
    <w:name w:val="Intense Reference"/>
    <w:basedOn w:val="DefaultParagraphFont"/>
    <w:uiPriority w:val="32"/>
    <w:qFormat/>
    <w:rsid w:val="00563C38"/>
    <w:rPr>
      <w:b/>
      <w:bCs/>
      <w:smallCaps/>
      <w:color w:val="0F4761" w:themeColor="accent1" w:themeShade="BF"/>
      <w:spacing w:val="5"/>
    </w:rPr>
  </w:style>
  <w:style w:type="character" w:styleId="Hyperlink">
    <w:name w:val="Hyperlink"/>
    <w:basedOn w:val="DefaultParagraphFont"/>
    <w:uiPriority w:val="99"/>
    <w:unhideWhenUsed/>
    <w:rsid w:val="00B51F12"/>
    <w:rPr>
      <w:color w:val="0000FF"/>
      <w:u w:val="single"/>
    </w:rPr>
  </w:style>
  <w:style w:type="character" w:styleId="UnresolvedMention">
    <w:name w:val="Unresolved Mention"/>
    <w:basedOn w:val="DefaultParagraphFont"/>
    <w:uiPriority w:val="99"/>
    <w:semiHidden/>
    <w:unhideWhenUsed/>
    <w:rsid w:val="00A5245E"/>
    <w:rPr>
      <w:color w:val="605E5C"/>
      <w:shd w:val="clear" w:color="auto" w:fill="E1DFDD"/>
    </w:rPr>
  </w:style>
  <w:style w:type="character" w:styleId="FollowedHyperlink">
    <w:name w:val="FollowedHyperlink"/>
    <w:basedOn w:val="DefaultParagraphFont"/>
    <w:uiPriority w:val="99"/>
    <w:semiHidden/>
    <w:unhideWhenUsed/>
    <w:rsid w:val="0032747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995">
      <w:bodyDiv w:val="1"/>
      <w:marLeft w:val="0"/>
      <w:marRight w:val="0"/>
      <w:marTop w:val="0"/>
      <w:marBottom w:val="0"/>
      <w:divBdr>
        <w:top w:val="none" w:sz="0" w:space="0" w:color="auto"/>
        <w:left w:val="none" w:sz="0" w:space="0" w:color="auto"/>
        <w:bottom w:val="none" w:sz="0" w:space="0" w:color="auto"/>
        <w:right w:val="none" w:sz="0" w:space="0" w:color="auto"/>
      </w:divBdr>
    </w:div>
    <w:div w:id="47998966">
      <w:bodyDiv w:val="1"/>
      <w:marLeft w:val="0"/>
      <w:marRight w:val="0"/>
      <w:marTop w:val="0"/>
      <w:marBottom w:val="0"/>
      <w:divBdr>
        <w:top w:val="none" w:sz="0" w:space="0" w:color="auto"/>
        <w:left w:val="none" w:sz="0" w:space="0" w:color="auto"/>
        <w:bottom w:val="none" w:sz="0" w:space="0" w:color="auto"/>
        <w:right w:val="none" w:sz="0" w:space="0" w:color="auto"/>
      </w:divBdr>
    </w:div>
    <w:div w:id="124741204">
      <w:bodyDiv w:val="1"/>
      <w:marLeft w:val="0"/>
      <w:marRight w:val="0"/>
      <w:marTop w:val="0"/>
      <w:marBottom w:val="0"/>
      <w:divBdr>
        <w:top w:val="none" w:sz="0" w:space="0" w:color="auto"/>
        <w:left w:val="none" w:sz="0" w:space="0" w:color="auto"/>
        <w:bottom w:val="none" w:sz="0" w:space="0" w:color="auto"/>
        <w:right w:val="none" w:sz="0" w:space="0" w:color="auto"/>
      </w:divBdr>
    </w:div>
    <w:div w:id="175072564">
      <w:bodyDiv w:val="1"/>
      <w:marLeft w:val="0"/>
      <w:marRight w:val="0"/>
      <w:marTop w:val="0"/>
      <w:marBottom w:val="0"/>
      <w:divBdr>
        <w:top w:val="none" w:sz="0" w:space="0" w:color="auto"/>
        <w:left w:val="none" w:sz="0" w:space="0" w:color="auto"/>
        <w:bottom w:val="none" w:sz="0" w:space="0" w:color="auto"/>
        <w:right w:val="none" w:sz="0" w:space="0" w:color="auto"/>
      </w:divBdr>
    </w:div>
    <w:div w:id="240067316">
      <w:bodyDiv w:val="1"/>
      <w:marLeft w:val="0"/>
      <w:marRight w:val="0"/>
      <w:marTop w:val="0"/>
      <w:marBottom w:val="0"/>
      <w:divBdr>
        <w:top w:val="none" w:sz="0" w:space="0" w:color="auto"/>
        <w:left w:val="none" w:sz="0" w:space="0" w:color="auto"/>
        <w:bottom w:val="none" w:sz="0" w:space="0" w:color="auto"/>
        <w:right w:val="none" w:sz="0" w:space="0" w:color="auto"/>
      </w:divBdr>
    </w:div>
    <w:div w:id="243421488">
      <w:bodyDiv w:val="1"/>
      <w:marLeft w:val="0"/>
      <w:marRight w:val="0"/>
      <w:marTop w:val="0"/>
      <w:marBottom w:val="0"/>
      <w:divBdr>
        <w:top w:val="none" w:sz="0" w:space="0" w:color="auto"/>
        <w:left w:val="none" w:sz="0" w:space="0" w:color="auto"/>
        <w:bottom w:val="none" w:sz="0" w:space="0" w:color="auto"/>
        <w:right w:val="none" w:sz="0" w:space="0" w:color="auto"/>
      </w:divBdr>
    </w:div>
    <w:div w:id="489710071">
      <w:bodyDiv w:val="1"/>
      <w:marLeft w:val="0"/>
      <w:marRight w:val="0"/>
      <w:marTop w:val="0"/>
      <w:marBottom w:val="0"/>
      <w:divBdr>
        <w:top w:val="none" w:sz="0" w:space="0" w:color="auto"/>
        <w:left w:val="none" w:sz="0" w:space="0" w:color="auto"/>
        <w:bottom w:val="none" w:sz="0" w:space="0" w:color="auto"/>
        <w:right w:val="none" w:sz="0" w:space="0" w:color="auto"/>
      </w:divBdr>
    </w:div>
    <w:div w:id="507713131">
      <w:bodyDiv w:val="1"/>
      <w:marLeft w:val="0"/>
      <w:marRight w:val="0"/>
      <w:marTop w:val="0"/>
      <w:marBottom w:val="0"/>
      <w:divBdr>
        <w:top w:val="none" w:sz="0" w:space="0" w:color="auto"/>
        <w:left w:val="none" w:sz="0" w:space="0" w:color="auto"/>
        <w:bottom w:val="none" w:sz="0" w:space="0" w:color="auto"/>
        <w:right w:val="none" w:sz="0" w:space="0" w:color="auto"/>
      </w:divBdr>
    </w:div>
    <w:div w:id="578292229">
      <w:bodyDiv w:val="1"/>
      <w:marLeft w:val="0"/>
      <w:marRight w:val="0"/>
      <w:marTop w:val="0"/>
      <w:marBottom w:val="0"/>
      <w:divBdr>
        <w:top w:val="none" w:sz="0" w:space="0" w:color="auto"/>
        <w:left w:val="none" w:sz="0" w:space="0" w:color="auto"/>
        <w:bottom w:val="none" w:sz="0" w:space="0" w:color="auto"/>
        <w:right w:val="none" w:sz="0" w:space="0" w:color="auto"/>
      </w:divBdr>
    </w:div>
    <w:div w:id="616255562">
      <w:bodyDiv w:val="1"/>
      <w:marLeft w:val="0"/>
      <w:marRight w:val="0"/>
      <w:marTop w:val="0"/>
      <w:marBottom w:val="0"/>
      <w:divBdr>
        <w:top w:val="none" w:sz="0" w:space="0" w:color="auto"/>
        <w:left w:val="none" w:sz="0" w:space="0" w:color="auto"/>
        <w:bottom w:val="none" w:sz="0" w:space="0" w:color="auto"/>
        <w:right w:val="none" w:sz="0" w:space="0" w:color="auto"/>
      </w:divBdr>
    </w:div>
    <w:div w:id="649672669">
      <w:bodyDiv w:val="1"/>
      <w:marLeft w:val="0"/>
      <w:marRight w:val="0"/>
      <w:marTop w:val="0"/>
      <w:marBottom w:val="0"/>
      <w:divBdr>
        <w:top w:val="none" w:sz="0" w:space="0" w:color="auto"/>
        <w:left w:val="none" w:sz="0" w:space="0" w:color="auto"/>
        <w:bottom w:val="none" w:sz="0" w:space="0" w:color="auto"/>
        <w:right w:val="none" w:sz="0" w:space="0" w:color="auto"/>
      </w:divBdr>
    </w:div>
    <w:div w:id="668217521">
      <w:bodyDiv w:val="1"/>
      <w:marLeft w:val="0"/>
      <w:marRight w:val="0"/>
      <w:marTop w:val="0"/>
      <w:marBottom w:val="0"/>
      <w:divBdr>
        <w:top w:val="none" w:sz="0" w:space="0" w:color="auto"/>
        <w:left w:val="none" w:sz="0" w:space="0" w:color="auto"/>
        <w:bottom w:val="none" w:sz="0" w:space="0" w:color="auto"/>
        <w:right w:val="none" w:sz="0" w:space="0" w:color="auto"/>
      </w:divBdr>
    </w:div>
    <w:div w:id="757294111">
      <w:bodyDiv w:val="1"/>
      <w:marLeft w:val="0"/>
      <w:marRight w:val="0"/>
      <w:marTop w:val="0"/>
      <w:marBottom w:val="0"/>
      <w:divBdr>
        <w:top w:val="none" w:sz="0" w:space="0" w:color="auto"/>
        <w:left w:val="none" w:sz="0" w:space="0" w:color="auto"/>
        <w:bottom w:val="none" w:sz="0" w:space="0" w:color="auto"/>
        <w:right w:val="none" w:sz="0" w:space="0" w:color="auto"/>
      </w:divBdr>
    </w:div>
    <w:div w:id="849610666">
      <w:bodyDiv w:val="1"/>
      <w:marLeft w:val="0"/>
      <w:marRight w:val="0"/>
      <w:marTop w:val="0"/>
      <w:marBottom w:val="0"/>
      <w:divBdr>
        <w:top w:val="none" w:sz="0" w:space="0" w:color="auto"/>
        <w:left w:val="none" w:sz="0" w:space="0" w:color="auto"/>
        <w:bottom w:val="none" w:sz="0" w:space="0" w:color="auto"/>
        <w:right w:val="none" w:sz="0" w:space="0" w:color="auto"/>
      </w:divBdr>
    </w:div>
    <w:div w:id="852190532">
      <w:bodyDiv w:val="1"/>
      <w:marLeft w:val="0"/>
      <w:marRight w:val="0"/>
      <w:marTop w:val="0"/>
      <w:marBottom w:val="0"/>
      <w:divBdr>
        <w:top w:val="none" w:sz="0" w:space="0" w:color="auto"/>
        <w:left w:val="none" w:sz="0" w:space="0" w:color="auto"/>
        <w:bottom w:val="none" w:sz="0" w:space="0" w:color="auto"/>
        <w:right w:val="none" w:sz="0" w:space="0" w:color="auto"/>
      </w:divBdr>
    </w:div>
    <w:div w:id="875656661">
      <w:bodyDiv w:val="1"/>
      <w:marLeft w:val="0"/>
      <w:marRight w:val="0"/>
      <w:marTop w:val="0"/>
      <w:marBottom w:val="0"/>
      <w:divBdr>
        <w:top w:val="none" w:sz="0" w:space="0" w:color="auto"/>
        <w:left w:val="none" w:sz="0" w:space="0" w:color="auto"/>
        <w:bottom w:val="none" w:sz="0" w:space="0" w:color="auto"/>
        <w:right w:val="none" w:sz="0" w:space="0" w:color="auto"/>
      </w:divBdr>
    </w:div>
    <w:div w:id="880047547">
      <w:bodyDiv w:val="1"/>
      <w:marLeft w:val="0"/>
      <w:marRight w:val="0"/>
      <w:marTop w:val="0"/>
      <w:marBottom w:val="0"/>
      <w:divBdr>
        <w:top w:val="none" w:sz="0" w:space="0" w:color="auto"/>
        <w:left w:val="none" w:sz="0" w:space="0" w:color="auto"/>
        <w:bottom w:val="none" w:sz="0" w:space="0" w:color="auto"/>
        <w:right w:val="none" w:sz="0" w:space="0" w:color="auto"/>
      </w:divBdr>
    </w:div>
    <w:div w:id="949435799">
      <w:bodyDiv w:val="1"/>
      <w:marLeft w:val="0"/>
      <w:marRight w:val="0"/>
      <w:marTop w:val="0"/>
      <w:marBottom w:val="0"/>
      <w:divBdr>
        <w:top w:val="none" w:sz="0" w:space="0" w:color="auto"/>
        <w:left w:val="none" w:sz="0" w:space="0" w:color="auto"/>
        <w:bottom w:val="none" w:sz="0" w:space="0" w:color="auto"/>
        <w:right w:val="none" w:sz="0" w:space="0" w:color="auto"/>
      </w:divBdr>
    </w:div>
    <w:div w:id="952859434">
      <w:bodyDiv w:val="1"/>
      <w:marLeft w:val="0"/>
      <w:marRight w:val="0"/>
      <w:marTop w:val="0"/>
      <w:marBottom w:val="0"/>
      <w:divBdr>
        <w:top w:val="none" w:sz="0" w:space="0" w:color="auto"/>
        <w:left w:val="none" w:sz="0" w:space="0" w:color="auto"/>
        <w:bottom w:val="none" w:sz="0" w:space="0" w:color="auto"/>
        <w:right w:val="none" w:sz="0" w:space="0" w:color="auto"/>
      </w:divBdr>
    </w:div>
    <w:div w:id="967054763">
      <w:bodyDiv w:val="1"/>
      <w:marLeft w:val="0"/>
      <w:marRight w:val="0"/>
      <w:marTop w:val="0"/>
      <w:marBottom w:val="0"/>
      <w:divBdr>
        <w:top w:val="none" w:sz="0" w:space="0" w:color="auto"/>
        <w:left w:val="none" w:sz="0" w:space="0" w:color="auto"/>
        <w:bottom w:val="none" w:sz="0" w:space="0" w:color="auto"/>
        <w:right w:val="none" w:sz="0" w:space="0" w:color="auto"/>
      </w:divBdr>
    </w:div>
    <w:div w:id="1020204102">
      <w:bodyDiv w:val="1"/>
      <w:marLeft w:val="0"/>
      <w:marRight w:val="0"/>
      <w:marTop w:val="0"/>
      <w:marBottom w:val="0"/>
      <w:divBdr>
        <w:top w:val="none" w:sz="0" w:space="0" w:color="auto"/>
        <w:left w:val="none" w:sz="0" w:space="0" w:color="auto"/>
        <w:bottom w:val="none" w:sz="0" w:space="0" w:color="auto"/>
        <w:right w:val="none" w:sz="0" w:space="0" w:color="auto"/>
      </w:divBdr>
    </w:div>
    <w:div w:id="1024865067">
      <w:bodyDiv w:val="1"/>
      <w:marLeft w:val="0"/>
      <w:marRight w:val="0"/>
      <w:marTop w:val="0"/>
      <w:marBottom w:val="0"/>
      <w:divBdr>
        <w:top w:val="none" w:sz="0" w:space="0" w:color="auto"/>
        <w:left w:val="none" w:sz="0" w:space="0" w:color="auto"/>
        <w:bottom w:val="none" w:sz="0" w:space="0" w:color="auto"/>
        <w:right w:val="none" w:sz="0" w:space="0" w:color="auto"/>
      </w:divBdr>
      <w:divsChild>
        <w:div w:id="1614627859">
          <w:marLeft w:val="0"/>
          <w:marRight w:val="0"/>
          <w:marTop w:val="0"/>
          <w:marBottom w:val="0"/>
          <w:divBdr>
            <w:top w:val="single" w:sz="2" w:space="0" w:color="E3E3E3"/>
            <w:left w:val="single" w:sz="2" w:space="0" w:color="E3E3E3"/>
            <w:bottom w:val="single" w:sz="2" w:space="0" w:color="E3E3E3"/>
            <w:right w:val="single" w:sz="2" w:space="0" w:color="E3E3E3"/>
          </w:divBdr>
          <w:divsChild>
            <w:div w:id="111871352">
              <w:marLeft w:val="0"/>
              <w:marRight w:val="0"/>
              <w:marTop w:val="0"/>
              <w:marBottom w:val="0"/>
              <w:divBdr>
                <w:top w:val="single" w:sz="2" w:space="0" w:color="E3E3E3"/>
                <w:left w:val="single" w:sz="2" w:space="0" w:color="E3E3E3"/>
                <w:bottom w:val="single" w:sz="2" w:space="0" w:color="E3E3E3"/>
                <w:right w:val="single" w:sz="2" w:space="0" w:color="E3E3E3"/>
              </w:divBdr>
              <w:divsChild>
                <w:div w:id="1516068984">
                  <w:marLeft w:val="0"/>
                  <w:marRight w:val="0"/>
                  <w:marTop w:val="0"/>
                  <w:marBottom w:val="0"/>
                  <w:divBdr>
                    <w:top w:val="single" w:sz="2" w:space="0" w:color="E3E3E3"/>
                    <w:left w:val="single" w:sz="2" w:space="0" w:color="E3E3E3"/>
                    <w:bottom w:val="single" w:sz="2" w:space="0" w:color="E3E3E3"/>
                    <w:right w:val="single" w:sz="2" w:space="0" w:color="E3E3E3"/>
                  </w:divBdr>
                  <w:divsChild>
                    <w:div w:id="1268080425">
                      <w:marLeft w:val="0"/>
                      <w:marRight w:val="0"/>
                      <w:marTop w:val="0"/>
                      <w:marBottom w:val="0"/>
                      <w:divBdr>
                        <w:top w:val="single" w:sz="2" w:space="0" w:color="E3E3E3"/>
                        <w:left w:val="single" w:sz="2" w:space="0" w:color="E3E3E3"/>
                        <w:bottom w:val="single" w:sz="2" w:space="0" w:color="E3E3E3"/>
                        <w:right w:val="single" w:sz="2" w:space="0" w:color="E3E3E3"/>
                      </w:divBdr>
                      <w:divsChild>
                        <w:div w:id="1948656441">
                          <w:marLeft w:val="0"/>
                          <w:marRight w:val="0"/>
                          <w:marTop w:val="0"/>
                          <w:marBottom w:val="0"/>
                          <w:divBdr>
                            <w:top w:val="single" w:sz="2" w:space="0" w:color="E3E3E3"/>
                            <w:left w:val="single" w:sz="2" w:space="0" w:color="E3E3E3"/>
                            <w:bottom w:val="single" w:sz="2" w:space="0" w:color="E3E3E3"/>
                            <w:right w:val="single" w:sz="2" w:space="0" w:color="E3E3E3"/>
                          </w:divBdr>
                          <w:divsChild>
                            <w:div w:id="292488232">
                              <w:marLeft w:val="0"/>
                              <w:marRight w:val="0"/>
                              <w:marTop w:val="0"/>
                              <w:marBottom w:val="0"/>
                              <w:divBdr>
                                <w:top w:val="single" w:sz="2" w:space="0" w:color="E3E3E3"/>
                                <w:left w:val="single" w:sz="2" w:space="0" w:color="E3E3E3"/>
                                <w:bottom w:val="single" w:sz="2" w:space="0" w:color="E3E3E3"/>
                                <w:right w:val="single" w:sz="2" w:space="0" w:color="E3E3E3"/>
                              </w:divBdr>
                              <w:divsChild>
                                <w:div w:id="1920943026">
                                  <w:marLeft w:val="0"/>
                                  <w:marRight w:val="0"/>
                                  <w:marTop w:val="100"/>
                                  <w:marBottom w:val="100"/>
                                  <w:divBdr>
                                    <w:top w:val="single" w:sz="2" w:space="0" w:color="E3E3E3"/>
                                    <w:left w:val="single" w:sz="2" w:space="0" w:color="E3E3E3"/>
                                    <w:bottom w:val="single" w:sz="2" w:space="0" w:color="E3E3E3"/>
                                    <w:right w:val="single" w:sz="2" w:space="0" w:color="E3E3E3"/>
                                  </w:divBdr>
                                  <w:divsChild>
                                    <w:div w:id="940995418">
                                      <w:marLeft w:val="0"/>
                                      <w:marRight w:val="0"/>
                                      <w:marTop w:val="0"/>
                                      <w:marBottom w:val="0"/>
                                      <w:divBdr>
                                        <w:top w:val="single" w:sz="2" w:space="0" w:color="E3E3E3"/>
                                        <w:left w:val="single" w:sz="2" w:space="0" w:color="E3E3E3"/>
                                        <w:bottom w:val="single" w:sz="2" w:space="0" w:color="E3E3E3"/>
                                        <w:right w:val="single" w:sz="2" w:space="0" w:color="E3E3E3"/>
                                      </w:divBdr>
                                      <w:divsChild>
                                        <w:div w:id="917207203">
                                          <w:marLeft w:val="0"/>
                                          <w:marRight w:val="0"/>
                                          <w:marTop w:val="0"/>
                                          <w:marBottom w:val="0"/>
                                          <w:divBdr>
                                            <w:top w:val="single" w:sz="2" w:space="0" w:color="E3E3E3"/>
                                            <w:left w:val="single" w:sz="2" w:space="0" w:color="E3E3E3"/>
                                            <w:bottom w:val="single" w:sz="2" w:space="0" w:color="E3E3E3"/>
                                            <w:right w:val="single" w:sz="2" w:space="0" w:color="E3E3E3"/>
                                          </w:divBdr>
                                          <w:divsChild>
                                            <w:div w:id="2038694346">
                                              <w:marLeft w:val="0"/>
                                              <w:marRight w:val="0"/>
                                              <w:marTop w:val="0"/>
                                              <w:marBottom w:val="0"/>
                                              <w:divBdr>
                                                <w:top w:val="single" w:sz="2" w:space="0" w:color="E3E3E3"/>
                                                <w:left w:val="single" w:sz="2" w:space="0" w:color="E3E3E3"/>
                                                <w:bottom w:val="single" w:sz="2" w:space="0" w:color="E3E3E3"/>
                                                <w:right w:val="single" w:sz="2" w:space="0" w:color="E3E3E3"/>
                                              </w:divBdr>
                                              <w:divsChild>
                                                <w:div w:id="27995589">
                                                  <w:marLeft w:val="0"/>
                                                  <w:marRight w:val="0"/>
                                                  <w:marTop w:val="0"/>
                                                  <w:marBottom w:val="0"/>
                                                  <w:divBdr>
                                                    <w:top w:val="single" w:sz="2" w:space="0" w:color="E3E3E3"/>
                                                    <w:left w:val="single" w:sz="2" w:space="0" w:color="E3E3E3"/>
                                                    <w:bottom w:val="single" w:sz="2" w:space="0" w:color="E3E3E3"/>
                                                    <w:right w:val="single" w:sz="2" w:space="0" w:color="E3E3E3"/>
                                                  </w:divBdr>
                                                  <w:divsChild>
                                                    <w:div w:id="1538929894">
                                                      <w:marLeft w:val="0"/>
                                                      <w:marRight w:val="0"/>
                                                      <w:marTop w:val="0"/>
                                                      <w:marBottom w:val="0"/>
                                                      <w:divBdr>
                                                        <w:top w:val="single" w:sz="2" w:space="0" w:color="E3E3E3"/>
                                                        <w:left w:val="single" w:sz="2" w:space="0" w:color="E3E3E3"/>
                                                        <w:bottom w:val="single" w:sz="2" w:space="0" w:color="E3E3E3"/>
                                                        <w:right w:val="single" w:sz="2" w:space="0" w:color="E3E3E3"/>
                                                      </w:divBdr>
                                                      <w:divsChild>
                                                        <w:div w:id="8290594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51948531">
          <w:marLeft w:val="0"/>
          <w:marRight w:val="0"/>
          <w:marTop w:val="0"/>
          <w:marBottom w:val="0"/>
          <w:divBdr>
            <w:top w:val="none" w:sz="0" w:space="0" w:color="auto"/>
            <w:left w:val="none" w:sz="0" w:space="0" w:color="auto"/>
            <w:bottom w:val="none" w:sz="0" w:space="0" w:color="auto"/>
            <w:right w:val="none" w:sz="0" w:space="0" w:color="auto"/>
          </w:divBdr>
        </w:div>
      </w:divsChild>
    </w:div>
    <w:div w:id="1259943248">
      <w:bodyDiv w:val="1"/>
      <w:marLeft w:val="0"/>
      <w:marRight w:val="0"/>
      <w:marTop w:val="0"/>
      <w:marBottom w:val="0"/>
      <w:divBdr>
        <w:top w:val="none" w:sz="0" w:space="0" w:color="auto"/>
        <w:left w:val="none" w:sz="0" w:space="0" w:color="auto"/>
        <w:bottom w:val="none" w:sz="0" w:space="0" w:color="auto"/>
        <w:right w:val="none" w:sz="0" w:space="0" w:color="auto"/>
      </w:divBdr>
    </w:div>
    <w:div w:id="1440833680">
      <w:bodyDiv w:val="1"/>
      <w:marLeft w:val="0"/>
      <w:marRight w:val="0"/>
      <w:marTop w:val="0"/>
      <w:marBottom w:val="0"/>
      <w:divBdr>
        <w:top w:val="none" w:sz="0" w:space="0" w:color="auto"/>
        <w:left w:val="none" w:sz="0" w:space="0" w:color="auto"/>
        <w:bottom w:val="none" w:sz="0" w:space="0" w:color="auto"/>
        <w:right w:val="none" w:sz="0" w:space="0" w:color="auto"/>
      </w:divBdr>
    </w:div>
    <w:div w:id="1454904896">
      <w:bodyDiv w:val="1"/>
      <w:marLeft w:val="0"/>
      <w:marRight w:val="0"/>
      <w:marTop w:val="0"/>
      <w:marBottom w:val="0"/>
      <w:divBdr>
        <w:top w:val="none" w:sz="0" w:space="0" w:color="auto"/>
        <w:left w:val="none" w:sz="0" w:space="0" w:color="auto"/>
        <w:bottom w:val="none" w:sz="0" w:space="0" w:color="auto"/>
        <w:right w:val="none" w:sz="0" w:space="0" w:color="auto"/>
      </w:divBdr>
    </w:div>
    <w:div w:id="1464958427">
      <w:bodyDiv w:val="1"/>
      <w:marLeft w:val="0"/>
      <w:marRight w:val="0"/>
      <w:marTop w:val="0"/>
      <w:marBottom w:val="0"/>
      <w:divBdr>
        <w:top w:val="none" w:sz="0" w:space="0" w:color="auto"/>
        <w:left w:val="none" w:sz="0" w:space="0" w:color="auto"/>
        <w:bottom w:val="none" w:sz="0" w:space="0" w:color="auto"/>
        <w:right w:val="none" w:sz="0" w:space="0" w:color="auto"/>
      </w:divBdr>
    </w:div>
    <w:div w:id="1530560182">
      <w:bodyDiv w:val="1"/>
      <w:marLeft w:val="0"/>
      <w:marRight w:val="0"/>
      <w:marTop w:val="0"/>
      <w:marBottom w:val="0"/>
      <w:divBdr>
        <w:top w:val="none" w:sz="0" w:space="0" w:color="auto"/>
        <w:left w:val="none" w:sz="0" w:space="0" w:color="auto"/>
        <w:bottom w:val="none" w:sz="0" w:space="0" w:color="auto"/>
        <w:right w:val="none" w:sz="0" w:space="0" w:color="auto"/>
      </w:divBdr>
    </w:div>
    <w:div w:id="1548563944">
      <w:bodyDiv w:val="1"/>
      <w:marLeft w:val="0"/>
      <w:marRight w:val="0"/>
      <w:marTop w:val="0"/>
      <w:marBottom w:val="0"/>
      <w:divBdr>
        <w:top w:val="none" w:sz="0" w:space="0" w:color="auto"/>
        <w:left w:val="none" w:sz="0" w:space="0" w:color="auto"/>
        <w:bottom w:val="none" w:sz="0" w:space="0" w:color="auto"/>
        <w:right w:val="none" w:sz="0" w:space="0" w:color="auto"/>
      </w:divBdr>
    </w:div>
    <w:div w:id="1640111110">
      <w:bodyDiv w:val="1"/>
      <w:marLeft w:val="0"/>
      <w:marRight w:val="0"/>
      <w:marTop w:val="0"/>
      <w:marBottom w:val="0"/>
      <w:divBdr>
        <w:top w:val="none" w:sz="0" w:space="0" w:color="auto"/>
        <w:left w:val="none" w:sz="0" w:space="0" w:color="auto"/>
        <w:bottom w:val="none" w:sz="0" w:space="0" w:color="auto"/>
        <w:right w:val="none" w:sz="0" w:space="0" w:color="auto"/>
      </w:divBdr>
    </w:div>
    <w:div w:id="1919051636">
      <w:bodyDiv w:val="1"/>
      <w:marLeft w:val="0"/>
      <w:marRight w:val="0"/>
      <w:marTop w:val="0"/>
      <w:marBottom w:val="0"/>
      <w:divBdr>
        <w:top w:val="none" w:sz="0" w:space="0" w:color="auto"/>
        <w:left w:val="none" w:sz="0" w:space="0" w:color="auto"/>
        <w:bottom w:val="none" w:sz="0" w:space="0" w:color="auto"/>
        <w:right w:val="none" w:sz="0" w:space="0" w:color="auto"/>
      </w:divBdr>
    </w:div>
    <w:div w:id="1940989724">
      <w:bodyDiv w:val="1"/>
      <w:marLeft w:val="0"/>
      <w:marRight w:val="0"/>
      <w:marTop w:val="0"/>
      <w:marBottom w:val="0"/>
      <w:divBdr>
        <w:top w:val="none" w:sz="0" w:space="0" w:color="auto"/>
        <w:left w:val="none" w:sz="0" w:space="0" w:color="auto"/>
        <w:bottom w:val="none" w:sz="0" w:space="0" w:color="auto"/>
        <w:right w:val="none" w:sz="0" w:space="0" w:color="auto"/>
      </w:divBdr>
    </w:div>
    <w:div w:id="1972318045">
      <w:bodyDiv w:val="1"/>
      <w:marLeft w:val="0"/>
      <w:marRight w:val="0"/>
      <w:marTop w:val="0"/>
      <w:marBottom w:val="0"/>
      <w:divBdr>
        <w:top w:val="none" w:sz="0" w:space="0" w:color="auto"/>
        <w:left w:val="none" w:sz="0" w:space="0" w:color="auto"/>
        <w:bottom w:val="none" w:sz="0" w:space="0" w:color="auto"/>
        <w:right w:val="none" w:sz="0" w:space="0" w:color="auto"/>
      </w:divBdr>
    </w:div>
    <w:div w:id="2046365805">
      <w:bodyDiv w:val="1"/>
      <w:marLeft w:val="0"/>
      <w:marRight w:val="0"/>
      <w:marTop w:val="0"/>
      <w:marBottom w:val="0"/>
      <w:divBdr>
        <w:top w:val="none" w:sz="0" w:space="0" w:color="auto"/>
        <w:left w:val="none" w:sz="0" w:space="0" w:color="auto"/>
        <w:bottom w:val="none" w:sz="0" w:space="0" w:color="auto"/>
        <w:right w:val="none" w:sz="0" w:space="0" w:color="auto"/>
      </w:divBdr>
      <w:divsChild>
        <w:div w:id="680402098">
          <w:marLeft w:val="547"/>
          <w:marRight w:val="0"/>
          <w:marTop w:val="0"/>
          <w:marBottom w:val="0"/>
          <w:divBdr>
            <w:top w:val="none" w:sz="0" w:space="0" w:color="auto"/>
            <w:left w:val="none" w:sz="0" w:space="0" w:color="auto"/>
            <w:bottom w:val="none" w:sz="0" w:space="0" w:color="auto"/>
            <w:right w:val="none" w:sz="0" w:space="0" w:color="auto"/>
          </w:divBdr>
        </w:div>
        <w:div w:id="1961839954">
          <w:marLeft w:val="547"/>
          <w:marRight w:val="0"/>
          <w:marTop w:val="0"/>
          <w:marBottom w:val="0"/>
          <w:divBdr>
            <w:top w:val="none" w:sz="0" w:space="0" w:color="auto"/>
            <w:left w:val="none" w:sz="0" w:space="0" w:color="auto"/>
            <w:bottom w:val="none" w:sz="0" w:space="0" w:color="auto"/>
            <w:right w:val="none" w:sz="0" w:space="0" w:color="auto"/>
          </w:divBdr>
        </w:div>
        <w:div w:id="22210541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s.bea.gov/itable/?ReqID=70&amp;step=1&amp;_gl=1*1v0oi5*_ga*MTYyODE1NjAzNy4xNzA4NDcyMTk5*_ga_J4698JNNFT*MTcxMzMwMjk0MS4zLjEuMTcxMzMwMjk5My44LjAuMA.." TargetMode="External"/><Relationship Id="rId13" Type="http://schemas.openxmlformats.org/officeDocument/2006/relationships/hyperlink" Target="https://data.census.gov/table/ACSDP1Y2022.DP03?q=DP03&amp;g=310XX00US12060,12420,12580,16740,19100,19740,26420,27260,33100,33460,34980,36740,38060,38900,39580,41180,41700,41740,42660,45300"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yperlink" Target="https://apps.bea.gov/itable/?ReqID=70&amp;step=1&amp;_gl=1*1v0oi5*_ga*MTYyODE1NjAzNy4xNzA4NDcyMTk5*_ga_J4698JNNFT*MTcxMzMwMjk0MS4zLjEuMTcxMzMwMjk5My44LjAuMA.." TargetMode="External"/><Relationship Id="rId12" Type="http://schemas.openxmlformats.org/officeDocument/2006/relationships/hyperlink" Target="https://data.census.gov/table/ACSDP1Y2022.DP03?q=DP03&amp;g=310XX00US12060,12420,12580,16740,19100,19740,26420,27260,33100,33460,34980,36740,38060,38900,39580,41180,41700,41740,42660,45300" TargetMode="External"/><Relationship Id="rId17" Type="http://schemas.openxmlformats.org/officeDocument/2006/relationships/hyperlink" Target="https://www.zillow.com/research/data/" TargetMode="External"/><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www.numbeo.com/gas-prices/in/Tampa" TargetMode="External"/><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apps.bea.gov/itable/?ReqID=70&amp;step=1&amp;_gl=1*1v0oi5*_ga*MTYyODE1NjAzNy4xNzA4NDcyMTk5*_ga_J4698JNNFT*MTcxMzMwMjk0MS4zLjEuMTcxMzMwMjk5My44LjAuMA.." TargetMode="External"/><Relationship Id="rId11" Type="http://schemas.openxmlformats.org/officeDocument/2006/relationships/hyperlink" Target="https://data.census.gov/table/ACSDP1Y2022.DP04?q=DP02%20DP03%20DP04%20DP05&amp;t=Household%20Size%20and%20Type&amp;g=310XX00US12060,12420,12580,16740,19100,19740,26420,27260,33100,33460,34980,36740,38060,38900,39580,41180,41700,41740,42660,45300" TargetMode="External"/><Relationship Id="rId24" Type="http://schemas.openxmlformats.org/officeDocument/2006/relationships/image" Target="media/image7.png"/><Relationship Id="rId5" Type="http://schemas.openxmlformats.org/officeDocument/2006/relationships/hyperlink" Target="https://apps.bea.gov/itable/?ReqID=70&amp;step=1&amp;_gl=1*1v0oi5*_ga*MTYyODE1NjAzNy4xNzA4NDcyMTk5*_ga_J4698JNNFT*MTcxMzMwMjk0MS4zLjEuMTcxMzMwMjk5My44LjAuMA.." TargetMode="External"/><Relationship Id="rId15" Type="http://schemas.openxmlformats.org/officeDocument/2006/relationships/hyperlink" Target="https://www.numbeo.com/taxi-fare/country_result.jsp?country=United+States"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s://nces.ed.gov/ipeds/datacenter/mastervariablelist.aspx?stepId=2&amp;sid=b16b97be-6abb-405d-8981-84492211e16e&amp;rtid=1" TargetMode="External"/><Relationship Id="rId19"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apps.bea.gov/itable/?ReqID=70&amp;step=1&amp;_gl=1*1v0oi5*_ga*MTYyODE1NjAzNy4xNzA4NDcyMTk5*_ga_J4698JNNFT*MTcxMzMwMjk0MS4zLjEuMTcxMzMwMjk5My44LjAuMA.." TargetMode="External"/><Relationship Id="rId14" Type="http://schemas.openxmlformats.org/officeDocument/2006/relationships/hyperlink" Target="https://data.cms.gov/summary-statistics-on-use-and-payments/medicare-geographic-comparisons/medicare-geographic-variation-by-national-state-county/data"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2462</TotalTime>
  <Pages>16</Pages>
  <Words>4086</Words>
  <Characters>23292</Characters>
  <Application>Microsoft Office Word</Application>
  <DocSecurity>0</DocSecurity>
  <Lines>194</Lines>
  <Paragraphs>54</Paragraphs>
  <ScaleCrop>false</ScaleCrop>
  <Company/>
  <LinksUpToDate>false</LinksUpToDate>
  <CharactersWithSpaces>27324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 Enjapuri</dc:creator>
  <cp:keywords/>
  <dc:description/>
  <cp:lastModifiedBy>Sameer Enjapuri</cp:lastModifiedBy>
  <cp:revision>45</cp:revision>
  <dcterms:created xsi:type="dcterms:W3CDTF">2024-04-29T23:28:00Z</dcterms:created>
  <dcterms:modified xsi:type="dcterms:W3CDTF">2024-05-02T20:35:00Z</dcterms:modified>
</cp:coreProperties>
</file>