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2C5" w:rsidRPr="002F73DF" w:rsidRDefault="008942C5" w:rsidP="00D61BBD">
      <w:pPr>
        <w:rPr>
          <w:lang w:val="en-US"/>
        </w:rPr>
      </w:pPr>
    </w:p>
    <w:p w:rsidR="008942C5" w:rsidRPr="002F73DF" w:rsidRDefault="008942C5" w:rsidP="00D61BBD">
      <w:pPr>
        <w:rPr>
          <w:lang w:val="en-US"/>
        </w:rPr>
      </w:pPr>
    </w:p>
    <w:p w:rsidR="00BF06C6" w:rsidRPr="002F73DF" w:rsidRDefault="00BF06C6" w:rsidP="00D61BBD">
      <w:pPr>
        <w:rPr>
          <w:lang w:val="en-US"/>
        </w:rPr>
      </w:pPr>
    </w:p>
    <w:p w:rsidR="00BF06C6" w:rsidRPr="002F73DF" w:rsidRDefault="00BF06C6" w:rsidP="00D61BBD">
      <w:pPr>
        <w:rPr>
          <w:lang w:val="en-US"/>
        </w:rPr>
      </w:pPr>
    </w:p>
    <w:p w:rsidR="008942C5" w:rsidRPr="002F73DF" w:rsidRDefault="008942C5" w:rsidP="00D61BBD">
      <w:pPr>
        <w:rPr>
          <w:lang w:val="en-US"/>
        </w:rPr>
      </w:pPr>
    </w:p>
    <w:p w:rsidR="004C6F79" w:rsidRPr="002F73DF" w:rsidRDefault="004C6F79" w:rsidP="00D61BBD">
      <w:pPr>
        <w:rPr>
          <w:lang w:val="en-US"/>
        </w:rPr>
      </w:pPr>
    </w:p>
    <w:p w:rsidR="004C6F79" w:rsidRPr="002F73DF" w:rsidRDefault="004C6F79" w:rsidP="00D61BBD">
      <w:pPr>
        <w:rPr>
          <w:lang w:val="en-US"/>
        </w:rPr>
      </w:pPr>
    </w:p>
    <w:p w:rsidR="004C6F79" w:rsidRPr="002F73DF" w:rsidRDefault="002C0E3D" w:rsidP="00D61BBD">
      <w:pPr>
        <w:rPr>
          <w:lang w:val="en-US"/>
        </w:rPr>
      </w:pPr>
      <w:r w:rsidRPr="002F73DF">
        <w:rPr>
          <w:noProof/>
        </w:rPr>
        <mc:AlternateContent>
          <mc:Choice Requires="wpg">
            <w:drawing>
              <wp:anchor distT="0" distB="0" distL="114300" distR="114300" simplePos="0" relativeHeight="251657728" behindDoc="1" locked="0" layoutInCell="1" allowOverlap="1" wp14:anchorId="2BD00726" wp14:editId="66AEFFCA">
                <wp:simplePos x="0" y="0"/>
                <wp:positionH relativeFrom="column">
                  <wp:posOffset>0</wp:posOffset>
                </wp:positionH>
                <wp:positionV relativeFrom="paragraph">
                  <wp:posOffset>107315</wp:posOffset>
                </wp:positionV>
                <wp:extent cx="5759450" cy="3289300"/>
                <wp:effectExtent l="0" t="2540" r="3175" b="3810"/>
                <wp:wrapNone/>
                <wp:docPr id="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3289300"/>
                          <a:chOff x="1424" y="6666"/>
                          <a:chExt cx="9070" cy="5180"/>
                        </a:xfrm>
                      </wpg:grpSpPr>
                      <wps:wsp>
                        <wps:cNvPr id="6" name="Freeform 6"/>
                        <wps:cNvSpPr>
                          <a:spLocks/>
                        </wps:cNvSpPr>
                        <wps:spPr bwMode="auto">
                          <a:xfrm>
                            <a:off x="1424" y="6666"/>
                            <a:ext cx="9070" cy="5180"/>
                          </a:xfrm>
                          <a:custGeom>
                            <a:avLst/>
                            <a:gdLst>
                              <a:gd name="T0" fmla="*/ 0 w 4083"/>
                              <a:gd name="T1" fmla="*/ 0 h 3085"/>
                              <a:gd name="T2" fmla="*/ 4083 w 4083"/>
                              <a:gd name="T3" fmla="*/ 0 h 3085"/>
                              <a:gd name="T4" fmla="*/ 4083 w 4083"/>
                              <a:gd name="T5" fmla="*/ 2767 h 3085"/>
                              <a:gd name="T6" fmla="*/ 3584 w 4083"/>
                              <a:gd name="T7" fmla="*/ 3085 h 3085"/>
                              <a:gd name="T8" fmla="*/ 0 w 4083"/>
                              <a:gd name="T9" fmla="*/ 3085 h 3085"/>
                              <a:gd name="T10" fmla="*/ 0 w 4083"/>
                              <a:gd name="T11" fmla="*/ 0 h 3085"/>
                              <a:gd name="T12" fmla="*/ 0 60000 65536"/>
                              <a:gd name="T13" fmla="*/ 0 60000 65536"/>
                              <a:gd name="T14" fmla="*/ 0 60000 65536"/>
                              <a:gd name="T15" fmla="*/ 0 60000 65536"/>
                              <a:gd name="T16" fmla="*/ 0 60000 65536"/>
                              <a:gd name="T17" fmla="*/ 0 60000 65536"/>
                              <a:gd name="T18" fmla="*/ 0 w 4083"/>
                              <a:gd name="T19" fmla="*/ 0 h 3085"/>
                              <a:gd name="T20" fmla="*/ 4083 w 4083"/>
                              <a:gd name="T21" fmla="*/ 3085 h 3085"/>
                            </a:gdLst>
                            <a:ahLst/>
                            <a:cxnLst>
                              <a:cxn ang="T12">
                                <a:pos x="T0" y="T1"/>
                              </a:cxn>
                              <a:cxn ang="T13">
                                <a:pos x="T2" y="T3"/>
                              </a:cxn>
                              <a:cxn ang="T14">
                                <a:pos x="T4" y="T5"/>
                              </a:cxn>
                              <a:cxn ang="T15">
                                <a:pos x="T6" y="T7"/>
                              </a:cxn>
                              <a:cxn ang="T16">
                                <a:pos x="T8" y="T9"/>
                              </a:cxn>
                              <a:cxn ang="T17">
                                <a:pos x="T10" y="T11"/>
                              </a:cxn>
                            </a:cxnLst>
                            <a:rect l="T18" t="T19" r="T20" b="T21"/>
                            <a:pathLst>
                              <a:path w="4083" h="3085">
                                <a:moveTo>
                                  <a:pt x="0" y="0"/>
                                </a:moveTo>
                                <a:lnTo>
                                  <a:pt x="4083" y="0"/>
                                </a:lnTo>
                                <a:lnTo>
                                  <a:pt x="4083" y="2767"/>
                                </a:lnTo>
                                <a:lnTo>
                                  <a:pt x="3584" y="3085"/>
                                </a:lnTo>
                                <a:lnTo>
                                  <a:pt x="0" y="3085"/>
                                </a:lnTo>
                                <a:lnTo>
                                  <a:pt x="0" y="0"/>
                                </a:lnTo>
                                <a:close/>
                              </a:path>
                            </a:pathLst>
                          </a:custGeom>
                          <a:solidFill>
                            <a:srgbClr val="E7E7E7"/>
                          </a:solidFill>
                          <a:ln>
                            <a:noFill/>
                          </a:ln>
                          <a:extLst>
                            <a:ext uri="{91240B29-F687-4F45-9708-019B960494DF}">
                              <a14:hiddenLine xmlns:a14="http://schemas.microsoft.com/office/drawing/2010/main" w="6350">
                                <a:solidFill>
                                  <a:srgbClr val="000000"/>
                                </a:solidFill>
                                <a:round/>
                                <a:headEnd/>
                                <a:tailEnd/>
                              </a14:hiddenLine>
                            </a:ext>
                          </a:extLst>
                        </wps:spPr>
                        <wps:txbx>
                          <w:txbxContent>
                            <w:p w:rsidR="00120881" w:rsidRDefault="00120881" w:rsidP="004C6F79">
                              <w:pPr>
                                <w:autoSpaceDE w:val="0"/>
                                <w:autoSpaceDN w:val="0"/>
                                <w:adjustRightInd w:val="0"/>
                                <w:jc w:val="center"/>
                                <w:rPr>
                                  <w:rFonts w:cs="Arial"/>
                                  <w:color w:val="6E6E6E"/>
                                  <w:sz w:val="24"/>
                                  <w:szCs w:val="36"/>
                                </w:rPr>
                              </w:pPr>
                            </w:p>
                          </w:txbxContent>
                        </wps:txbx>
                        <wps:bodyPr rot="0" vert="horz" wrap="square" lIns="62179" tIns="31090" rIns="62179" bIns="31090" anchor="t" anchorCtr="0">
                          <a:noAutofit/>
                        </wps:bodyPr>
                      </wps:wsp>
                      <wps:wsp>
                        <wps:cNvPr id="7" name="Freeform 9"/>
                        <wps:cNvSpPr>
                          <a:spLocks/>
                        </wps:cNvSpPr>
                        <wps:spPr bwMode="auto">
                          <a:xfrm>
                            <a:off x="1869" y="7741"/>
                            <a:ext cx="1513" cy="1515"/>
                          </a:xfrm>
                          <a:custGeom>
                            <a:avLst/>
                            <a:gdLst>
                              <a:gd name="T0" fmla="*/ 0 w 908"/>
                              <a:gd name="T1" fmla="*/ 499 h 953"/>
                              <a:gd name="T2" fmla="*/ 908 w 908"/>
                              <a:gd name="T3" fmla="*/ 0 h 953"/>
                              <a:gd name="T4" fmla="*/ 908 w 908"/>
                              <a:gd name="T5" fmla="*/ 454 h 953"/>
                              <a:gd name="T6" fmla="*/ 0 w 908"/>
                              <a:gd name="T7" fmla="*/ 953 h 953"/>
                              <a:gd name="T8" fmla="*/ 0 w 908"/>
                              <a:gd name="T9" fmla="*/ 499 h 953"/>
                              <a:gd name="T10" fmla="*/ 0 60000 65536"/>
                              <a:gd name="T11" fmla="*/ 0 60000 65536"/>
                              <a:gd name="T12" fmla="*/ 0 60000 65536"/>
                              <a:gd name="T13" fmla="*/ 0 60000 65536"/>
                              <a:gd name="T14" fmla="*/ 0 60000 65536"/>
                              <a:gd name="T15" fmla="*/ 0 w 908"/>
                              <a:gd name="T16" fmla="*/ 0 h 953"/>
                              <a:gd name="T17" fmla="*/ 908 w 908"/>
                              <a:gd name="T18" fmla="*/ 953 h 953"/>
                            </a:gdLst>
                            <a:ahLst/>
                            <a:cxnLst>
                              <a:cxn ang="T10">
                                <a:pos x="T0" y="T1"/>
                              </a:cxn>
                              <a:cxn ang="T11">
                                <a:pos x="T2" y="T3"/>
                              </a:cxn>
                              <a:cxn ang="T12">
                                <a:pos x="T4" y="T5"/>
                              </a:cxn>
                              <a:cxn ang="T13">
                                <a:pos x="T6" y="T7"/>
                              </a:cxn>
                              <a:cxn ang="T14">
                                <a:pos x="T8" y="T9"/>
                              </a:cxn>
                            </a:cxnLst>
                            <a:rect l="T15" t="T16" r="T17" b="T18"/>
                            <a:pathLst>
                              <a:path w="908" h="953">
                                <a:moveTo>
                                  <a:pt x="0" y="499"/>
                                </a:moveTo>
                                <a:lnTo>
                                  <a:pt x="908" y="0"/>
                                </a:lnTo>
                                <a:lnTo>
                                  <a:pt x="908" y="454"/>
                                </a:lnTo>
                                <a:lnTo>
                                  <a:pt x="0" y="953"/>
                                </a:lnTo>
                                <a:lnTo>
                                  <a:pt x="0" y="499"/>
                                </a:lnTo>
                                <a:close/>
                              </a:path>
                            </a:pathLst>
                          </a:custGeom>
                          <a:solidFill>
                            <a:srgbClr val="D8D8D8"/>
                          </a:solidFill>
                          <a:ln w="6350">
                            <a:solidFill>
                              <a:srgbClr val="D8D8D8"/>
                            </a:solidFill>
                            <a:round/>
                            <a:headEnd/>
                            <a:tailEnd/>
                          </a:ln>
                        </wps:spPr>
                        <wps:txbx>
                          <w:txbxContent>
                            <w:p w:rsidR="00120881" w:rsidRPr="00090F16" w:rsidRDefault="00120881" w:rsidP="00090F16">
                              <w:pPr>
                                <w:rPr>
                                  <w:szCs w:val="36"/>
                                </w:rPr>
                              </w:pPr>
                            </w:p>
                          </w:txbxContent>
                        </wps:txbx>
                        <wps:bodyPr rot="0" vert="horz" wrap="square" lIns="62179" tIns="31090" rIns="62179" bIns="31090" anchor="t" anchorCtr="0">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0;margin-top:8.45pt;width:453.5pt;height:259pt;z-index:-251658752" coordorigin="1424,6666" coordsize="9070,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">
                <v:shape id="Freeform 6" o:spid="_x0000_s1027" style="position:absolute;left:1424;top:6666;width:9070;height:5180;visibility:visible;mso-wrap-style:square;v-text-anchor:top" coordsize="4083,3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nf8QA&#10;AADaAAAADwAAAGRycy9kb3ducmV2LnhtbESPQWvCQBSE74L/YXlCb7qr0CCpq7SKtVSk1Hrx9pp9&#10;TYLZt2l2Nem/7wqCx2FmvmFmi85W4kKNLx1rGI8UCOLMmZJzDYev9XAKwgdkg5Vj0vBHHhbzfm+G&#10;qXEtf9JlH3IRIexT1FCEUKdS+qwgi37kauLo/bjGYoiyyaVpsI1wW8mJUom0WHJcKLCmZUHZaX+2&#10;Gt4nx4/Vrtps+cW9rpPH71/VKtT6YdA9P4EI1IV7+NZ+MxoSuF6JN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53/EAAAA2gAAAA8AAAAAAAAAAAAAAAAAmAIAAGRycy9k&#10;b3ducmV2LnhtbFBLBQYAAAAABAAEAPUAAACJAwAAAAA=&#10;" adj="-11796480,,5400" path="m,l4083,r,2767l3584,3085,,3085,,xe" fillcolor="#e7e7e7" stroked="f" strokeweight=".5pt">
                  <v:stroke joinstyle="round"/>
                  <v:formulas/>
                  <v:path arrowok="t" o:connecttype="custom" o:connectlocs="0,0;9070,0;9070,4646;7962,5180;0,5180;0,0" o:connectangles="0,0,0,0,0,0" textboxrect="0,0,4083,3085"/>
                  <v:textbox inset="1.72719mm,.86361mm,1.72719mm,.86361mm">
                    <w:txbxContent>
                      <w:p w:rsidR="00120881" w:rsidRDefault="00120881" w:rsidP="004C6F79">
                        <w:pPr>
                          <w:autoSpaceDE w:val="0"/>
                          <w:autoSpaceDN w:val="0"/>
                          <w:adjustRightInd w:val="0"/>
                          <w:jc w:val="center"/>
                          <w:rPr>
                            <w:rFonts w:cs="Arial"/>
                            <w:color w:val="6E6E6E"/>
                            <w:sz w:val="24"/>
                            <w:szCs w:val="36"/>
                          </w:rPr>
                        </w:pPr>
                      </w:p>
                    </w:txbxContent>
                  </v:textbox>
                </v:shape>
                <v:shape id="Freeform 9" o:spid="_x0000_s1028" style="position:absolute;left:1869;top:7741;width:1513;height:1515;visibility:visible;mso-wrap-style:square;v-text-anchor:top" coordsize="908,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KSsUA&#10;AADaAAAADwAAAGRycy9kb3ducmV2LnhtbESPQWvCQBSE7wX/w/IEL6VujNCW1FVECFgPimkv3h67&#10;r0lo9m3IbmLsr3cLhR6HmfmGWW1G24iBOl87VrCYJyCItTM1lwo+P/KnVxA+IBtsHJOCG3nYrCcP&#10;K8yMu/KZhiKUIkLYZ6igCqHNpPS6Iot+7lri6H25zmKIsiul6fAa4baRaZI8S4s1x4UKW9pVpL+L&#10;3io4lbf+Jz0M/v3E2+NFL/PHi82Vmk3H7RuIQGP4D/+190bBC/xeiT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opKxQAAANoAAAAPAAAAAAAAAAAAAAAAAJgCAABkcnMv&#10;ZG93bnJldi54bWxQSwUGAAAAAAQABAD1AAAAigMAAAAA&#10;" adj="-11796480,,5400" path="m,499l908,r,454l,953,,499xe" fillcolor="#d8d8d8" strokecolor="#d8d8d8" strokeweight=".5pt">
                  <v:stroke joinstyle="round"/>
                  <v:formulas/>
                  <v:path arrowok="t" o:connecttype="custom" o:connectlocs="0,793;1513,0;1513,722;0,1515;0,793" o:connectangles="0,0,0,0,0" textboxrect="0,0,908,953"/>
                  <v:textbox inset="1.72719mm,.86361mm,1.72719mm,.86361mm">
                    <w:txbxContent>
                      <w:p w:rsidR="00120881" w:rsidRPr="00090F16" w:rsidRDefault="00120881" w:rsidP="00090F16">
                        <w:pPr>
                          <w:rPr>
                            <w:szCs w:val="36"/>
                          </w:rPr>
                        </w:pPr>
                      </w:p>
                    </w:txbxContent>
                  </v:textbox>
                </v:shape>
              </v:group>
            </w:pict>
          </mc:Fallback>
        </mc:AlternateContent>
      </w:r>
    </w:p>
    <w:p w:rsidR="00BF06C6" w:rsidRPr="002F73DF" w:rsidRDefault="00BF06C6" w:rsidP="00D61BBD">
      <w:pPr>
        <w:rPr>
          <w:lang w:val="en-US"/>
        </w:rPr>
      </w:pPr>
    </w:p>
    <w:p w:rsidR="00BF06C6" w:rsidRPr="002F73DF" w:rsidRDefault="00BF06C6" w:rsidP="00D61BBD">
      <w:pPr>
        <w:rPr>
          <w:lang w:val="en-US"/>
        </w:rPr>
      </w:pPr>
    </w:p>
    <w:p w:rsidR="00BF06C6" w:rsidRPr="002F73DF" w:rsidRDefault="00BF06C6" w:rsidP="00D61BBD">
      <w:pPr>
        <w:rPr>
          <w:lang w:val="en-US"/>
        </w:rPr>
      </w:pPr>
    </w:p>
    <w:p w:rsidR="00BF06C6" w:rsidRPr="005057D0" w:rsidRDefault="00C024D4" w:rsidP="00BF06C6">
      <w:pPr>
        <w:pStyle w:val="TITREDUDOC"/>
      </w:pPr>
      <w:r w:rsidRPr="005057D0">
        <w:rPr>
          <w:sz w:val="32"/>
        </w:rPr>
        <w:t xml:space="preserve">IFRS 9 </w:t>
      </w:r>
      <w:r w:rsidR="002D310E" w:rsidRPr="005057D0">
        <w:rPr>
          <w:sz w:val="32"/>
        </w:rPr>
        <w:t>–</w:t>
      </w:r>
      <w:r w:rsidR="00C757A5">
        <w:rPr>
          <w:sz w:val="32"/>
        </w:rPr>
        <w:t xml:space="preserve"> </w:t>
      </w:r>
      <w:r w:rsidR="002D310E" w:rsidRPr="005057D0">
        <w:rPr>
          <w:sz w:val="32"/>
        </w:rPr>
        <w:t>Migration Matrix Construction</w:t>
      </w:r>
    </w:p>
    <w:bookmarkStart w:id="0" w:name="Texte2"/>
    <w:p w:rsidR="004C6F79" w:rsidRPr="005057D0" w:rsidRDefault="00BF06C6" w:rsidP="00D61BBD">
      <w:pPr>
        <w:pStyle w:val="StyleArialNarrow8ptGrasCouleurpersonnaliseRVB0"/>
      </w:pPr>
      <w:r w:rsidRPr="002F73DF">
        <w:rPr>
          <w:lang w:val="en-US"/>
        </w:rPr>
        <w:fldChar w:fldCharType="begin">
          <w:ffData>
            <w:name w:val="Texte2"/>
            <w:enabled/>
            <w:calcOnExit w:val="0"/>
            <w:textInput>
              <w:default w:val="Version 0.00"/>
            </w:textInput>
          </w:ffData>
        </w:fldChar>
      </w:r>
      <w:r w:rsidRPr="005057D0">
        <w:instrText xml:space="preserve"> FORMTEXT </w:instrText>
      </w:r>
      <w:r w:rsidRPr="002F73DF">
        <w:rPr>
          <w:lang w:val="en-US"/>
        </w:rPr>
      </w:r>
      <w:r w:rsidRPr="002F73DF">
        <w:rPr>
          <w:lang w:val="en-US"/>
        </w:rPr>
        <w:fldChar w:fldCharType="separate"/>
      </w:r>
      <w:r w:rsidR="00187776" w:rsidRPr="00187776">
        <w:rPr>
          <w:noProof/>
        </w:rPr>
        <w:t>Version 0.00</w:t>
      </w:r>
      <w:r w:rsidRPr="002F73DF">
        <w:rPr>
          <w:lang w:val="en-US"/>
        </w:rPr>
        <w:fldChar w:fldCharType="end"/>
      </w:r>
      <w:bookmarkEnd w:id="0"/>
    </w:p>
    <w:p w:rsidR="00BF06C6" w:rsidRPr="00E52A3E" w:rsidRDefault="00BF06C6" w:rsidP="00D61BBD"/>
    <w:p w:rsidR="00BF06C6" w:rsidRPr="00E52A3E" w:rsidRDefault="00BF06C6" w:rsidP="00D61BBD"/>
    <w:p w:rsidR="002C4FA9" w:rsidRPr="00E52A3E" w:rsidRDefault="002C4FA9" w:rsidP="00D61BBD"/>
    <w:p w:rsidR="002C4FA9" w:rsidRPr="00E52A3E" w:rsidRDefault="002C4FA9" w:rsidP="00D61BBD"/>
    <w:p w:rsidR="002C4FA9" w:rsidRPr="00E52A3E" w:rsidRDefault="002C4FA9" w:rsidP="00D61BBD"/>
    <w:p w:rsidR="009343F4" w:rsidRPr="00E52A3E" w:rsidRDefault="009343F4" w:rsidP="00D61BBD"/>
    <w:p w:rsidR="00BF06C6" w:rsidRPr="00E52A3E" w:rsidRDefault="00BF06C6" w:rsidP="00D61BBD"/>
    <w:p w:rsidR="00BF06C6" w:rsidRPr="00E52A3E" w:rsidRDefault="00BF06C6" w:rsidP="00D61BBD"/>
    <w:p w:rsidR="005B23F9" w:rsidRPr="00E52A3E" w:rsidRDefault="005B23F9" w:rsidP="00D61BBD"/>
    <w:p w:rsidR="005B23F9" w:rsidRPr="00E52A3E" w:rsidRDefault="005B23F9" w:rsidP="00D61BBD"/>
    <w:tbl>
      <w:tblPr>
        <w:tblW w:w="5000" w:type="pct"/>
        <w:jc w:val="center"/>
        <w:tblBorders>
          <w:top w:val="single" w:sz="6" w:space="0" w:color="5E6A71"/>
          <w:left w:val="single" w:sz="6" w:space="0" w:color="5E6A71"/>
          <w:bottom w:val="single" w:sz="6" w:space="0" w:color="5E6A71"/>
          <w:right w:val="single" w:sz="6" w:space="0" w:color="5E6A71"/>
          <w:insideH w:val="single" w:sz="6" w:space="0" w:color="5E6A71"/>
          <w:insideV w:val="single" w:sz="6" w:space="0" w:color="5E6A71"/>
        </w:tblBorders>
        <w:tblLook w:val="01E0" w:firstRow="1" w:lastRow="1" w:firstColumn="1" w:lastColumn="1" w:noHBand="0" w:noVBand="0"/>
      </w:tblPr>
      <w:tblGrid>
        <w:gridCol w:w="1031"/>
        <w:gridCol w:w="2390"/>
        <w:gridCol w:w="4446"/>
        <w:gridCol w:w="1419"/>
      </w:tblGrid>
      <w:tr w:rsidR="005B23F9" w:rsidRPr="002F73DF" w:rsidTr="009D7AA0">
        <w:trPr>
          <w:jc w:val="center"/>
        </w:trPr>
        <w:tc>
          <w:tcPr>
            <w:tcW w:w="555" w:type="pct"/>
            <w:shd w:val="clear" w:color="auto" w:fill="auto"/>
            <w:tcMar>
              <w:top w:w="57" w:type="dxa"/>
              <w:bottom w:w="57" w:type="dxa"/>
            </w:tcMar>
            <w:vAlign w:val="center"/>
          </w:tcPr>
          <w:p w:rsidR="005B23F9" w:rsidRPr="002F73DF" w:rsidRDefault="005B23F9" w:rsidP="0078348A">
            <w:pPr>
              <w:pStyle w:val="Tableau"/>
              <w:rPr>
                <w:color w:val="auto"/>
                <w:lang w:val="en-US"/>
              </w:rPr>
            </w:pPr>
            <w:r w:rsidRPr="002F73DF">
              <w:rPr>
                <w:color w:val="auto"/>
                <w:lang w:val="en-US"/>
              </w:rPr>
              <w:t>Version</w:t>
            </w:r>
          </w:p>
        </w:tc>
        <w:tc>
          <w:tcPr>
            <w:tcW w:w="1287" w:type="pct"/>
            <w:shd w:val="clear" w:color="auto" w:fill="auto"/>
            <w:tcMar>
              <w:top w:w="57" w:type="dxa"/>
              <w:bottom w:w="57" w:type="dxa"/>
            </w:tcMar>
            <w:vAlign w:val="center"/>
          </w:tcPr>
          <w:p w:rsidR="005B23F9" w:rsidRPr="002F73DF" w:rsidRDefault="005B23F9" w:rsidP="0078348A">
            <w:pPr>
              <w:pStyle w:val="Tableau"/>
              <w:rPr>
                <w:color w:val="auto"/>
                <w:lang w:val="en-US"/>
              </w:rPr>
            </w:pPr>
            <w:r w:rsidRPr="002F73DF">
              <w:rPr>
                <w:color w:val="auto"/>
                <w:lang w:val="en-US"/>
              </w:rPr>
              <w:t>Créé / Modifié par</w:t>
            </w:r>
          </w:p>
        </w:tc>
        <w:tc>
          <w:tcPr>
            <w:tcW w:w="2394" w:type="pct"/>
            <w:shd w:val="clear" w:color="auto" w:fill="auto"/>
            <w:tcMar>
              <w:top w:w="57" w:type="dxa"/>
              <w:bottom w:w="57" w:type="dxa"/>
            </w:tcMar>
            <w:vAlign w:val="center"/>
          </w:tcPr>
          <w:p w:rsidR="005B23F9" w:rsidRPr="002F73DF" w:rsidRDefault="005B23F9" w:rsidP="0078348A">
            <w:pPr>
              <w:pStyle w:val="Tableau"/>
              <w:rPr>
                <w:color w:val="auto"/>
                <w:lang w:val="en-US"/>
              </w:rPr>
            </w:pPr>
            <w:r w:rsidRPr="002F73DF">
              <w:rPr>
                <w:color w:val="auto"/>
                <w:lang w:val="en-US"/>
              </w:rPr>
              <w:t>Nature des modifications</w:t>
            </w:r>
          </w:p>
        </w:tc>
        <w:tc>
          <w:tcPr>
            <w:tcW w:w="764" w:type="pct"/>
            <w:shd w:val="clear" w:color="auto" w:fill="auto"/>
            <w:tcMar>
              <w:top w:w="57" w:type="dxa"/>
              <w:bottom w:w="57" w:type="dxa"/>
            </w:tcMar>
            <w:vAlign w:val="center"/>
          </w:tcPr>
          <w:p w:rsidR="005B23F9" w:rsidRPr="002F73DF" w:rsidRDefault="005B23F9" w:rsidP="0078348A">
            <w:pPr>
              <w:pStyle w:val="Tableau"/>
              <w:rPr>
                <w:color w:val="auto"/>
                <w:lang w:val="en-US"/>
              </w:rPr>
            </w:pPr>
            <w:r w:rsidRPr="002F73DF">
              <w:rPr>
                <w:color w:val="auto"/>
                <w:lang w:val="en-US"/>
              </w:rPr>
              <w:t>Date</w:t>
            </w:r>
          </w:p>
        </w:tc>
      </w:tr>
      <w:tr w:rsidR="005B23F9" w:rsidRPr="002F73DF" w:rsidTr="009D7AA0">
        <w:trPr>
          <w:jc w:val="center"/>
        </w:trPr>
        <w:tc>
          <w:tcPr>
            <w:tcW w:w="555" w:type="pct"/>
            <w:shd w:val="clear" w:color="auto" w:fill="auto"/>
            <w:tcMar>
              <w:top w:w="57" w:type="dxa"/>
              <w:bottom w:w="57" w:type="dxa"/>
            </w:tcMar>
            <w:vAlign w:val="center"/>
          </w:tcPr>
          <w:p w:rsidR="005B23F9" w:rsidRPr="002F73DF" w:rsidRDefault="00E947B9" w:rsidP="0078348A">
            <w:pPr>
              <w:pStyle w:val="Tableau"/>
              <w:rPr>
                <w:color w:val="auto"/>
                <w:lang w:val="en-US"/>
              </w:rPr>
            </w:pPr>
            <w:r w:rsidRPr="002F73DF">
              <w:rPr>
                <w:color w:val="auto"/>
                <w:lang w:val="en-US"/>
              </w:rPr>
              <w:fldChar w:fldCharType="begin">
                <w:ffData>
                  <w:name w:val="Texte4"/>
                  <w:enabled/>
                  <w:calcOnExit w:val="0"/>
                  <w:textInput>
                    <w:type w:val="number"/>
                    <w:default w:val="0.0"/>
                  </w:textInput>
                </w:ffData>
              </w:fldChar>
            </w:r>
            <w:bookmarkStart w:id="1" w:name="Texte4"/>
            <w:r w:rsidRPr="002F73DF">
              <w:rPr>
                <w:color w:val="auto"/>
                <w:lang w:val="en-US"/>
              </w:rPr>
              <w:instrText xml:space="preserve"> FORMTEXT </w:instrText>
            </w:r>
            <w:r w:rsidRPr="002F73DF">
              <w:rPr>
                <w:color w:val="auto"/>
                <w:lang w:val="en-US"/>
              </w:rPr>
            </w:r>
            <w:r w:rsidRPr="002F73DF">
              <w:rPr>
                <w:color w:val="auto"/>
                <w:lang w:val="en-US"/>
              </w:rPr>
              <w:fldChar w:fldCharType="separate"/>
            </w:r>
            <w:r w:rsidR="00187776">
              <w:rPr>
                <w:noProof/>
                <w:color w:val="auto"/>
                <w:lang w:val="en-US"/>
              </w:rPr>
              <w:t>0.0</w:t>
            </w:r>
            <w:r w:rsidRPr="002F73DF">
              <w:rPr>
                <w:color w:val="auto"/>
                <w:lang w:val="en-US"/>
              </w:rPr>
              <w:fldChar w:fldCharType="end"/>
            </w:r>
            <w:bookmarkEnd w:id="1"/>
          </w:p>
        </w:tc>
        <w:tc>
          <w:tcPr>
            <w:tcW w:w="1287" w:type="pct"/>
            <w:shd w:val="clear" w:color="auto" w:fill="auto"/>
            <w:tcMar>
              <w:top w:w="57" w:type="dxa"/>
              <w:bottom w:w="57" w:type="dxa"/>
            </w:tcMar>
            <w:vAlign w:val="center"/>
          </w:tcPr>
          <w:p w:rsidR="002C43CF" w:rsidRPr="002F73DF" w:rsidRDefault="002D310E" w:rsidP="005F45F1">
            <w:pPr>
              <w:pStyle w:val="Tableau"/>
              <w:jc w:val="left"/>
              <w:rPr>
                <w:color w:val="auto"/>
                <w:sz w:val="20"/>
                <w:szCs w:val="20"/>
                <w:lang w:val="en-US"/>
              </w:rPr>
            </w:pPr>
            <w:r w:rsidRPr="002F73DF">
              <w:rPr>
                <w:color w:val="auto"/>
                <w:sz w:val="20"/>
                <w:szCs w:val="20"/>
                <w:lang w:val="en-US"/>
              </w:rPr>
              <w:t xml:space="preserve">Ismail Boutaleb </w:t>
            </w:r>
          </w:p>
        </w:tc>
        <w:bookmarkStart w:id="2" w:name="Texte8"/>
        <w:tc>
          <w:tcPr>
            <w:tcW w:w="2394" w:type="pct"/>
            <w:shd w:val="clear" w:color="auto" w:fill="auto"/>
            <w:tcMar>
              <w:top w:w="57" w:type="dxa"/>
              <w:bottom w:w="57" w:type="dxa"/>
            </w:tcMar>
            <w:vAlign w:val="center"/>
          </w:tcPr>
          <w:p w:rsidR="005B23F9" w:rsidRPr="002F73DF" w:rsidRDefault="005B23F9" w:rsidP="005B23F9">
            <w:pPr>
              <w:pStyle w:val="Tableau"/>
              <w:jc w:val="left"/>
              <w:rPr>
                <w:color w:val="auto"/>
                <w:sz w:val="20"/>
                <w:szCs w:val="20"/>
                <w:lang w:val="en-US"/>
              </w:rPr>
            </w:pPr>
            <w:r w:rsidRPr="002F73DF">
              <w:rPr>
                <w:color w:val="auto"/>
                <w:sz w:val="20"/>
                <w:szCs w:val="20"/>
                <w:lang w:val="en-US"/>
              </w:rPr>
              <w:fldChar w:fldCharType="begin">
                <w:ffData>
                  <w:name w:val="Texte8"/>
                  <w:enabled/>
                  <w:calcOnExit w:val="0"/>
                  <w:textInput>
                    <w:default w:val="Initialisation"/>
                  </w:textInput>
                </w:ffData>
              </w:fldChar>
            </w:r>
            <w:r w:rsidRPr="002F73DF">
              <w:rPr>
                <w:color w:val="auto"/>
                <w:sz w:val="20"/>
                <w:szCs w:val="20"/>
                <w:lang w:val="en-US"/>
              </w:rPr>
              <w:instrText xml:space="preserve"> FORMTEXT </w:instrText>
            </w:r>
            <w:r w:rsidRPr="002F73DF">
              <w:rPr>
                <w:color w:val="auto"/>
                <w:sz w:val="20"/>
                <w:szCs w:val="20"/>
                <w:lang w:val="en-US"/>
              </w:rPr>
            </w:r>
            <w:r w:rsidRPr="002F73DF">
              <w:rPr>
                <w:color w:val="auto"/>
                <w:sz w:val="20"/>
                <w:szCs w:val="20"/>
                <w:lang w:val="en-US"/>
              </w:rPr>
              <w:fldChar w:fldCharType="separate"/>
            </w:r>
            <w:r w:rsidR="00187776">
              <w:rPr>
                <w:noProof/>
                <w:color w:val="auto"/>
                <w:sz w:val="20"/>
                <w:szCs w:val="20"/>
                <w:lang w:val="en-US"/>
              </w:rPr>
              <w:t>Initialisation</w:t>
            </w:r>
            <w:r w:rsidRPr="002F73DF">
              <w:rPr>
                <w:color w:val="auto"/>
                <w:sz w:val="20"/>
                <w:szCs w:val="20"/>
                <w:lang w:val="en-US"/>
              </w:rPr>
              <w:fldChar w:fldCharType="end"/>
            </w:r>
            <w:bookmarkEnd w:id="2"/>
          </w:p>
        </w:tc>
        <w:tc>
          <w:tcPr>
            <w:tcW w:w="764" w:type="pct"/>
            <w:shd w:val="clear" w:color="auto" w:fill="auto"/>
            <w:tcMar>
              <w:top w:w="57" w:type="dxa"/>
              <w:bottom w:w="57" w:type="dxa"/>
            </w:tcMar>
            <w:vAlign w:val="center"/>
          </w:tcPr>
          <w:p w:rsidR="005B23F9" w:rsidRPr="002F73DF" w:rsidRDefault="002D310E" w:rsidP="0078348A">
            <w:pPr>
              <w:pStyle w:val="Tableau"/>
              <w:rPr>
                <w:color w:val="auto"/>
                <w:lang w:val="en-US"/>
              </w:rPr>
            </w:pPr>
            <w:r w:rsidRPr="002F73DF">
              <w:rPr>
                <w:color w:val="auto"/>
                <w:lang w:val="en-US"/>
              </w:rPr>
              <w:t>17/01/2018</w:t>
            </w:r>
          </w:p>
        </w:tc>
      </w:tr>
      <w:tr w:rsidR="005F45F1" w:rsidRPr="00573C14" w:rsidTr="009D7AA0">
        <w:trPr>
          <w:jc w:val="center"/>
        </w:trPr>
        <w:tc>
          <w:tcPr>
            <w:tcW w:w="555" w:type="pct"/>
            <w:shd w:val="clear" w:color="auto" w:fill="auto"/>
            <w:tcMar>
              <w:top w:w="57" w:type="dxa"/>
              <w:bottom w:w="57" w:type="dxa"/>
            </w:tcMar>
            <w:vAlign w:val="center"/>
          </w:tcPr>
          <w:p w:rsidR="005F45F1" w:rsidRPr="002F73DF" w:rsidRDefault="005F45F1" w:rsidP="0078348A">
            <w:pPr>
              <w:pStyle w:val="Tableau"/>
              <w:rPr>
                <w:color w:val="auto"/>
                <w:lang w:val="en-US"/>
              </w:rPr>
            </w:pPr>
          </w:p>
        </w:tc>
        <w:tc>
          <w:tcPr>
            <w:tcW w:w="1287" w:type="pct"/>
            <w:shd w:val="clear" w:color="auto" w:fill="auto"/>
            <w:tcMar>
              <w:top w:w="57" w:type="dxa"/>
              <w:bottom w:w="57" w:type="dxa"/>
            </w:tcMar>
            <w:vAlign w:val="center"/>
          </w:tcPr>
          <w:p w:rsidR="005F45F1" w:rsidRPr="002F73DF" w:rsidRDefault="005F45F1" w:rsidP="002D310E">
            <w:pPr>
              <w:pStyle w:val="Tableau"/>
              <w:jc w:val="left"/>
              <w:rPr>
                <w:color w:val="auto"/>
                <w:sz w:val="20"/>
                <w:szCs w:val="20"/>
                <w:lang w:val="en-US"/>
              </w:rPr>
            </w:pPr>
            <w:r w:rsidRPr="002F73DF">
              <w:rPr>
                <w:color w:val="auto"/>
                <w:sz w:val="20"/>
                <w:szCs w:val="20"/>
                <w:lang w:val="en-US"/>
              </w:rPr>
              <w:t>Ismail Boutaleb</w:t>
            </w:r>
          </w:p>
        </w:tc>
        <w:tc>
          <w:tcPr>
            <w:tcW w:w="2394" w:type="pct"/>
            <w:shd w:val="clear" w:color="auto" w:fill="auto"/>
            <w:tcMar>
              <w:top w:w="57" w:type="dxa"/>
              <w:bottom w:w="57" w:type="dxa"/>
            </w:tcMar>
            <w:vAlign w:val="center"/>
          </w:tcPr>
          <w:p w:rsidR="005F45F1" w:rsidRPr="002F73DF" w:rsidRDefault="001B68AC" w:rsidP="005B23F9">
            <w:pPr>
              <w:pStyle w:val="Tableau"/>
              <w:jc w:val="left"/>
              <w:rPr>
                <w:color w:val="auto"/>
                <w:sz w:val="20"/>
                <w:szCs w:val="20"/>
                <w:lang w:val="en-US"/>
              </w:rPr>
            </w:pPr>
            <w:r>
              <w:rPr>
                <w:color w:val="auto"/>
                <w:sz w:val="20"/>
                <w:szCs w:val="20"/>
                <w:lang w:val="en-US"/>
              </w:rPr>
              <w:t xml:space="preserve">An impact study of SME and sovereign filter on default rate is done part </w:t>
            </w:r>
            <w:r>
              <w:rPr>
                <w:color w:val="auto"/>
                <w:sz w:val="20"/>
                <w:szCs w:val="20"/>
                <w:lang w:val="en-US"/>
              </w:rPr>
              <w:fldChar w:fldCharType="begin"/>
            </w:r>
            <w:r>
              <w:rPr>
                <w:color w:val="auto"/>
                <w:sz w:val="20"/>
                <w:szCs w:val="20"/>
                <w:lang w:val="en-US"/>
              </w:rPr>
              <w:instrText xml:space="preserve"> REF _Ref526327114 \r \h </w:instrText>
            </w:r>
            <w:r>
              <w:rPr>
                <w:color w:val="auto"/>
                <w:sz w:val="20"/>
                <w:szCs w:val="20"/>
                <w:lang w:val="en-US"/>
              </w:rPr>
            </w:r>
            <w:r>
              <w:rPr>
                <w:color w:val="auto"/>
                <w:sz w:val="20"/>
                <w:szCs w:val="20"/>
                <w:lang w:val="en-US"/>
              </w:rPr>
              <w:fldChar w:fldCharType="separate"/>
            </w:r>
            <w:r>
              <w:rPr>
                <w:color w:val="auto"/>
                <w:sz w:val="20"/>
                <w:szCs w:val="20"/>
                <w:lang w:val="en-US"/>
              </w:rPr>
              <w:t>III.b.5</w:t>
            </w:r>
            <w:r>
              <w:rPr>
                <w:color w:val="auto"/>
                <w:sz w:val="20"/>
                <w:szCs w:val="20"/>
                <w:lang w:val="en-US"/>
              </w:rPr>
              <w:fldChar w:fldCharType="end"/>
            </w:r>
            <w:r>
              <w:rPr>
                <w:color w:val="auto"/>
                <w:sz w:val="20"/>
                <w:szCs w:val="20"/>
                <w:lang w:val="en-US"/>
              </w:rPr>
              <w:t>.</w:t>
            </w:r>
          </w:p>
        </w:tc>
        <w:tc>
          <w:tcPr>
            <w:tcW w:w="764" w:type="pct"/>
            <w:shd w:val="clear" w:color="auto" w:fill="auto"/>
            <w:tcMar>
              <w:top w:w="57" w:type="dxa"/>
              <w:bottom w:w="57" w:type="dxa"/>
            </w:tcMar>
            <w:vAlign w:val="center"/>
          </w:tcPr>
          <w:p w:rsidR="005F45F1" w:rsidRPr="002F73DF" w:rsidRDefault="005F45F1" w:rsidP="0078348A">
            <w:pPr>
              <w:pStyle w:val="Tableau"/>
              <w:rPr>
                <w:color w:val="auto"/>
                <w:lang w:val="en-US"/>
              </w:rPr>
            </w:pPr>
          </w:p>
        </w:tc>
      </w:tr>
    </w:tbl>
    <w:p w:rsidR="00316081" w:rsidRPr="002F73DF" w:rsidRDefault="00316081" w:rsidP="00316081">
      <w:pPr>
        <w:rPr>
          <w:lang w:val="en-US"/>
        </w:rPr>
      </w:pPr>
    </w:p>
    <w:p w:rsidR="00BF06C6" w:rsidRPr="002F73DF" w:rsidRDefault="00BF06C6" w:rsidP="009E2587">
      <w:pPr>
        <w:rPr>
          <w:lang w:val="en-US"/>
        </w:rPr>
      </w:pPr>
    </w:p>
    <w:p w:rsidR="005B23F9" w:rsidRPr="002F73DF" w:rsidRDefault="005B23F9" w:rsidP="009E2587">
      <w:pPr>
        <w:rPr>
          <w:lang w:val="en-US"/>
        </w:rPr>
        <w:sectPr w:rsidR="005B23F9" w:rsidRPr="002F73DF" w:rsidSect="005B23F9">
          <w:headerReference w:type="even" r:id="rId9"/>
          <w:headerReference w:type="default" r:id="rId10"/>
          <w:footerReference w:type="even" r:id="rId11"/>
          <w:footerReference w:type="default" r:id="rId12"/>
          <w:headerReference w:type="first" r:id="rId13"/>
          <w:footerReference w:type="first" r:id="rId14"/>
          <w:pgSz w:w="11906" w:h="16838"/>
          <w:pgMar w:top="1745" w:right="1418" w:bottom="1418" w:left="1418" w:header="709" w:footer="709" w:gutter="0"/>
          <w:cols w:space="708"/>
          <w:docGrid w:linePitch="360"/>
        </w:sectPr>
      </w:pPr>
    </w:p>
    <w:p w:rsidR="005B23F9" w:rsidRPr="002F73DF" w:rsidRDefault="005B23F9" w:rsidP="009E2587">
      <w:pPr>
        <w:rPr>
          <w:lang w:val="en-US"/>
        </w:rPr>
      </w:pPr>
    </w:p>
    <w:p w:rsidR="00BF06C6" w:rsidRPr="002F73DF" w:rsidRDefault="00BF06C6" w:rsidP="009E2587">
      <w:pPr>
        <w:rPr>
          <w:lang w:val="en-US"/>
        </w:rPr>
      </w:pPr>
    </w:p>
    <w:p w:rsidR="00691187" w:rsidRPr="002F73DF" w:rsidRDefault="00920695" w:rsidP="005B23F9">
      <w:pPr>
        <w:pStyle w:val="Sommaire"/>
        <w:rPr>
          <w:lang w:val="en-US"/>
        </w:rPr>
      </w:pPr>
      <w:r>
        <w:rPr>
          <w:lang w:val="en-US"/>
        </w:rPr>
        <w:t>Table of contents</w:t>
      </w:r>
    </w:p>
    <w:p w:rsidR="00187776" w:rsidRDefault="005B23F9">
      <w:pPr>
        <w:pStyle w:val="TOC1"/>
        <w:tabs>
          <w:tab w:val="left" w:pos="360"/>
          <w:tab w:val="right" w:leader="dot" w:pos="9060"/>
        </w:tabs>
        <w:rPr>
          <w:rFonts w:asciiTheme="minorHAnsi" w:eastAsiaTheme="minorEastAsia" w:hAnsiTheme="minorHAnsi" w:cstheme="minorBidi"/>
          <w:bCs w:val="0"/>
          <w:caps w:val="0"/>
          <w:noProof/>
          <w:color w:val="auto"/>
          <w:sz w:val="22"/>
          <w:szCs w:val="22"/>
        </w:rPr>
      </w:pPr>
      <w:r w:rsidRPr="002F73DF">
        <w:rPr>
          <w:lang w:val="en-US"/>
        </w:rPr>
        <w:fldChar w:fldCharType="begin"/>
      </w:r>
      <w:r w:rsidRPr="002F73DF">
        <w:rPr>
          <w:lang w:val="en-US"/>
        </w:rPr>
        <w:instrText xml:space="preserve"> TOC \o "1-5" \h \z \u </w:instrText>
      </w:r>
      <w:r w:rsidRPr="002F73DF">
        <w:rPr>
          <w:lang w:val="en-US"/>
        </w:rPr>
        <w:fldChar w:fldCharType="separate"/>
      </w:r>
      <w:hyperlink w:anchor="_Toc508997151" w:history="1">
        <w:r w:rsidR="00187776" w:rsidRPr="0034629D">
          <w:rPr>
            <w:rStyle w:val="Hyperlink"/>
            <w:noProof/>
            <w:lang w:val="en-US"/>
          </w:rPr>
          <w:t>I.</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Purpose of this document</w:t>
        </w:r>
        <w:r w:rsidR="00187776">
          <w:rPr>
            <w:noProof/>
            <w:webHidden/>
          </w:rPr>
          <w:tab/>
        </w:r>
        <w:r w:rsidR="00187776">
          <w:rPr>
            <w:noProof/>
            <w:webHidden/>
          </w:rPr>
          <w:fldChar w:fldCharType="begin"/>
        </w:r>
        <w:r w:rsidR="00187776">
          <w:rPr>
            <w:noProof/>
            <w:webHidden/>
          </w:rPr>
          <w:instrText xml:space="preserve"> PAGEREF _Toc508997151 \h </w:instrText>
        </w:r>
        <w:r w:rsidR="00187776">
          <w:rPr>
            <w:noProof/>
            <w:webHidden/>
          </w:rPr>
        </w:r>
        <w:r w:rsidR="00187776">
          <w:rPr>
            <w:noProof/>
            <w:webHidden/>
          </w:rPr>
          <w:fldChar w:fldCharType="separate"/>
        </w:r>
        <w:r w:rsidR="00187776">
          <w:rPr>
            <w:noProof/>
            <w:webHidden/>
          </w:rPr>
          <w:t>3</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52" w:history="1">
        <w:r w:rsidR="00187776" w:rsidRPr="0034629D">
          <w:rPr>
            <w:rStyle w:val="Hyperlink"/>
            <w:noProof/>
            <w:lang w:val="en-US"/>
          </w:rPr>
          <w:t>II.</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Data overview</w:t>
        </w:r>
        <w:r w:rsidR="00187776">
          <w:rPr>
            <w:noProof/>
            <w:webHidden/>
          </w:rPr>
          <w:tab/>
        </w:r>
        <w:r w:rsidR="00187776">
          <w:rPr>
            <w:noProof/>
            <w:webHidden/>
          </w:rPr>
          <w:fldChar w:fldCharType="begin"/>
        </w:r>
        <w:r w:rsidR="00187776">
          <w:rPr>
            <w:noProof/>
            <w:webHidden/>
          </w:rPr>
          <w:instrText xml:space="preserve"> PAGEREF _Toc508997152 \h </w:instrText>
        </w:r>
        <w:r w:rsidR="00187776">
          <w:rPr>
            <w:noProof/>
            <w:webHidden/>
          </w:rPr>
        </w:r>
        <w:r w:rsidR="00187776">
          <w:rPr>
            <w:noProof/>
            <w:webHidden/>
          </w:rPr>
          <w:fldChar w:fldCharType="separate"/>
        </w:r>
        <w:r w:rsidR="00187776">
          <w:rPr>
            <w:noProof/>
            <w:webHidden/>
          </w:rPr>
          <w:t>4</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53" w:history="1">
        <w:r w:rsidR="00187776" w:rsidRPr="0034629D">
          <w:rPr>
            <w:rStyle w:val="Hyperlink"/>
            <w:noProof/>
            <w:lang w:val="en-US"/>
          </w:rPr>
          <w:t>III.</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Historical migration matrix construction</w:t>
        </w:r>
        <w:r w:rsidR="00187776">
          <w:rPr>
            <w:noProof/>
            <w:webHidden/>
          </w:rPr>
          <w:tab/>
        </w:r>
        <w:r w:rsidR="00187776">
          <w:rPr>
            <w:noProof/>
            <w:webHidden/>
          </w:rPr>
          <w:fldChar w:fldCharType="begin"/>
        </w:r>
        <w:r w:rsidR="00187776">
          <w:rPr>
            <w:noProof/>
            <w:webHidden/>
          </w:rPr>
          <w:instrText xml:space="preserve"> PAGEREF _Toc508997153 \h </w:instrText>
        </w:r>
        <w:r w:rsidR="00187776">
          <w:rPr>
            <w:noProof/>
            <w:webHidden/>
          </w:rPr>
        </w:r>
        <w:r w:rsidR="00187776">
          <w:rPr>
            <w:noProof/>
            <w:webHidden/>
          </w:rPr>
          <w:fldChar w:fldCharType="separate"/>
        </w:r>
        <w:r w:rsidR="00187776">
          <w:rPr>
            <w:noProof/>
            <w:webHidden/>
          </w:rPr>
          <w:t>5</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54" w:history="1">
        <w:r w:rsidR="00187776" w:rsidRPr="0034629D">
          <w:rPr>
            <w:rStyle w:val="Hyperlink"/>
            <w:noProof/>
            <w:lang w:val="en-US"/>
          </w:rPr>
          <w:t>a.</w:t>
        </w:r>
        <w:r w:rsidR="00187776">
          <w:rPr>
            <w:rFonts w:asciiTheme="minorHAnsi" w:eastAsiaTheme="minorEastAsia" w:hAnsiTheme="minorHAnsi" w:cstheme="minorBidi"/>
            <w:bCs w:val="0"/>
            <w:noProof/>
            <w:sz w:val="22"/>
            <w:szCs w:val="22"/>
          </w:rPr>
          <w:tab/>
        </w:r>
        <w:r w:rsidR="00187776" w:rsidRPr="0034629D">
          <w:rPr>
            <w:rStyle w:val="Hyperlink"/>
            <w:noProof/>
            <w:lang w:val="en-US"/>
          </w:rPr>
          <w:t>Construction methodology</w:t>
        </w:r>
        <w:r w:rsidR="00187776">
          <w:rPr>
            <w:noProof/>
            <w:webHidden/>
          </w:rPr>
          <w:tab/>
        </w:r>
        <w:r w:rsidR="00187776">
          <w:rPr>
            <w:noProof/>
            <w:webHidden/>
          </w:rPr>
          <w:fldChar w:fldCharType="begin"/>
        </w:r>
        <w:r w:rsidR="00187776">
          <w:rPr>
            <w:noProof/>
            <w:webHidden/>
          </w:rPr>
          <w:instrText xml:space="preserve"> PAGEREF _Toc508997154 \h </w:instrText>
        </w:r>
        <w:r w:rsidR="00187776">
          <w:rPr>
            <w:noProof/>
            <w:webHidden/>
          </w:rPr>
        </w:r>
        <w:r w:rsidR="00187776">
          <w:rPr>
            <w:noProof/>
            <w:webHidden/>
          </w:rPr>
          <w:fldChar w:fldCharType="separate"/>
        </w:r>
        <w:r w:rsidR="00187776">
          <w:rPr>
            <w:noProof/>
            <w:webHidden/>
          </w:rPr>
          <w:t>5</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55" w:history="1">
        <w:r w:rsidR="00187776" w:rsidRPr="0034629D">
          <w:rPr>
            <w:rStyle w:val="Hyperlink"/>
            <w:noProof/>
            <w:lang w:val="en-US"/>
          </w:rPr>
          <w:t>b.</w:t>
        </w:r>
        <w:r w:rsidR="00187776">
          <w:rPr>
            <w:rFonts w:asciiTheme="minorHAnsi" w:eastAsiaTheme="minorEastAsia" w:hAnsiTheme="minorHAnsi" w:cstheme="minorBidi"/>
            <w:bCs w:val="0"/>
            <w:noProof/>
            <w:sz w:val="22"/>
            <w:szCs w:val="22"/>
          </w:rPr>
          <w:tab/>
        </w:r>
        <w:r w:rsidR="00187776" w:rsidRPr="0034629D">
          <w:rPr>
            <w:rStyle w:val="Hyperlink"/>
            <w:noProof/>
            <w:lang w:val="en-US"/>
          </w:rPr>
          <w:t>Construction choices</w:t>
        </w:r>
        <w:r w:rsidR="00187776">
          <w:rPr>
            <w:noProof/>
            <w:webHidden/>
          </w:rPr>
          <w:tab/>
        </w:r>
        <w:r w:rsidR="00187776">
          <w:rPr>
            <w:noProof/>
            <w:webHidden/>
          </w:rPr>
          <w:fldChar w:fldCharType="begin"/>
        </w:r>
        <w:r w:rsidR="00187776">
          <w:rPr>
            <w:noProof/>
            <w:webHidden/>
          </w:rPr>
          <w:instrText xml:space="preserve"> PAGEREF _Toc508997155 \h </w:instrText>
        </w:r>
        <w:r w:rsidR="00187776">
          <w:rPr>
            <w:noProof/>
            <w:webHidden/>
          </w:rPr>
        </w:r>
        <w:r w:rsidR="00187776">
          <w:rPr>
            <w:noProof/>
            <w:webHidden/>
          </w:rPr>
          <w:fldChar w:fldCharType="separate"/>
        </w:r>
        <w:r w:rsidR="00187776">
          <w:rPr>
            <w:noProof/>
            <w:webHidden/>
          </w:rPr>
          <w:t>6</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56" w:history="1">
        <w:r w:rsidR="00187776" w:rsidRPr="0034629D">
          <w:rPr>
            <w:rStyle w:val="Hyperlink"/>
            <w:noProof/>
          </w:rPr>
          <w:t>1.</w:t>
        </w:r>
        <w:r w:rsidR="00187776">
          <w:rPr>
            <w:rFonts w:asciiTheme="minorHAnsi" w:eastAsiaTheme="minorEastAsia" w:hAnsiTheme="minorHAnsi" w:cstheme="minorBidi"/>
            <w:noProof/>
            <w:sz w:val="22"/>
            <w:szCs w:val="22"/>
          </w:rPr>
          <w:tab/>
        </w:r>
        <w:r w:rsidR="00187776" w:rsidRPr="0034629D">
          <w:rPr>
            <w:rStyle w:val="Hyperlink"/>
            <w:noProof/>
          </w:rPr>
          <w:t>Not rated treatment</w:t>
        </w:r>
        <w:r w:rsidR="00187776">
          <w:rPr>
            <w:noProof/>
            <w:webHidden/>
          </w:rPr>
          <w:tab/>
        </w:r>
        <w:r w:rsidR="00187776">
          <w:rPr>
            <w:noProof/>
            <w:webHidden/>
          </w:rPr>
          <w:fldChar w:fldCharType="begin"/>
        </w:r>
        <w:r w:rsidR="00187776">
          <w:rPr>
            <w:noProof/>
            <w:webHidden/>
          </w:rPr>
          <w:instrText xml:space="preserve"> PAGEREF _Toc508997156 \h </w:instrText>
        </w:r>
        <w:r w:rsidR="00187776">
          <w:rPr>
            <w:noProof/>
            <w:webHidden/>
          </w:rPr>
        </w:r>
        <w:r w:rsidR="00187776">
          <w:rPr>
            <w:noProof/>
            <w:webHidden/>
          </w:rPr>
          <w:fldChar w:fldCharType="separate"/>
        </w:r>
        <w:r w:rsidR="00187776">
          <w:rPr>
            <w:noProof/>
            <w:webHidden/>
          </w:rPr>
          <w:t>6</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57" w:history="1">
        <w:r w:rsidR="00187776" w:rsidRPr="0034629D">
          <w:rPr>
            <w:rStyle w:val="Hyperlink"/>
            <w:noProof/>
          </w:rPr>
          <w:t>2.</w:t>
        </w:r>
        <w:r w:rsidR="00187776">
          <w:rPr>
            <w:rFonts w:asciiTheme="minorHAnsi" w:eastAsiaTheme="minorEastAsia" w:hAnsiTheme="minorHAnsi" w:cstheme="minorBidi"/>
            <w:noProof/>
            <w:sz w:val="22"/>
            <w:szCs w:val="22"/>
          </w:rPr>
          <w:tab/>
        </w:r>
        <w:r w:rsidR="00187776" w:rsidRPr="0034629D">
          <w:rPr>
            <w:rStyle w:val="Hyperlink"/>
            <w:noProof/>
          </w:rPr>
          <w:t>Historical Depth and frequency</w:t>
        </w:r>
        <w:r w:rsidR="00187776">
          <w:rPr>
            <w:noProof/>
            <w:webHidden/>
          </w:rPr>
          <w:tab/>
        </w:r>
        <w:r w:rsidR="00187776">
          <w:rPr>
            <w:noProof/>
            <w:webHidden/>
          </w:rPr>
          <w:fldChar w:fldCharType="begin"/>
        </w:r>
        <w:r w:rsidR="00187776">
          <w:rPr>
            <w:noProof/>
            <w:webHidden/>
          </w:rPr>
          <w:instrText xml:space="preserve"> PAGEREF _Toc508997157 \h </w:instrText>
        </w:r>
        <w:r w:rsidR="00187776">
          <w:rPr>
            <w:noProof/>
            <w:webHidden/>
          </w:rPr>
        </w:r>
        <w:r w:rsidR="00187776">
          <w:rPr>
            <w:noProof/>
            <w:webHidden/>
          </w:rPr>
          <w:fldChar w:fldCharType="separate"/>
        </w:r>
        <w:r w:rsidR="00187776">
          <w:rPr>
            <w:noProof/>
            <w:webHidden/>
          </w:rPr>
          <w:t>7</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58" w:history="1">
        <w:r w:rsidR="00187776" w:rsidRPr="0034629D">
          <w:rPr>
            <w:rStyle w:val="Hyperlink"/>
            <w:noProof/>
          </w:rPr>
          <w:t>3.</w:t>
        </w:r>
        <w:r w:rsidR="00187776">
          <w:rPr>
            <w:rFonts w:asciiTheme="minorHAnsi" w:eastAsiaTheme="minorEastAsia" w:hAnsiTheme="minorHAnsi" w:cstheme="minorBidi"/>
            <w:noProof/>
            <w:sz w:val="22"/>
            <w:szCs w:val="22"/>
          </w:rPr>
          <w:tab/>
        </w:r>
        <w:r w:rsidR="00187776" w:rsidRPr="0034629D">
          <w:rPr>
            <w:rStyle w:val="Hyperlink"/>
            <w:noProof/>
          </w:rPr>
          <w:t>Matrix regularization</w:t>
        </w:r>
        <w:r w:rsidR="00187776">
          <w:rPr>
            <w:noProof/>
            <w:webHidden/>
          </w:rPr>
          <w:tab/>
        </w:r>
        <w:r w:rsidR="00187776">
          <w:rPr>
            <w:noProof/>
            <w:webHidden/>
          </w:rPr>
          <w:fldChar w:fldCharType="begin"/>
        </w:r>
        <w:r w:rsidR="00187776">
          <w:rPr>
            <w:noProof/>
            <w:webHidden/>
          </w:rPr>
          <w:instrText xml:space="preserve"> PAGEREF _Toc508997158 \h </w:instrText>
        </w:r>
        <w:r w:rsidR="00187776">
          <w:rPr>
            <w:noProof/>
            <w:webHidden/>
          </w:rPr>
        </w:r>
        <w:r w:rsidR="00187776">
          <w:rPr>
            <w:noProof/>
            <w:webHidden/>
          </w:rPr>
          <w:fldChar w:fldCharType="separate"/>
        </w:r>
        <w:r w:rsidR="00187776">
          <w:rPr>
            <w:noProof/>
            <w:webHidden/>
          </w:rPr>
          <w:t>7</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59" w:history="1">
        <w:r w:rsidR="00187776" w:rsidRPr="0034629D">
          <w:rPr>
            <w:rStyle w:val="Hyperlink"/>
            <w:noProof/>
          </w:rPr>
          <w:t>4.</w:t>
        </w:r>
        <w:r w:rsidR="00187776">
          <w:rPr>
            <w:rFonts w:asciiTheme="minorHAnsi" w:eastAsiaTheme="minorEastAsia" w:hAnsiTheme="minorHAnsi" w:cstheme="minorBidi"/>
            <w:noProof/>
            <w:sz w:val="22"/>
            <w:szCs w:val="22"/>
          </w:rPr>
          <w:tab/>
        </w:r>
        <w:r w:rsidR="00187776" w:rsidRPr="0034629D">
          <w:rPr>
            <w:rStyle w:val="Hyperlink"/>
            <w:noProof/>
          </w:rPr>
          <w:t>Engagement filter</w:t>
        </w:r>
        <w:r w:rsidR="00187776">
          <w:rPr>
            <w:noProof/>
            <w:webHidden/>
          </w:rPr>
          <w:tab/>
        </w:r>
        <w:r w:rsidR="00187776">
          <w:rPr>
            <w:noProof/>
            <w:webHidden/>
          </w:rPr>
          <w:fldChar w:fldCharType="begin"/>
        </w:r>
        <w:r w:rsidR="00187776">
          <w:rPr>
            <w:noProof/>
            <w:webHidden/>
          </w:rPr>
          <w:instrText xml:space="preserve"> PAGEREF _Toc508997159 \h </w:instrText>
        </w:r>
        <w:r w:rsidR="00187776">
          <w:rPr>
            <w:noProof/>
            <w:webHidden/>
          </w:rPr>
        </w:r>
        <w:r w:rsidR="00187776">
          <w:rPr>
            <w:noProof/>
            <w:webHidden/>
          </w:rPr>
          <w:fldChar w:fldCharType="separate"/>
        </w:r>
        <w:r w:rsidR="00187776">
          <w:rPr>
            <w:noProof/>
            <w:webHidden/>
          </w:rPr>
          <w:t>7</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0" w:history="1">
        <w:r w:rsidR="00187776" w:rsidRPr="0034629D">
          <w:rPr>
            <w:rStyle w:val="Hyperlink"/>
            <w:noProof/>
          </w:rPr>
          <w:t>5.</w:t>
        </w:r>
        <w:r w:rsidR="00187776">
          <w:rPr>
            <w:rFonts w:asciiTheme="minorHAnsi" w:eastAsiaTheme="minorEastAsia" w:hAnsiTheme="minorHAnsi" w:cstheme="minorBidi"/>
            <w:noProof/>
            <w:sz w:val="22"/>
            <w:szCs w:val="22"/>
          </w:rPr>
          <w:tab/>
        </w:r>
        <w:r w:rsidR="00187776" w:rsidRPr="0034629D">
          <w:rPr>
            <w:rStyle w:val="Hyperlink"/>
            <w:noProof/>
          </w:rPr>
          <w:t>Segmentation</w:t>
        </w:r>
        <w:r w:rsidR="00187776">
          <w:rPr>
            <w:noProof/>
            <w:webHidden/>
          </w:rPr>
          <w:tab/>
        </w:r>
        <w:r w:rsidR="00187776">
          <w:rPr>
            <w:noProof/>
            <w:webHidden/>
          </w:rPr>
          <w:fldChar w:fldCharType="begin"/>
        </w:r>
        <w:r w:rsidR="00187776">
          <w:rPr>
            <w:noProof/>
            <w:webHidden/>
          </w:rPr>
          <w:instrText xml:space="preserve"> PAGEREF _Toc508997160 \h </w:instrText>
        </w:r>
        <w:r w:rsidR="00187776">
          <w:rPr>
            <w:noProof/>
            <w:webHidden/>
          </w:rPr>
        </w:r>
        <w:r w:rsidR="00187776">
          <w:rPr>
            <w:noProof/>
            <w:webHidden/>
          </w:rPr>
          <w:fldChar w:fldCharType="separate"/>
        </w:r>
        <w:r w:rsidR="00187776">
          <w:rPr>
            <w:noProof/>
            <w:webHidden/>
          </w:rPr>
          <w:t>8</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61" w:history="1">
        <w:r w:rsidR="00187776" w:rsidRPr="0034629D">
          <w:rPr>
            <w:rStyle w:val="Hyperlink"/>
            <w:noProof/>
            <w:lang w:val="en-US"/>
          </w:rPr>
          <w:t>IV.</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Matrix regularization methodology</w:t>
        </w:r>
        <w:r w:rsidR="00187776">
          <w:rPr>
            <w:noProof/>
            <w:webHidden/>
          </w:rPr>
          <w:tab/>
        </w:r>
        <w:r w:rsidR="00187776">
          <w:rPr>
            <w:noProof/>
            <w:webHidden/>
          </w:rPr>
          <w:fldChar w:fldCharType="begin"/>
        </w:r>
        <w:r w:rsidR="00187776">
          <w:rPr>
            <w:noProof/>
            <w:webHidden/>
          </w:rPr>
          <w:instrText xml:space="preserve"> PAGEREF _Toc508997161 \h </w:instrText>
        </w:r>
        <w:r w:rsidR="00187776">
          <w:rPr>
            <w:noProof/>
            <w:webHidden/>
          </w:rPr>
        </w:r>
        <w:r w:rsidR="00187776">
          <w:rPr>
            <w:noProof/>
            <w:webHidden/>
          </w:rPr>
          <w:fldChar w:fldCharType="separate"/>
        </w:r>
        <w:r w:rsidR="00187776">
          <w:rPr>
            <w:noProof/>
            <w:webHidden/>
          </w:rPr>
          <w:t>10</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62" w:history="1">
        <w:r w:rsidR="00187776" w:rsidRPr="0034629D">
          <w:rPr>
            <w:rStyle w:val="Hyperlink"/>
            <w:noProof/>
            <w:lang w:val="en-US"/>
          </w:rPr>
          <w:t>a.</w:t>
        </w:r>
        <w:r w:rsidR="00187776">
          <w:rPr>
            <w:rFonts w:asciiTheme="minorHAnsi" w:eastAsiaTheme="minorEastAsia" w:hAnsiTheme="minorHAnsi" w:cstheme="minorBidi"/>
            <w:bCs w:val="0"/>
            <w:noProof/>
            <w:sz w:val="22"/>
            <w:szCs w:val="22"/>
          </w:rPr>
          <w:tab/>
        </w:r>
        <w:r w:rsidR="00187776" w:rsidRPr="0034629D">
          <w:rPr>
            <w:rStyle w:val="Hyperlink"/>
            <w:noProof/>
            <w:lang w:val="en-US"/>
          </w:rPr>
          <w:t>Motivation</w:t>
        </w:r>
        <w:r w:rsidR="00187776">
          <w:rPr>
            <w:noProof/>
            <w:webHidden/>
          </w:rPr>
          <w:tab/>
        </w:r>
        <w:r w:rsidR="00187776">
          <w:rPr>
            <w:noProof/>
            <w:webHidden/>
          </w:rPr>
          <w:fldChar w:fldCharType="begin"/>
        </w:r>
        <w:r w:rsidR="00187776">
          <w:rPr>
            <w:noProof/>
            <w:webHidden/>
          </w:rPr>
          <w:instrText xml:space="preserve"> PAGEREF _Toc508997162 \h </w:instrText>
        </w:r>
        <w:r w:rsidR="00187776">
          <w:rPr>
            <w:noProof/>
            <w:webHidden/>
          </w:rPr>
        </w:r>
        <w:r w:rsidR="00187776">
          <w:rPr>
            <w:noProof/>
            <w:webHidden/>
          </w:rPr>
          <w:fldChar w:fldCharType="separate"/>
        </w:r>
        <w:r w:rsidR="00187776">
          <w:rPr>
            <w:noProof/>
            <w:webHidden/>
          </w:rPr>
          <w:t>10</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3" w:history="1">
        <w:r w:rsidR="00187776" w:rsidRPr="0034629D">
          <w:rPr>
            <w:rStyle w:val="Hyperlink"/>
            <w:noProof/>
          </w:rPr>
          <w:t>1.</w:t>
        </w:r>
        <w:r w:rsidR="00187776">
          <w:rPr>
            <w:rFonts w:asciiTheme="minorHAnsi" w:eastAsiaTheme="minorEastAsia" w:hAnsiTheme="minorHAnsi" w:cstheme="minorBidi"/>
            <w:noProof/>
            <w:sz w:val="22"/>
            <w:szCs w:val="22"/>
          </w:rPr>
          <w:tab/>
        </w:r>
        <w:r w:rsidR="00187776" w:rsidRPr="0034629D">
          <w:rPr>
            <w:rStyle w:val="Hyperlink"/>
            <w:noProof/>
          </w:rPr>
          <w:t>Definition of a regular transition matrix</w:t>
        </w:r>
        <w:r w:rsidR="00187776">
          <w:rPr>
            <w:noProof/>
            <w:webHidden/>
          </w:rPr>
          <w:tab/>
        </w:r>
        <w:r w:rsidR="00187776">
          <w:rPr>
            <w:noProof/>
            <w:webHidden/>
          </w:rPr>
          <w:fldChar w:fldCharType="begin"/>
        </w:r>
        <w:r w:rsidR="00187776">
          <w:rPr>
            <w:noProof/>
            <w:webHidden/>
          </w:rPr>
          <w:instrText xml:space="preserve"> PAGEREF _Toc508997163 \h </w:instrText>
        </w:r>
        <w:r w:rsidR="00187776">
          <w:rPr>
            <w:noProof/>
            <w:webHidden/>
          </w:rPr>
        </w:r>
        <w:r w:rsidR="00187776">
          <w:rPr>
            <w:noProof/>
            <w:webHidden/>
          </w:rPr>
          <w:fldChar w:fldCharType="separate"/>
        </w:r>
        <w:r w:rsidR="00187776">
          <w:rPr>
            <w:noProof/>
            <w:webHidden/>
          </w:rPr>
          <w:t>10</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4" w:history="1">
        <w:r w:rsidR="00187776" w:rsidRPr="0034629D">
          <w:rPr>
            <w:rStyle w:val="Hyperlink"/>
            <w:noProof/>
          </w:rPr>
          <w:t>2.</w:t>
        </w:r>
        <w:r w:rsidR="00187776">
          <w:rPr>
            <w:rFonts w:asciiTheme="minorHAnsi" w:eastAsiaTheme="minorEastAsia" w:hAnsiTheme="minorHAnsi" w:cstheme="minorBidi"/>
            <w:noProof/>
            <w:sz w:val="22"/>
            <w:szCs w:val="22"/>
          </w:rPr>
          <w:tab/>
        </w:r>
        <w:r w:rsidR="00187776" w:rsidRPr="0034629D">
          <w:rPr>
            <w:rStyle w:val="Hyperlink"/>
            <w:noProof/>
          </w:rPr>
          <w:t>Example or irregular observed matrices</w:t>
        </w:r>
        <w:r w:rsidR="00187776">
          <w:rPr>
            <w:noProof/>
            <w:webHidden/>
          </w:rPr>
          <w:tab/>
        </w:r>
        <w:r w:rsidR="00187776">
          <w:rPr>
            <w:noProof/>
            <w:webHidden/>
          </w:rPr>
          <w:fldChar w:fldCharType="begin"/>
        </w:r>
        <w:r w:rsidR="00187776">
          <w:rPr>
            <w:noProof/>
            <w:webHidden/>
          </w:rPr>
          <w:instrText xml:space="preserve"> PAGEREF _Toc508997164 \h </w:instrText>
        </w:r>
        <w:r w:rsidR="00187776">
          <w:rPr>
            <w:noProof/>
            <w:webHidden/>
          </w:rPr>
        </w:r>
        <w:r w:rsidR="00187776">
          <w:rPr>
            <w:noProof/>
            <w:webHidden/>
          </w:rPr>
          <w:fldChar w:fldCharType="separate"/>
        </w:r>
        <w:r w:rsidR="00187776">
          <w:rPr>
            <w:noProof/>
            <w:webHidden/>
          </w:rPr>
          <w:t>10</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5" w:history="1">
        <w:r w:rsidR="00187776" w:rsidRPr="0034629D">
          <w:rPr>
            <w:rStyle w:val="Hyperlink"/>
            <w:noProof/>
          </w:rPr>
          <w:t>3.</w:t>
        </w:r>
        <w:r w:rsidR="00187776">
          <w:rPr>
            <w:rFonts w:asciiTheme="minorHAnsi" w:eastAsiaTheme="minorEastAsia" w:hAnsiTheme="minorHAnsi" w:cstheme="minorBidi"/>
            <w:noProof/>
            <w:sz w:val="22"/>
            <w:szCs w:val="22"/>
          </w:rPr>
          <w:tab/>
        </w:r>
        <w:r w:rsidR="00187776" w:rsidRPr="0034629D">
          <w:rPr>
            <w:rStyle w:val="Hyperlink"/>
            <w:noProof/>
          </w:rPr>
          <w:t>Evidence of statistical incertitude</w:t>
        </w:r>
        <w:r w:rsidR="00187776">
          <w:rPr>
            <w:noProof/>
            <w:webHidden/>
          </w:rPr>
          <w:tab/>
        </w:r>
        <w:r w:rsidR="00187776">
          <w:rPr>
            <w:noProof/>
            <w:webHidden/>
          </w:rPr>
          <w:fldChar w:fldCharType="begin"/>
        </w:r>
        <w:r w:rsidR="00187776">
          <w:rPr>
            <w:noProof/>
            <w:webHidden/>
          </w:rPr>
          <w:instrText xml:space="preserve"> PAGEREF _Toc508997165 \h </w:instrText>
        </w:r>
        <w:r w:rsidR="00187776">
          <w:rPr>
            <w:noProof/>
            <w:webHidden/>
          </w:rPr>
        </w:r>
        <w:r w:rsidR="00187776">
          <w:rPr>
            <w:noProof/>
            <w:webHidden/>
          </w:rPr>
          <w:fldChar w:fldCharType="separate"/>
        </w:r>
        <w:r w:rsidR="00187776">
          <w:rPr>
            <w:noProof/>
            <w:webHidden/>
          </w:rPr>
          <w:t>11</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66" w:history="1">
        <w:r w:rsidR="00187776" w:rsidRPr="0034629D">
          <w:rPr>
            <w:rStyle w:val="Hyperlink"/>
            <w:noProof/>
            <w:lang w:val="en-US"/>
          </w:rPr>
          <w:t>b.</w:t>
        </w:r>
        <w:r w:rsidR="00187776">
          <w:rPr>
            <w:rFonts w:asciiTheme="minorHAnsi" w:eastAsiaTheme="minorEastAsia" w:hAnsiTheme="minorHAnsi" w:cstheme="minorBidi"/>
            <w:bCs w:val="0"/>
            <w:noProof/>
            <w:sz w:val="22"/>
            <w:szCs w:val="22"/>
          </w:rPr>
          <w:tab/>
        </w:r>
        <w:r w:rsidR="00187776" w:rsidRPr="0034629D">
          <w:rPr>
            <w:rStyle w:val="Hyperlink"/>
            <w:noProof/>
            <w:lang w:val="en-US"/>
          </w:rPr>
          <w:t>Methodology description</w:t>
        </w:r>
        <w:r w:rsidR="00187776">
          <w:rPr>
            <w:noProof/>
            <w:webHidden/>
          </w:rPr>
          <w:tab/>
        </w:r>
        <w:r w:rsidR="00187776">
          <w:rPr>
            <w:noProof/>
            <w:webHidden/>
          </w:rPr>
          <w:fldChar w:fldCharType="begin"/>
        </w:r>
        <w:r w:rsidR="00187776">
          <w:rPr>
            <w:noProof/>
            <w:webHidden/>
          </w:rPr>
          <w:instrText xml:space="preserve"> PAGEREF _Toc508997166 \h </w:instrText>
        </w:r>
        <w:r w:rsidR="00187776">
          <w:rPr>
            <w:noProof/>
            <w:webHidden/>
          </w:rPr>
        </w:r>
        <w:r w:rsidR="00187776">
          <w:rPr>
            <w:noProof/>
            <w:webHidden/>
          </w:rPr>
          <w:fldChar w:fldCharType="separate"/>
        </w:r>
        <w:r w:rsidR="00187776">
          <w:rPr>
            <w:noProof/>
            <w:webHidden/>
          </w:rPr>
          <w:t>13</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7" w:history="1">
        <w:r w:rsidR="00187776" w:rsidRPr="0034629D">
          <w:rPr>
            <w:rStyle w:val="Hyperlink"/>
            <w:noProof/>
          </w:rPr>
          <w:t>1.</w:t>
        </w:r>
        <w:r w:rsidR="00187776">
          <w:rPr>
            <w:rFonts w:asciiTheme="minorHAnsi" w:eastAsiaTheme="minorEastAsia" w:hAnsiTheme="minorHAnsi" w:cstheme="minorBidi"/>
            <w:noProof/>
            <w:sz w:val="22"/>
            <w:szCs w:val="22"/>
          </w:rPr>
          <w:tab/>
        </w:r>
        <w:r w:rsidR="00187776" w:rsidRPr="0034629D">
          <w:rPr>
            <w:rStyle w:val="Hyperlink"/>
            <w:noProof/>
          </w:rPr>
          <w:t>Default vector regularization</w:t>
        </w:r>
        <w:r w:rsidR="00187776">
          <w:rPr>
            <w:noProof/>
            <w:webHidden/>
          </w:rPr>
          <w:tab/>
        </w:r>
        <w:r w:rsidR="00187776">
          <w:rPr>
            <w:noProof/>
            <w:webHidden/>
          </w:rPr>
          <w:fldChar w:fldCharType="begin"/>
        </w:r>
        <w:r w:rsidR="00187776">
          <w:rPr>
            <w:noProof/>
            <w:webHidden/>
          </w:rPr>
          <w:instrText xml:space="preserve"> PAGEREF _Toc508997167 \h </w:instrText>
        </w:r>
        <w:r w:rsidR="00187776">
          <w:rPr>
            <w:noProof/>
            <w:webHidden/>
          </w:rPr>
        </w:r>
        <w:r w:rsidR="00187776">
          <w:rPr>
            <w:noProof/>
            <w:webHidden/>
          </w:rPr>
          <w:fldChar w:fldCharType="separate"/>
        </w:r>
        <w:r w:rsidR="00187776">
          <w:rPr>
            <w:noProof/>
            <w:webHidden/>
          </w:rPr>
          <w:t>15</w:t>
        </w:r>
        <w:r w:rsidR="00187776">
          <w:rPr>
            <w:noProof/>
            <w:webHidden/>
          </w:rPr>
          <w:fldChar w:fldCharType="end"/>
        </w:r>
      </w:hyperlink>
    </w:p>
    <w:p w:rsidR="00187776" w:rsidRDefault="00120881">
      <w:pPr>
        <w:pStyle w:val="TOC3"/>
        <w:rPr>
          <w:rFonts w:asciiTheme="minorHAnsi" w:eastAsiaTheme="minorEastAsia" w:hAnsiTheme="minorHAnsi" w:cstheme="minorBidi"/>
          <w:noProof/>
          <w:sz w:val="22"/>
          <w:szCs w:val="22"/>
        </w:rPr>
      </w:pPr>
      <w:hyperlink w:anchor="_Toc508997168" w:history="1">
        <w:r w:rsidR="00187776" w:rsidRPr="0034629D">
          <w:rPr>
            <w:rStyle w:val="Hyperlink"/>
            <w:noProof/>
          </w:rPr>
          <w:t>2.</w:t>
        </w:r>
        <w:r w:rsidR="00187776">
          <w:rPr>
            <w:rFonts w:asciiTheme="minorHAnsi" w:eastAsiaTheme="minorEastAsia" w:hAnsiTheme="minorHAnsi" w:cstheme="minorBidi"/>
            <w:noProof/>
            <w:sz w:val="22"/>
            <w:szCs w:val="22"/>
          </w:rPr>
          <w:tab/>
        </w:r>
        <w:r w:rsidR="00187776" w:rsidRPr="0034629D">
          <w:rPr>
            <w:rStyle w:val="Hyperlink"/>
            <w:noProof/>
          </w:rPr>
          <w:t>Migration probability regularization</w:t>
        </w:r>
        <w:r w:rsidR="00187776">
          <w:rPr>
            <w:noProof/>
            <w:webHidden/>
          </w:rPr>
          <w:tab/>
        </w:r>
        <w:r w:rsidR="00187776">
          <w:rPr>
            <w:noProof/>
            <w:webHidden/>
          </w:rPr>
          <w:fldChar w:fldCharType="begin"/>
        </w:r>
        <w:r w:rsidR="00187776">
          <w:rPr>
            <w:noProof/>
            <w:webHidden/>
          </w:rPr>
          <w:instrText xml:space="preserve"> PAGEREF _Toc508997168 \h </w:instrText>
        </w:r>
        <w:r w:rsidR="00187776">
          <w:rPr>
            <w:noProof/>
            <w:webHidden/>
          </w:rPr>
        </w:r>
        <w:r w:rsidR="00187776">
          <w:rPr>
            <w:noProof/>
            <w:webHidden/>
          </w:rPr>
          <w:fldChar w:fldCharType="separate"/>
        </w:r>
        <w:r w:rsidR="00187776">
          <w:rPr>
            <w:noProof/>
            <w:webHidden/>
          </w:rPr>
          <w:t>17</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69" w:history="1">
        <w:r w:rsidR="00187776" w:rsidRPr="0034629D">
          <w:rPr>
            <w:rStyle w:val="Hyperlink"/>
            <w:noProof/>
            <w:lang w:val="en-US"/>
          </w:rPr>
          <w:t>c.</w:t>
        </w:r>
        <w:r w:rsidR="00187776">
          <w:rPr>
            <w:rFonts w:asciiTheme="minorHAnsi" w:eastAsiaTheme="minorEastAsia" w:hAnsiTheme="minorHAnsi" w:cstheme="minorBidi"/>
            <w:bCs w:val="0"/>
            <w:noProof/>
            <w:sz w:val="22"/>
            <w:szCs w:val="22"/>
          </w:rPr>
          <w:tab/>
        </w:r>
        <w:r w:rsidR="00187776" w:rsidRPr="0034629D">
          <w:rPr>
            <w:rStyle w:val="Hyperlink"/>
            <w:noProof/>
            <w:lang w:val="en-US"/>
          </w:rPr>
          <w:t>Results and Impacts</w:t>
        </w:r>
        <w:r w:rsidR="00187776">
          <w:rPr>
            <w:noProof/>
            <w:webHidden/>
          </w:rPr>
          <w:tab/>
        </w:r>
        <w:r w:rsidR="00187776">
          <w:rPr>
            <w:noProof/>
            <w:webHidden/>
          </w:rPr>
          <w:fldChar w:fldCharType="begin"/>
        </w:r>
        <w:r w:rsidR="00187776">
          <w:rPr>
            <w:noProof/>
            <w:webHidden/>
          </w:rPr>
          <w:instrText xml:space="preserve"> PAGEREF _Toc508997169 \h </w:instrText>
        </w:r>
        <w:r w:rsidR="00187776">
          <w:rPr>
            <w:noProof/>
            <w:webHidden/>
          </w:rPr>
        </w:r>
        <w:r w:rsidR="00187776">
          <w:rPr>
            <w:noProof/>
            <w:webHidden/>
          </w:rPr>
          <w:fldChar w:fldCharType="separate"/>
        </w:r>
        <w:r w:rsidR="00187776">
          <w:rPr>
            <w:noProof/>
            <w:webHidden/>
          </w:rPr>
          <w:t>17</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70" w:history="1">
        <w:r w:rsidR="00187776" w:rsidRPr="0034629D">
          <w:rPr>
            <w:rStyle w:val="Hyperlink"/>
            <w:noProof/>
            <w:lang w:val="en-US"/>
          </w:rPr>
          <w:t>V.</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Term structure default probability</w:t>
        </w:r>
        <w:r w:rsidR="00187776">
          <w:rPr>
            <w:noProof/>
            <w:webHidden/>
          </w:rPr>
          <w:tab/>
        </w:r>
        <w:r w:rsidR="00187776">
          <w:rPr>
            <w:noProof/>
            <w:webHidden/>
          </w:rPr>
          <w:fldChar w:fldCharType="begin"/>
        </w:r>
        <w:r w:rsidR="00187776">
          <w:rPr>
            <w:noProof/>
            <w:webHidden/>
          </w:rPr>
          <w:instrText xml:space="preserve"> PAGEREF _Toc508997170 \h </w:instrText>
        </w:r>
        <w:r w:rsidR="00187776">
          <w:rPr>
            <w:noProof/>
            <w:webHidden/>
          </w:rPr>
        </w:r>
        <w:r w:rsidR="00187776">
          <w:rPr>
            <w:noProof/>
            <w:webHidden/>
          </w:rPr>
          <w:fldChar w:fldCharType="separate"/>
        </w:r>
        <w:r w:rsidR="00187776">
          <w:rPr>
            <w:noProof/>
            <w:webHidden/>
          </w:rPr>
          <w:t>23</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71" w:history="1">
        <w:r w:rsidR="00187776" w:rsidRPr="0034629D">
          <w:rPr>
            <w:rStyle w:val="Hyperlink"/>
            <w:noProof/>
            <w:lang w:val="en-US"/>
          </w:rPr>
          <w:t>VI.</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Appendix</w:t>
        </w:r>
        <w:r w:rsidR="00187776">
          <w:rPr>
            <w:noProof/>
            <w:webHidden/>
          </w:rPr>
          <w:tab/>
        </w:r>
        <w:r w:rsidR="00187776">
          <w:rPr>
            <w:noProof/>
            <w:webHidden/>
          </w:rPr>
          <w:fldChar w:fldCharType="begin"/>
        </w:r>
        <w:r w:rsidR="00187776">
          <w:rPr>
            <w:noProof/>
            <w:webHidden/>
          </w:rPr>
          <w:instrText xml:space="preserve"> PAGEREF _Toc508997171 \h </w:instrText>
        </w:r>
        <w:r w:rsidR="00187776">
          <w:rPr>
            <w:noProof/>
            <w:webHidden/>
          </w:rPr>
        </w:r>
        <w:r w:rsidR="00187776">
          <w:rPr>
            <w:noProof/>
            <w:webHidden/>
          </w:rPr>
          <w:fldChar w:fldCharType="separate"/>
        </w:r>
        <w:r w:rsidR="00187776">
          <w:rPr>
            <w:noProof/>
            <w:webHidden/>
          </w:rPr>
          <w:t>24</w:t>
        </w:r>
        <w:r w:rsidR="00187776">
          <w:rPr>
            <w:noProof/>
            <w:webHidden/>
          </w:rPr>
          <w:fldChar w:fldCharType="end"/>
        </w:r>
      </w:hyperlink>
    </w:p>
    <w:p w:rsidR="00187776" w:rsidRDefault="00120881">
      <w:pPr>
        <w:pStyle w:val="TOC2"/>
        <w:rPr>
          <w:rFonts w:asciiTheme="minorHAnsi" w:eastAsiaTheme="minorEastAsia" w:hAnsiTheme="minorHAnsi" w:cstheme="minorBidi"/>
          <w:bCs w:val="0"/>
          <w:noProof/>
          <w:sz w:val="22"/>
          <w:szCs w:val="22"/>
        </w:rPr>
      </w:pPr>
      <w:hyperlink w:anchor="_Toc508997172" w:history="1">
        <w:r w:rsidR="00187776" w:rsidRPr="0034629D">
          <w:rPr>
            <w:rStyle w:val="Hyperlink"/>
            <w:noProof/>
            <w:lang w:val="en-US"/>
          </w:rPr>
          <w:t>a.</w:t>
        </w:r>
        <w:r w:rsidR="00187776">
          <w:rPr>
            <w:rFonts w:asciiTheme="minorHAnsi" w:eastAsiaTheme="minorEastAsia" w:hAnsiTheme="minorHAnsi" w:cstheme="minorBidi"/>
            <w:bCs w:val="0"/>
            <w:noProof/>
            <w:sz w:val="22"/>
            <w:szCs w:val="22"/>
          </w:rPr>
          <w:tab/>
        </w:r>
        <w:r w:rsidR="00187776" w:rsidRPr="0034629D">
          <w:rPr>
            <w:rStyle w:val="Hyperlink"/>
            <w:noProof/>
            <w:lang w:val="en-US"/>
          </w:rPr>
          <w:t>Regularization impacts</w:t>
        </w:r>
        <w:r w:rsidR="00187776">
          <w:rPr>
            <w:noProof/>
            <w:webHidden/>
          </w:rPr>
          <w:tab/>
        </w:r>
        <w:r w:rsidR="00187776">
          <w:rPr>
            <w:noProof/>
            <w:webHidden/>
          </w:rPr>
          <w:fldChar w:fldCharType="begin"/>
        </w:r>
        <w:r w:rsidR="00187776">
          <w:rPr>
            <w:noProof/>
            <w:webHidden/>
          </w:rPr>
          <w:instrText xml:space="preserve"> PAGEREF _Toc508997172 \h </w:instrText>
        </w:r>
        <w:r w:rsidR="00187776">
          <w:rPr>
            <w:noProof/>
            <w:webHidden/>
          </w:rPr>
        </w:r>
        <w:r w:rsidR="00187776">
          <w:rPr>
            <w:noProof/>
            <w:webHidden/>
          </w:rPr>
          <w:fldChar w:fldCharType="separate"/>
        </w:r>
        <w:r w:rsidR="00187776">
          <w:rPr>
            <w:noProof/>
            <w:webHidden/>
          </w:rPr>
          <w:t>24</w:t>
        </w:r>
        <w:r w:rsidR="00187776">
          <w:rPr>
            <w:noProof/>
            <w:webHidden/>
          </w:rPr>
          <w:fldChar w:fldCharType="end"/>
        </w:r>
      </w:hyperlink>
    </w:p>
    <w:p w:rsidR="00187776" w:rsidRDefault="00120881">
      <w:pPr>
        <w:pStyle w:val="TOC1"/>
        <w:tabs>
          <w:tab w:val="left" w:pos="720"/>
          <w:tab w:val="right" w:leader="dot" w:pos="9060"/>
        </w:tabs>
        <w:rPr>
          <w:rFonts w:asciiTheme="minorHAnsi" w:eastAsiaTheme="minorEastAsia" w:hAnsiTheme="minorHAnsi" w:cstheme="minorBidi"/>
          <w:bCs w:val="0"/>
          <w:caps w:val="0"/>
          <w:noProof/>
          <w:color w:val="auto"/>
          <w:sz w:val="22"/>
          <w:szCs w:val="22"/>
        </w:rPr>
      </w:pPr>
      <w:hyperlink w:anchor="_Toc508997173" w:history="1">
        <w:r w:rsidR="00187776" w:rsidRPr="0034629D">
          <w:rPr>
            <w:rStyle w:val="Hyperlink"/>
            <w:noProof/>
            <w:lang w:val="en-US"/>
          </w:rPr>
          <w:t>VII.</w:t>
        </w:r>
        <w:r w:rsidR="00187776">
          <w:rPr>
            <w:rFonts w:asciiTheme="minorHAnsi" w:eastAsiaTheme="minorEastAsia" w:hAnsiTheme="minorHAnsi" w:cstheme="minorBidi"/>
            <w:bCs w:val="0"/>
            <w:caps w:val="0"/>
            <w:noProof/>
            <w:color w:val="auto"/>
            <w:sz w:val="22"/>
            <w:szCs w:val="22"/>
          </w:rPr>
          <w:tab/>
        </w:r>
        <w:r w:rsidR="00187776" w:rsidRPr="0034629D">
          <w:rPr>
            <w:rStyle w:val="Hyperlink"/>
            <w:noProof/>
            <w:lang w:val="en-US"/>
          </w:rPr>
          <w:t>Bibliography</w:t>
        </w:r>
        <w:r w:rsidR="00187776">
          <w:rPr>
            <w:noProof/>
            <w:webHidden/>
          </w:rPr>
          <w:tab/>
        </w:r>
        <w:r w:rsidR="00187776">
          <w:rPr>
            <w:noProof/>
            <w:webHidden/>
          </w:rPr>
          <w:fldChar w:fldCharType="begin"/>
        </w:r>
        <w:r w:rsidR="00187776">
          <w:rPr>
            <w:noProof/>
            <w:webHidden/>
          </w:rPr>
          <w:instrText xml:space="preserve"> PAGEREF _Toc508997173 \h </w:instrText>
        </w:r>
        <w:r w:rsidR="00187776">
          <w:rPr>
            <w:noProof/>
            <w:webHidden/>
          </w:rPr>
        </w:r>
        <w:r w:rsidR="00187776">
          <w:rPr>
            <w:noProof/>
            <w:webHidden/>
          </w:rPr>
          <w:fldChar w:fldCharType="separate"/>
        </w:r>
        <w:r w:rsidR="00187776">
          <w:rPr>
            <w:noProof/>
            <w:webHidden/>
          </w:rPr>
          <w:t>27</w:t>
        </w:r>
        <w:r w:rsidR="00187776">
          <w:rPr>
            <w:noProof/>
            <w:webHidden/>
          </w:rPr>
          <w:fldChar w:fldCharType="end"/>
        </w:r>
      </w:hyperlink>
    </w:p>
    <w:p w:rsidR="00D61BBD" w:rsidRPr="002F73DF" w:rsidRDefault="005B23F9" w:rsidP="00D61BBD">
      <w:pPr>
        <w:rPr>
          <w:lang w:val="en-US"/>
        </w:rPr>
        <w:sectPr w:rsidR="00D61BBD" w:rsidRPr="002F73DF" w:rsidSect="004C6F79">
          <w:footerReference w:type="default" r:id="rId15"/>
          <w:pgSz w:w="11906" w:h="16838"/>
          <w:pgMar w:top="1418" w:right="1418" w:bottom="1418" w:left="1418" w:header="709" w:footer="709" w:gutter="0"/>
          <w:cols w:space="708"/>
          <w:docGrid w:linePitch="360"/>
        </w:sectPr>
      </w:pPr>
      <w:r w:rsidRPr="002F73DF">
        <w:rPr>
          <w:lang w:val="en-US"/>
        </w:rPr>
        <w:fldChar w:fldCharType="end"/>
      </w:r>
    </w:p>
    <w:p w:rsidR="0000079C" w:rsidRDefault="0000079C" w:rsidP="0000079C">
      <w:pPr>
        <w:pStyle w:val="Heading1"/>
        <w:rPr>
          <w:lang w:val="en-US"/>
        </w:rPr>
      </w:pPr>
      <w:bookmarkStart w:id="3" w:name="_Ref504471562"/>
      <w:bookmarkStart w:id="4" w:name="_Toc508997151"/>
      <w:r w:rsidRPr="002F73DF">
        <w:rPr>
          <w:lang w:val="en-US"/>
        </w:rPr>
        <w:lastRenderedPageBreak/>
        <w:t>Purpose of this document</w:t>
      </w:r>
      <w:bookmarkEnd w:id="3"/>
      <w:bookmarkEnd w:id="4"/>
      <w:r w:rsidRPr="002F73DF">
        <w:rPr>
          <w:lang w:val="en-US"/>
        </w:rPr>
        <w:t xml:space="preserve"> </w:t>
      </w:r>
    </w:p>
    <w:p w:rsidR="000019C4" w:rsidRDefault="000019C4" w:rsidP="000019C4">
      <w:pPr>
        <w:rPr>
          <w:lang w:val="en-US"/>
        </w:rPr>
      </w:pPr>
      <w:r>
        <w:rPr>
          <w:lang w:val="en-US"/>
        </w:rPr>
        <w:t xml:space="preserve">IFRS 9 and EBA stress tests require historical default probability models allowing measuring TTC and PIT (stressed or forward looking) transition matrices along with term structure default probability. </w:t>
      </w:r>
    </w:p>
    <w:p w:rsidR="000019C4" w:rsidRDefault="000019C4" w:rsidP="000019C4">
      <w:pPr>
        <w:rPr>
          <w:lang w:val="en-US"/>
        </w:rPr>
      </w:pPr>
      <w:r>
        <w:rPr>
          <w:lang w:val="en-US"/>
        </w:rPr>
        <w:t xml:space="preserve">This document describes the methodology used by CACIB for constructing TTC regular migration matrices, 1Y PD vector and PD term structure for each rating and maturity. </w:t>
      </w:r>
    </w:p>
    <w:p w:rsidR="00100D77" w:rsidRDefault="00100D77">
      <w:pPr>
        <w:spacing w:after="0" w:line="240" w:lineRule="auto"/>
        <w:rPr>
          <w:lang w:val="en-US"/>
        </w:rPr>
      </w:pPr>
      <w:r>
        <w:rPr>
          <w:lang w:val="en-US"/>
        </w:rPr>
        <w:br w:type="page"/>
      </w:r>
    </w:p>
    <w:p w:rsidR="0000079C" w:rsidRPr="002F73DF" w:rsidRDefault="009A0D22" w:rsidP="0000079C">
      <w:pPr>
        <w:pStyle w:val="Heading1"/>
        <w:rPr>
          <w:lang w:val="en-US"/>
        </w:rPr>
      </w:pPr>
      <w:bookmarkStart w:id="5" w:name="_Toc508997152"/>
      <w:bookmarkStart w:id="6" w:name="_Ref524092868"/>
      <w:r w:rsidRPr="002F73DF">
        <w:rPr>
          <w:lang w:val="en-US"/>
        </w:rPr>
        <w:lastRenderedPageBreak/>
        <w:t>Data overview</w:t>
      </w:r>
      <w:bookmarkEnd w:id="5"/>
      <w:bookmarkEnd w:id="6"/>
    </w:p>
    <w:p w:rsidR="009A0D22" w:rsidRPr="002F73DF" w:rsidRDefault="009A0D22" w:rsidP="009A0D22">
      <w:pPr>
        <w:rPr>
          <w:lang w:val="en-US"/>
        </w:rPr>
      </w:pPr>
      <w:r w:rsidRPr="002F73DF">
        <w:rPr>
          <w:lang w:val="en-US"/>
        </w:rPr>
        <w:t>The available rating and default databases are:</w:t>
      </w:r>
    </w:p>
    <w:p w:rsidR="00DA0BE0" w:rsidRPr="00DA0BE0" w:rsidRDefault="009A0D22" w:rsidP="00DA0BE0">
      <w:pPr>
        <w:pStyle w:val="Heading2"/>
        <w:rPr>
          <w:lang w:val="en-US" w:eastAsia="en-US"/>
        </w:rPr>
      </w:pPr>
      <w:r w:rsidRPr="002F73DF">
        <w:rPr>
          <w:lang w:val="en-US"/>
        </w:rPr>
        <w:t>Internal database:</w:t>
      </w:r>
    </w:p>
    <w:p w:rsidR="009A0D22" w:rsidRDefault="009A0D22" w:rsidP="00DA0BE0">
      <w:pPr>
        <w:rPr>
          <w:b/>
          <w:lang w:val="en-US"/>
        </w:rPr>
      </w:pPr>
      <w:r w:rsidRPr="00DA0BE0">
        <w:rPr>
          <w:lang w:val="en-US"/>
        </w:rPr>
        <w:t xml:space="preserve">All the counterparties present in “DRPP.dbo.tbl_Engagement” which gathers all the bank engagements since </w:t>
      </w:r>
      <w:r w:rsidR="000178B3" w:rsidRPr="00DA0BE0">
        <w:rPr>
          <w:lang w:val="en-US"/>
        </w:rPr>
        <w:t>June 30</w:t>
      </w:r>
      <w:r w:rsidR="000178B3" w:rsidRPr="00DA0BE0">
        <w:rPr>
          <w:vertAlign w:val="superscript"/>
          <w:lang w:val="en-US"/>
        </w:rPr>
        <w:t>th</w:t>
      </w:r>
      <w:r w:rsidR="000178B3" w:rsidRPr="00DA0BE0">
        <w:rPr>
          <w:lang w:val="en-US"/>
        </w:rPr>
        <w:t>, 2006</w:t>
      </w:r>
      <w:r w:rsidRPr="00DA0BE0">
        <w:rPr>
          <w:lang w:val="en-US"/>
        </w:rPr>
        <w:t xml:space="preserve">. </w:t>
      </w:r>
      <w:r w:rsidRPr="00DA0BE0">
        <w:rPr>
          <w:b/>
          <w:lang w:val="en-US"/>
        </w:rPr>
        <w:t xml:space="preserve">The </w:t>
      </w:r>
      <w:r w:rsidR="000178B3" w:rsidRPr="00DA0BE0">
        <w:rPr>
          <w:b/>
          <w:lang w:val="en-US"/>
        </w:rPr>
        <w:t xml:space="preserve">Forward Looking calibration of ECL parameters </w:t>
      </w:r>
      <w:r w:rsidRPr="00DA0BE0">
        <w:rPr>
          <w:b/>
          <w:lang w:val="en-US"/>
        </w:rPr>
        <w:t>is done using only the internal database.</w:t>
      </w:r>
    </w:p>
    <w:p w:rsidR="00DA0BE0" w:rsidRDefault="00DA0BE0" w:rsidP="00DA0BE0">
      <w:pPr>
        <w:pStyle w:val="Subtitle"/>
        <w:rPr>
          <w:lang w:val="en-US"/>
        </w:rPr>
      </w:pPr>
      <w:r>
        <w:rPr>
          <w:lang w:val="en-US"/>
        </w:rPr>
        <w:t>Ratings</w:t>
      </w:r>
    </w:p>
    <w:p w:rsidR="00DA0BE0" w:rsidRDefault="00DA0BE0" w:rsidP="00DA0BE0">
      <w:pPr>
        <w:pStyle w:val="ListParagraph"/>
        <w:numPr>
          <w:ilvl w:val="0"/>
          <w:numId w:val="46"/>
        </w:numPr>
        <w:rPr>
          <w:lang w:val="en-US"/>
        </w:rPr>
      </w:pPr>
      <w:r w:rsidRPr="00DA0BE0">
        <w:rPr>
          <w:lang w:val="en-US"/>
        </w:rPr>
        <w:t xml:space="preserve">13 ratings are available A+, A, B+, B, C+, C, C-, D+, D,D-, E+, E, E- for non-default counterparties and </w:t>
      </w:r>
      <w:r>
        <w:rPr>
          <w:lang w:val="en-US"/>
        </w:rPr>
        <w:t xml:space="preserve">; </w:t>
      </w:r>
    </w:p>
    <w:p w:rsidR="00DA0BE0" w:rsidRPr="00DA0BE0" w:rsidRDefault="00DA0BE0" w:rsidP="00DA0BE0">
      <w:pPr>
        <w:pStyle w:val="ListParagraph"/>
        <w:numPr>
          <w:ilvl w:val="0"/>
          <w:numId w:val="46"/>
        </w:numPr>
        <w:rPr>
          <w:lang w:val="en-US"/>
        </w:rPr>
      </w:pPr>
      <w:r w:rsidRPr="00DA0BE0">
        <w:rPr>
          <w:lang w:val="en-US"/>
        </w:rPr>
        <w:t>2 additional</w:t>
      </w:r>
      <w:r>
        <w:rPr>
          <w:lang w:val="en-US"/>
        </w:rPr>
        <w:t xml:space="preserve"> ratings for defaulted debtors F and Z. The definition of the default is compliant with the group Credit Agricole SA definition. For the purpose of IFRS 9 </w:t>
      </w:r>
      <w:r w:rsidR="007A32CC">
        <w:rPr>
          <w:lang w:val="en-US"/>
        </w:rPr>
        <w:t>impairments and stress tests</w:t>
      </w:r>
      <w:r>
        <w:rPr>
          <w:lang w:val="en-US"/>
        </w:rPr>
        <w:t xml:space="preserve">, F and Z are merged in one default absorbing state denoted F. </w:t>
      </w:r>
    </w:p>
    <w:p w:rsidR="00DA0BE0" w:rsidRPr="00DA0BE0" w:rsidRDefault="009A0D22" w:rsidP="00DA0BE0">
      <w:pPr>
        <w:pStyle w:val="Heading2"/>
        <w:rPr>
          <w:lang w:val="en-US" w:eastAsia="en-US"/>
        </w:rPr>
      </w:pPr>
      <w:r w:rsidRPr="00DA0BE0">
        <w:rPr>
          <w:lang w:val="en-US"/>
        </w:rPr>
        <w:t xml:space="preserve">S&amp;P credit pro data base </w:t>
      </w:r>
    </w:p>
    <w:p w:rsidR="009A0D22" w:rsidRPr="00DA0BE0" w:rsidRDefault="00DB6628" w:rsidP="00DA0BE0">
      <w:pPr>
        <w:rPr>
          <w:strike/>
          <w:lang w:val="en-US"/>
        </w:rPr>
      </w:pPr>
      <w:r>
        <w:rPr>
          <w:lang w:val="en-US"/>
        </w:rPr>
        <w:t>This database</w:t>
      </w:r>
      <w:r w:rsidR="009A0D22" w:rsidRPr="00DA0BE0">
        <w:rPr>
          <w:lang w:val="en-US"/>
        </w:rPr>
        <w:t xml:space="preserve"> gathers all </w:t>
      </w:r>
      <w:r w:rsidR="000178B3" w:rsidRPr="00DA0BE0">
        <w:rPr>
          <w:lang w:val="en-US"/>
        </w:rPr>
        <w:t xml:space="preserve">S&amp;P ratings updates </w:t>
      </w:r>
      <w:r w:rsidR="009A0D22" w:rsidRPr="00DA0BE0">
        <w:rPr>
          <w:lang w:val="en-US"/>
        </w:rPr>
        <w:t>and defaults since 1981.</w:t>
      </w:r>
      <w:r w:rsidR="000178B3" w:rsidRPr="00DA0BE0">
        <w:rPr>
          <w:lang w:val="en-US"/>
        </w:rPr>
        <w:t xml:space="preserve"> This database contains obviously more data than the internal database; however it does not represent the internal portfolio. </w:t>
      </w:r>
      <w:r w:rsidR="00811C9B" w:rsidRPr="00DA0BE0">
        <w:rPr>
          <w:b/>
          <w:lang w:val="en-US"/>
        </w:rPr>
        <w:t>The S&amp;P matrices serve to calibrate the Significant Deterioration</w:t>
      </w:r>
      <w:r w:rsidR="000178B3" w:rsidRPr="00DA0BE0">
        <w:rPr>
          <w:b/>
          <w:lang w:val="en-US"/>
        </w:rPr>
        <w:t xml:space="preserve"> of credit risk. </w:t>
      </w:r>
    </w:p>
    <w:p w:rsidR="00100D77" w:rsidRDefault="00833A2E" w:rsidP="00833A2E">
      <w:pPr>
        <w:rPr>
          <w:lang w:val="en-US"/>
        </w:rPr>
      </w:pPr>
      <w:r w:rsidRPr="00833A2E">
        <w:rPr>
          <w:lang w:val="en-US"/>
        </w:rPr>
        <w:t>Both da</w:t>
      </w:r>
      <w:r>
        <w:rPr>
          <w:lang w:val="en-US"/>
        </w:rPr>
        <w:t xml:space="preserve">tabases </w:t>
      </w:r>
      <w:r w:rsidR="00E52A3E">
        <w:rPr>
          <w:lang w:val="en-US"/>
        </w:rPr>
        <w:t>contain the</w:t>
      </w:r>
      <w:r>
        <w:rPr>
          <w:lang w:val="en-US"/>
        </w:rPr>
        <w:t xml:space="preserve"> id of the issuer, its country and its sector allowing for segmentation analysis. </w:t>
      </w:r>
    </w:p>
    <w:p w:rsidR="00DA0BE0" w:rsidRDefault="00DA0BE0" w:rsidP="00833A2E">
      <w:pPr>
        <w:rPr>
          <w:lang w:val="en-US"/>
        </w:rPr>
      </w:pPr>
    </w:p>
    <w:p w:rsidR="00100D77" w:rsidRDefault="00100D77">
      <w:pPr>
        <w:spacing w:after="0" w:line="240" w:lineRule="auto"/>
        <w:rPr>
          <w:lang w:val="en-US"/>
        </w:rPr>
      </w:pPr>
      <w:r>
        <w:rPr>
          <w:lang w:val="en-US"/>
        </w:rPr>
        <w:br w:type="page"/>
      </w:r>
    </w:p>
    <w:p w:rsidR="009A0D22" w:rsidRPr="002F73DF" w:rsidRDefault="005057D0" w:rsidP="0000079C">
      <w:pPr>
        <w:pStyle w:val="Heading1"/>
        <w:rPr>
          <w:lang w:val="en-US"/>
        </w:rPr>
      </w:pPr>
      <w:bookmarkStart w:id="7" w:name="_Toc508997153"/>
      <w:r>
        <w:rPr>
          <w:lang w:val="en-US"/>
        </w:rPr>
        <w:lastRenderedPageBreak/>
        <w:t>Historical migration m</w:t>
      </w:r>
      <w:r w:rsidR="0000079C" w:rsidRPr="002F73DF">
        <w:rPr>
          <w:lang w:val="en-US"/>
        </w:rPr>
        <w:t>atrix construction</w:t>
      </w:r>
      <w:bookmarkEnd w:id="7"/>
    </w:p>
    <w:p w:rsidR="009A0D22" w:rsidRPr="002F73DF" w:rsidRDefault="009A0D22" w:rsidP="009A0D22">
      <w:pPr>
        <w:pStyle w:val="Heading2"/>
        <w:rPr>
          <w:lang w:val="en-US"/>
        </w:rPr>
      </w:pPr>
      <w:bookmarkStart w:id="8" w:name="_Toc508997154"/>
      <w:r w:rsidRPr="002F73DF">
        <w:rPr>
          <w:lang w:val="en-US"/>
        </w:rPr>
        <w:t>Construction methodology</w:t>
      </w:r>
      <w:bookmarkEnd w:id="8"/>
      <w:r w:rsidRPr="002F73DF">
        <w:rPr>
          <w:lang w:val="en-US"/>
        </w:rPr>
        <w:t xml:space="preserve"> </w:t>
      </w:r>
    </w:p>
    <w:p w:rsidR="006425CD" w:rsidRDefault="009A0D22" w:rsidP="009A0D22">
      <w:pPr>
        <w:rPr>
          <w:lang w:val="en-US"/>
        </w:rPr>
      </w:pPr>
      <w:r w:rsidRPr="002F73DF">
        <w:rPr>
          <w:lang w:val="en-US"/>
        </w:rPr>
        <w:t>The migration matrices construction methodology is issued from S&amp;P documentation</w:t>
      </w:r>
      <w:r w:rsidR="0035701E">
        <w:rPr>
          <w:lang w:val="en-US"/>
        </w:rPr>
        <w:t xml:space="preserve"> </w:t>
      </w:r>
      <w:r w:rsidR="0035701E">
        <w:rPr>
          <w:lang w:val="en-US"/>
        </w:rPr>
        <w:fldChar w:fldCharType="begin"/>
      </w:r>
      <w:r w:rsidR="0035701E">
        <w:rPr>
          <w:lang w:val="en-US"/>
        </w:rPr>
        <w:instrText xml:space="preserve"> REF _Ref506479553 \r \h </w:instrText>
      </w:r>
      <w:r w:rsidR="0035701E">
        <w:rPr>
          <w:lang w:val="en-US"/>
        </w:rPr>
      </w:r>
      <w:r w:rsidR="0035701E">
        <w:rPr>
          <w:lang w:val="en-US"/>
        </w:rPr>
        <w:fldChar w:fldCharType="separate"/>
      </w:r>
      <w:r w:rsidR="00187776">
        <w:rPr>
          <w:lang w:val="en-US"/>
        </w:rPr>
        <w:t>0</w:t>
      </w:r>
      <w:r w:rsidR="0035701E">
        <w:rPr>
          <w:lang w:val="en-US"/>
        </w:rPr>
        <w:fldChar w:fldCharType="end"/>
      </w:r>
      <w:r w:rsidRPr="002F73DF">
        <w:rPr>
          <w:lang w:val="en-US"/>
        </w:rPr>
        <w:t xml:space="preserve">. It is used for S&amp;P database as the same as for the internal database. </w:t>
      </w:r>
    </w:p>
    <w:p w:rsidR="006425CD" w:rsidRDefault="006425CD" w:rsidP="009A0D22">
      <w:pPr>
        <w:rPr>
          <w:lang w:val="en-US"/>
        </w:rPr>
      </w:pPr>
      <w:r>
        <w:rPr>
          <w:lang w:val="en-US"/>
        </w:rPr>
        <w:t xml:space="preserve">The methodology is called the “Static Pool Methodology”, it basically looks at the initial and final states of a pool of issuers with the same risk profile and accounts for each migration from a rating to another. The default state is considered as an absorbing rating. </w:t>
      </w:r>
      <w:r w:rsidR="008C10AB">
        <w:rPr>
          <w:lang w:val="en-US"/>
        </w:rPr>
        <w:t>All issuers surviving and rated at the initial date form a pool called a generation. The time difference between the final date and the initial date is called the matrix maturity.</w:t>
      </w:r>
    </w:p>
    <w:p w:rsidR="009A0D22" w:rsidRPr="002F73DF" w:rsidRDefault="009A0D22" w:rsidP="009A0D22">
      <w:pPr>
        <w:rPr>
          <w:lang w:val="en-US"/>
        </w:rPr>
      </w:pPr>
      <w:r w:rsidRPr="002F73DF">
        <w:rPr>
          <w:lang w:val="en-US"/>
        </w:rPr>
        <w:t>The following parameters are retrieved from both databases:</w:t>
      </w:r>
    </w:p>
    <w:p w:rsidR="009A0D22" w:rsidRPr="002F73DF" w:rsidRDefault="008C10AB" w:rsidP="00DE7B5D">
      <w:pPr>
        <w:pStyle w:val="ListParagraph"/>
        <w:numPr>
          <w:ilvl w:val="0"/>
          <w:numId w:val="43"/>
        </w:numPr>
        <w:jc w:val="left"/>
        <w:rPr>
          <w:lang w:val="en-US"/>
        </w:rPr>
      </w:pPr>
      <w:r>
        <w:rPr>
          <w:lang w:val="en-US" w:eastAsia="fr-FR"/>
        </w:rPr>
        <w:t>P</w:t>
      </w:r>
      <w:r w:rsidR="009A0D22" w:rsidRPr="002F73DF">
        <w:rPr>
          <w:lang w:val="en-US" w:eastAsia="fr-FR"/>
        </w:rPr>
        <w:t>oint In Time transition matrices</w:t>
      </w:r>
      <w:r w:rsidR="00674B60">
        <w:rPr>
          <w:lang w:val="en-US" w:eastAsia="fr-FR"/>
        </w:rPr>
        <w:t>: Available for generation</w:t>
      </w:r>
      <w:r>
        <w:rPr>
          <w:lang w:val="en-US" w:eastAsia="fr-FR"/>
        </w:rPr>
        <w:t>s selected quarterly and for different maturities going up to 20 years for S&amp;P database</w:t>
      </w:r>
      <w:r w:rsidR="009A0D22" w:rsidRPr="002F73DF">
        <w:rPr>
          <w:lang w:val="en-US" w:eastAsia="fr-FR"/>
        </w:rPr>
        <w:t>;</w:t>
      </w:r>
    </w:p>
    <w:p w:rsidR="009A0D22" w:rsidRPr="002F73DF" w:rsidRDefault="009A0D22" w:rsidP="00DE7B5D">
      <w:pPr>
        <w:pStyle w:val="ListParagraph"/>
        <w:numPr>
          <w:ilvl w:val="0"/>
          <w:numId w:val="43"/>
        </w:numPr>
        <w:jc w:val="left"/>
        <w:rPr>
          <w:lang w:val="en-US"/>
        </w:rPr>
      </w:pPr>
      <w:r w:rsidRPr="002F73DF">
        <w:rPr>
          <w:lang w:val="en-US" w:eastAsia="fr-FR"/>
        </w:rPr>
        <w:t>Through The Cycle transition matrices, constructed as the mean over all PIT matrices weighted by the population in each generation</w:t>
      </w:r>
      <w:r w:rsidR="008C10AB">
        <w:rPr>
          <w:lang w:val="en-US" w:eastAsia="fr-FR"/>
        </w:rPr>
        <w:t>. The higher the maturity the less generations of PIT matrices are available</w:t>
      </w:r>
      <w:r w:rsidRPr="002F73DF">
        <w:rPr>
          <w:lang w:val="en-US" w:eastAsia="fr-FR"/>
        </w:rPr>
        <w:t xml:space="preserve">; </w:t>
      </w:r>
    </w:p>
    <w:p w:rsidR="009A0D22" w:rsidRDefault="009A0D22" w:rsidP="00DE7B5D">
      <w:pPr>
        <w:pStyle w:val="ListParagraph"/>
        <w:numPr>
          <w:ilvl w:val="0"/>
          <w:numId w:val="43"/>
        </w:numPr>
        <w:jc w:val="left"/>
        <w:rPr>
          <w:lang w:val="en-US"/>
        </w:rPr>
      </w:pPr>
      <w:r w:rsidRPr="002F73DF">
        <w:rPr>
          <w:lang w:val="en-US" w:eastAsia="fr-FR"/>
        </w:rPr>
        <w:t>TTC and PIT default rates derived from the default co</w:t>
      </w:r>
      <w:r w:rsidR="00674B60">
        <w:rPr>
          <w:lang w:val="en-US" w:eastAsia="fr-FR"/>
        </w:rPr>
        <w:t xml:space="preserve">lumn of the transition matrices; </w:t>
      </w:r>
    </w:p>
    <w:p w:rsidR="00674B60" w:rsidRPr="002F73DF" w:rsidRDefault="00674B60" w:rsidP="00DE7B5D">
      <w:pPr>
        <w:pStyle w:val="ListParagraph"/>
        <w:numPr>
          <w:ilvl w:val="0"/>
          <w:numId w:val="43"/>
        </w:numPr>
        <w:jc w:val="left"/>
        <w:rPr>
          <w:lang w:val="en-US"/>
        </w:rPr>
      </w:pPr>
      <w:r>
        <w:rPr>
          <w:lang w:val="en-US" w:eastAsia="fr-FR"/>
        </w:rPr>
        <w:t xml:space="preserve">All the above metrics could be obtained in numbers in place of rates, these serve for assessing the statistical relevance of an observed rate. As an illustration, the numbers are used for assessing likelihood in the matrix regularization process. </w:t>
      </w:r>
    </w:p>
    <w:p w:rsidR="00180F5B" w:rsidRDefault="009A0D22" w:rsidP="002E062A">
      <w:pPr>
        <w:rPr>
          <w:lang w:val="en-US"/>
        </w:rPr>
      </w:pPr>
      <w:r w:rsidRPr="002F73DF">
        <w:rPr>
          <w:lang w:val="en-US"/>
        </w:rPr>
        <w:t>The TTC matrix calibration is done f</w:t>
      </w:r>
      <w:r w:rsidR="00200431">
        <w:rPr>
          <w:lang w:val="en-US"/>
        </w:rPr>
        <w:t>or IFRS 9 and the stress tests.</w:t>
      </w:r>
      <w:r w:rsidR="008C10AB">
        <w:rPr>
          <w:lang w:val="en-US"/>
        </w:rPr>
        <w:t xml:space="preserve"> </w:t>
      </w:r>
    </w:p>
    <w:p w:rsidR="00180F5B" w:rsidRPr="00180F5B" w:rsidRDefault="00180F5B" w:rsidP="002E062A">
      <w:pPr>
        <w:rPr>
          <w:rStyle w:val="IntenseEmphasis"/>
          <w:lang w:val="en-US"/>
        </w:rPr>
      </w:pPr>
      <w:r w:rsidRPr="00180F5B">
        <w:rPr>
          <w:rStyle w:val="IntenseEmphasis"/>
          <w:lang w:val="en-US"/>
        </w:rPr>
        <w:t>Implementation validation</w:t>
      </w:r>
    </w:p>
    <w:p w:rsidR="002E062A" w:rsidRPr="002E062A" w:rsidRDefault="002E062A" w:rsidP="002E062A">
      <w:pPr>
        <w:rPr>
          <w:lang w:val="en-US"/>
        </w:rPr>
      </w:pPr>
      <w:r w:rsidRPr="002E062A">
        <w:rPr>
          <w:lang w:val="en-US"/>
        </w:rPr>
        <w:t>A validation process is done to ensure the methodology implementation is compliant with S&amp;P’s implementation. It consists in comparing the constructed matrices using S&amp;P database with S&amp;P’s CreditPro matrices. (See the validation file</w:t>
      </w:r>
      <w:r w:rsidR="001A3414">
        <w:rPr>
          <w:lang w:val="en-US"/>
        </w:rPr>
        <w:t xml:space="preserve"> </w:t>
      </w:r>
      <w:r w:rsidR="003E04EC">
        <w:rPr>
          <w:lang w:val="en-US"/>
        </w:rPr>
        <w:t>attached below</w:t>
      </w:r>
      <w:r w:rsidRPr="002E062A">
        <w:rPr>
          <w:lang w:val="en-US"/>
        </w:rPr>
        <w:t>).</w:t>
      </w:r>
      <w:r w:rsidR="00053C60">
        <w:rPr>
          <w:lang w:val="en-US"/>
        </w:rPr>
        <w:t xml:space="preserve"> An arbitrary set of matrices has been selected. </w:t>
      </w:r>
      <w:r w:rsidR="00D42869">
        <w:rPr>
          <w:lang w:val="en-US"/>
        </w:rPr>
        <w:t xml:space="preserve">The selection aims at testing </w:t>
      </w:r>
      <w:r w:rsidR="006B00C1">
        <w:rPr>
          <w:lang w:val="en-US"/>
        </w:rPr>
        <w:t xml:space="preserve">different functionalities such as selecting one or a pool of generations, different maturities, NR treatments, selecting all sectors / countries, one sector, one country or a pool of sectors. </w:t>
      </w:r>
    </w:p>
    <w:p w:rsidR="002E062A" w:rsidRPr="002E062A" w:rsidRDefault="002E062A" w:rsidP="002E062A">
      <w:pPr>
        <w:rPr>
          <w:lang w:val="en-US"/>
        </w:rPr>
      </w:pPr>
      <w:r w:rsidRPr="00117EE9">
        <w:rPr>
          <w:b/>
          <w:lang w:val="en-US"/>
        </w:rPr>
        <w:t>The validation does not disclose significant discrepancies between the constructed matrices</w:t>
      </w:r>
      <w:r w:rsidRPr="002E062A">
        <w:rPr>
          <w:lang w:val="en-US"/>
        </w:rPr>
        <w:t>:</w:t>
      </w:r>
    </w:p>
    <w:p w:rsidR="002E062A" w:rsidRPr="002E062A" w:rsidRDefault="002E062A" w:rsidP="002E062A">
      <w:pPr>
        <w:pStyle w:val="ListParagraph"/>
        <w:numPr>
          <w:ilvl w:val="0"/>
          <w:numId w:val="45"/>
        </w:numPr>
        <w:rPr>
          <w:lang w:val="en-US"/>
        </w:rPr>
      </w:pPr>
      <w:r w:rsidRPr="002E062A">
        <w:rPr>
          <w:lang w:val="en-US"/>
        </w:rPr>
        <w:t xml:space="preserve">No discrepancies for the matrices constructed with the NR included treatment (The one used for the internal database). </w:t>
      </w:r>
    </w:p>
    <w:p w:rsidR="00FB0C15" w:rsidRDefault="002E062A" w:rsidP="002E062A">
      <w:pPr>
        <w:pStyle w:val="ListParagraph"/>
        <w:numPr>
          <w:ilvl w:val="0"/>
          <w:numId w:val="45"/>
        </w:numPr>
        <w:rPr>
          <w:lang w:val="en-US"/>
        </w:rPr>
      </w:pPr>
      <w:r w:rsidRPr="002E062A">
        <w:rPr>
          <w:lang w:val="en-US"/>
        </w:rPr>
        <w:t xml:space="preserve">Some rare discrepancies are observed with the NR excluded treatment. They are due to a monthly observation of the NR individuals, whereas S&amp;P implementation does it daily. </w:t>
      </w:r>
      <w:r w:rsidR="00FB0C15">
        <w:rPr>
          <w:lang w:val="en-US"/>
        </w:rPr>
        <w:t>When the event of “a migration to NR and a migration back to being rated” occurs quickly (within a calendar month), this event is undetectable by the internal tool. It is called undetected NR.  The event itself does not imply any significant interpretation on the credit quality of the counterparty nor is its impact</w:t>
      </w:r>
      <w:r w:rsidR="009F2B75">
        <w:rPr>
          <w:lang w:val="en-US"/>
        </w:rPr>
        <w:t xml:space="preserve"> significant. </w:t>
      </w:r>
    </w:p>
    <w:p w:rsidR="002E062A" w:rsidRPr="00FB0C15" w:rsidRDefault="00FB0C15" w:rsidP="00FB0C15">
      <w:pPr>
        <w:rPr>
          <w:lang w:val="en-US"/>
        </w:rPr>
      </w:pPr>
      <w:r w:rsidRPr="00FB0C15">
        <w:rPr>
          <w:lang w:val="en-US"/>
        </w:rPr>
        <w:t xml:space="preserve">The table below summarizes the tests run and the average </w:t>
      </w:r>
      <w:r>
        <w:rPr>
          <w:lang w:val="en-US"/>
        </w:rPr>
        <w:t xml:space="preserve">discrepancy between S&amp;P Credit pro matrix and S&amp;P matrix constructed by the internal tool. </w:t>
      </w:r>
    </w:p>
    <w:tbl>
      <w:tblPr>
        <w:tblW w:w="9460" w:type="dxa"/>
        <w:tblInd w:w="55" w:type="dxa"/>
        <w:tblCellMar>
          <w:left w:w="70" w:type="dxa"/>
          <w:right w:w="70" w:type="dxa"/>
        </w:tblCellMar>
        <w:tblLook w:val="04A0" w:firstRow="1" w:lastRow="0" w:firstColumn="1" w:lastColumn="0" w:noHBand="0" w:noVBand="1"/>
      </w:tblPr>
      <w:tblGrid>
        <w:gridCol w:w="517"/>
        <w:gridCol w:w="1152"/>
        <w:gridCol w:w="924"/>
        <w:gridCol w:w="1100"/>
        <w:gridCol w:w="710"/>
        <w:gridCol w:w="1020"/>
        <w:gridCol w:w="1260"/>
        <w:gridCol w:w="1280"/>
        <w:gridCol w:w="1497"/>
      </w:tblGrid>
      <w:tr w:rsidR="00061CB4" w:rsidRPr="00FB0C15" w:rsidTr="00061CB4">
        <w:trPr>
          <w:trHeight w:val="600"/>
        </w:trPr>
        <w:tc>
          <w:tcPr>
            <w:tcW w:w="500" w:type="dxa"/>
            <w:tcBorders>
              <w:top w:val="single" w:sz="4" w:space="0" w:color="auto"/>
              <w:left w:val="single" w:sz="4" w:space="0" w:color="auto"/>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Test</w:t>
            </w:r>
          </w:p>
        </w:tc>
        <w:tc>
          <w:tcPr>
            <w:tcW w:w="110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Generation</w:t>
            </w:r>
          </w:p>
        </w:tc>
        <w:tc>
          <w:tcPr>
            <w:tcW w:w="90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Maturity</w:t>
            </w:r>
          </w:p>
        </w:tc>
        <w:tc>
          <w:tcPr>
            <w:tcW w:w="110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NR treatment</w:t>
            </w:r>
          </w:p>
        </w:tc>
        <w:tc>
          <w:tcPr>
            <w:tcW w:w="70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Sector</w:t>
            </w:r>
          </w:p>
        </w:tc>
        <w:tc>
          <w:tcPr>
            <w:tcW w:w="102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Country</w:t>
            </w:r>
          </w:p>
        </w:tc>
        <w:tc>
          <w:tcPr>
            <w:tcW w:w="126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Comparing</w:t>
            </w:r>
          </w:p>
        </w:tc>
        <w:tc>
          <w:tcPr>
            <w:tcW w:w="128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Average discrepancy</w:t>
            </w:r>
          </w:p>
        </w:tc>
        <w:tc>
          <w:tcPr>
            <w:tcW w:w="1600" w:type="dxa"/>
            <w:tcBorders>
              <w:top w:val="single" w:sz="4" w:space="0" w:color="auto"/>
              <w:left w:val="nil"/>
              <w:bottom w:val="single" w:sz="4" w:space="0" w:color="auto"/>
              <w:right w:val="single" w:sz="4" w:space="0" w:color="auto"/>
            </w:tcBorders>
            <w:shd w:val="clear" w:color="000000" w:fill="4F81BD"/>
            <w:vAlign w:val="center"/>
            <w:hideMark/>
          </w:tcPr>
          <w:p w:rsidR="00061CB4" w:rsidRPr="00061CB4" w:rsidRDefault="00061CB4" w:rsidP="00061CB4">
            <w:pPr>
              <w:spacing w:after="0" w:line="240" w:lineRule="auto"/>
              <w:jc w:val="center"/>
              <w:rPr>
                <w:rFonts w:ascii="Calibri" w:hAnsi="Calibri"/>
                <w:color w:val="FFFFFF"/>
                <w:sz w:val="22"/>
                <w:lang w:val="en-US"/>
              </w:rPr>
            </w:pPr>
            <w:r w:rsidRPr="00061CB4">
              <w:rPr>
                <w:rFonts w:ascii="Calibri" w:hAnsi="Calibri"/>
                <w:color w:val="FFFFFF"/>
                <w:sz w:val="22"/>
                <w:lang w:val="en-US"/>
              </w:rPr>
              <w:t>Comment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lang w:val="en-US"/>
              </w:rPr>
            </w:pPr>
            <w:r w:rsidRPr="00061CB4">
              <w:rPr>
                <w:rFonts w:ascii="Calibri" w:hAnsi="Calibri"/>
                <w:color w:val="000000"/>
                <w:sz w:val="22"/>
                <w:lang w:val="en-US"/>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lang w:val="en-US"/>
              </w:rPr>
            </w:pPr>
            <w:r w:rsidRPr="00061CB4">
              <w:rPr>
                <w:rFonts w:ascii="Calibri" w:hAnsi="Calibri"/>
                <w:color w:val="000000"/>
                <w:sz w:val="22"/>
                <w:lang w:val="en-US"/>
              </w:rPr>
              <w:t>1981</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lang w:val="en-US"/>
              </w:rPr>
            </w:pPr>
            <w:r w:rsidRPr="00061CB4">
              <w:rPr>
                <w:rFonts w:ascii="Calibri" w:hAnsi="Calibri"/>
                <w:color w:val="000000"/>
                <w:sz w:val="22"/>
                <w:lang w:val="en-US"/>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lang w:val="en-US"/>
              </w:rPr>
              <w:t>I</w:t>
            </w:r>
            <w:r w:rsidRPr="00061CB4">
              <w:rPr>
                <w:rFonts w:ascii="Calibri" w:hAnsi="Calibri"/>
                <w:color w:val="000000"/>
                <w:sz w:val="22"/>
              </w:rPr>
              <w:t>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lastRenderedPageBreak/>
              <w:t>1 bis</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Percentage</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0.05%</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Rounding</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2003</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10</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3</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1981-2015</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Percentage</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4</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1984</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Excluded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5</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1981-2015</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Excluded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Percentage</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0.31%</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Undetected NR</w:t>
            </w:r>
          </w:p>
        </w:tc>
      </w:tr>
      <w:tr w:rsidR="00061CB4" w:rsidRPr="00573C14" w:rsidTr="00061CB4">
        <w:trPr>
          <w:trHeight w:val="6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6</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1981-1996</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Excluded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Percentage</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1.18%</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lang w:val="en-US"/>
              </w:rPr>
            </w:pPr>
            <w:r w:rsidRPr="00061CB4">
              <w:rPr>
                <w:rFonts w:ascii="Calibri" w:hAnsi="Calibri"/>
                <w:color w:val="000000"/>
                <w:sz w:val="22"/>
                <w:lang w:val="en-US"/>
              </w:rPr>
              <w:t>Undetected NR on long period</w:t>
            </w:r>
          </w:p>
        </w:tc>
      </w:tr>
      <w:tr w:rsidR="00061CB4" w:rsidRPr="00573C14" w:rsidTr="00061CB4">
        <w:trPr>
          <w:trHeight w:val="6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6 bis</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1981-1996</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Excluded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0.06</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lang w:val="en-US"/>
              </w:rPr>
            </w:pPr>
            <w:r w:rsidRPr="00061CB4">
              <w:rPr>
                <w:rFonts w:ascii="Calibri" w:hAnsi="Calibri"/>
                <w:color w:val="000000"/>
                <w:sz w:val="22"/>
                <w:lang w:val="en-US"/>
              </w:rPr>
              <w:t>Undetected NR on long period</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7</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2005</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Utility</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8</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2000</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Argentina</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r w:rsidR="00061CB4" w:rsidRPr="00061CB4" w:rsidTr="00061CB4">
        <w:trPr>
          <w:trHeight w:val="30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9</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1981-2015</w:t>
            </w:r>
          </w:p>
        </w:tc>
        <w:tc>
          <w:tcPr>
            <w:tcW w:w="9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1</w:t>
            </w:r>
          </w:p>
        </w:tc>
        <w:tc>
          <w:tcPr>
            <w:tcW w:w="11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Included</w:t>
            </w:r>
          </w:p>
        </w:tc>
        <w:tc>
          <w:tcPr>
            <w:tcW w:w="70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FI</w:t>
            </w:r>
          </w:p>
        </w:tc>
        <w:tc>
          <w:tcPr>
            <w:tcW w:w="102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All</w:t>
            </w:r>
          </w:p>
        </w:tc>
        <w:tc>
          <w:tcPr>
            <w:tcW w:w="126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Count</w:t>
            </w:r>
          </w:p>
        </w:tc>
        <w:tc>
          <w:tcPr>
            <w:tcW w:w="1280" w:type="dxa"/>
            <w:tcBorders>
              <w:top w:val="nil"/>
              <w:left w:val="nil"/>
              <w:bottom w:val="single" w:sz="4" w:space="0" w:color="auto"/>
              <w:right w:val="single" w:sz="4" w:space="0" w:color="auto"/>
            </w:tcBorders>
            <w:shd w:val="clear" w:color="auto" w:fill="auto"/>
            <w:noWrap/>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0.00%</w:t>
            </w:r>
          </w:p>
        </w:tc>
        <w:tc>
          <w:tcPr>
            <w:tcW w:w="1600" w:type="dxa"/>
            <w:tcBorders>
              <w:top w:val="nil"/>
              <w:left w:val="nil"/>
              <w:bottom w:val="single" w:sz="4" w:space="0" w:color="auto"/>
              <w:right w:val="single" w:sz="4" w:space="0" w:color="auto"/>
            </w:tcBorders>
            <w:shd w:val="clear" w:color="auto" w:fill="auto"/>
            <w:vAlign w:val="center"/>
            <w:hideMark/>
          </w:tcPr>
          <w:p w:rsidR="00061CB4" w:rsidRPr="00061CB4" w:rsidRDefault="00061CB4" w:rsidP="00061CB4">
            <w:pPr>
              <w:spacing w:after="0" w:line="240" w:lineRule="auto"/>
              <w:jc w:val="center"/>
              <w:rPr>
                <w:rFonts w:ascii="Calibri" w:hAnsi="Calibri"/>
                <w:color w:val="000000"/>
                <w:sz w:val="22"/>
              </w:rPr>
            </w:pPr>
            <w:r w:rsidRPr="00061CB4">
              <w:rPr>
                <w:rFonts w:ascii="Calibri" w:hAnsi="Calibri"/>
                <w:color w:val="000000"/>
                <w:sz w:val="22"/>
              </w:rPr>
              <w:t>-</w:t>
            </w:r>
          </w:p>
        </w:tc>
      </w:tr>
    </w:tbl>
    <w:p w:rsidR="002E062A" w:rsidRDefault="002E062A" w:rsidP="008C10AB">
      <w:pPr>
        <w:rPr>
          <w:lang w:val="en-US"/>
        </w:rPr>
      </w:pPr>
    </w:p>
    <w:p w:rsidR="00061CB4" w:rsidRDefault="00061CB4" w:rsidP="008C10AB">
      <w:pPr>
        <w:rPr>
          <w:lang w:val="en-US"/>
        </w:rPr>
      </w:pPr>
      <w:r w:rsidRPr="00061CB4">
        <w:rPr>
          <w:b/>
          <w:lang w:val="en-US"/>
        </w:rPr>
        <w:t xml:space="preserve">Details about test 6: </w:t>
      </w:r>
      <w:r>
        <w:rPr>
          <w:lang w:val="en-US"/>
        </w:rPr>
        <w:t>The 6</w:t>
      </w:r>
      <w:r w:rsidRPr="00061CB4">
        <w:rPr>
          <w:vertAlign w:val="superscript"/>
          <w:lang w:val="en-US"/>
        </w:rPr>
        <w:t>th</w:t>
      </w:r>
      <w:r>
        <w:rPr>
          <w:lang w:val="en-US"/>
        </w:rPr>
        <w:t xml:space="preserve"> test shows an impact going up to 1.18% or 0.06 migrations in average. This translates to approximately </w:t>
      </w:r>
      <m:oMath>
        <m:r>
          <w:rPr>
            <w:rFonts w:ascii="Cambria Math" w:hAnsi="Cambria Math"/>
            <w:lang w:val="en-US"/>
          </w:rPr>
          <m:t>0.06*</m:t>
        </m:r>
        <m:sSup>
          <m:sSupPr>
            <m:ctrlPr>
              <w:rPr>
                <w:rFonts w:ascii="Cambria Math" w:hAnsi="Cambria Math"/>
                <w:i/>
                <w:lang w:val="en-US"/>
              </w:rPr>
            </m:ctrlPr>
          </m:sSupPr>
          <m:e>
            <m:r>
              <w:rPr>
                <w:rFonts w:ascii="Cambria Math" w:hAnsi="Cambria Math"/>
                <w:lang w:val="en-US"/>
              </w:rPr>
              <m:t>14</m:t>
            </m:r>
          </m:e>
          <m:sup>
            <m:r>
              <w:rPr>
                <w:rFonts w:ascii="Cambria Math" w:hAnsi="Cambria Math"/>
                <w:lang w:val="en-US"/>
              </w:rPr>
              <m:t>2</m:t>
            </m:r>
          </m:sup>
        </m:sSup>
        <m:r>
          <w:rPr>
            <w:rFonts w:ascii="Cambria Math" w:hAnsi="Cambria Math"/>
            <w:lang w:val="en-US"/>
          </w:rPr>
          <m:t>≈12</m:t>
        </m:r>
      </m:oMath>
      <w:r>
        <w:rPr>
          <w:lang w:val="en-US"/>
        </w:rPr>
        <w:t xml:space="preserve"> undetected NRs on generations 1981-1996 during 20 years. Additional effort to assess the number of undetected NRs during this period leads to 461 potential undetected NRs. This means that the discrepancy observed is contained in the potential discrep</w:t>
      </w:r>
      <w:r w:rsidR="00FB0C15">
        <w:rPr>
          <w:lang w:val="en-US"/>
        </w:rPr>
        <w:t xml:space="preserve">ancy caused by not detecting the event of quick migration to NR. </w:t>
      </w:r>
    </w:p>
    <w:p w:rsidR="004E055C" w:rsidRDefault="004E055C" w:rsidP="008C10AB">
      <w:pPr>
        <w:rPr>
          <w:lang w:val="en-US"/>
        </w:rPr>
      </w:pPr>
      <w:r>
        <w:rPr>
          <w:lang w:val="en-US"/>
        </w:rPr>
        <w:t>Detai</w:t>
      </w:r>
      <w:r w:rsidR="00053C60">
        <w:rPr>
          <w:lang w:val="en-US"/>
        </w:rPr>
        <w:t xml:space="preserve">ls are shown in the file below. </w:t>
      </w:r>
    </w:p>
    <w:bookmarkStart w:id="9" w:name="_MON_1580833692"/>
    <w:bookmarkEnd w:id="9"/>
    <w:p w:rsidR="00053C60" w:rsidRDefault="007F18A4" w:rsidP="00053C60">
      <w:pPr>
        <w:jc w:val="center"/>
        <w:rPr>
          <w:lang w:val="en-US"/>
        </w:rPr>
      </w:pPr>
      <w:r>
        <w:rPr>
          <w:lang w:val="en-US"/>
        </w:rPr>
        <w:object w:dxaOrig="204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6pt" o:ole="">
            <v:imagedata r:id="rId16" o:title=""/>
          </v:shape>
          <o:OLEObject Type="Embed" ProgID="Excel.Sheet.12" ShapeID="_x0000_i1025" DrawAspect="Icon" ObjectID="_1602321204" r:id="rId17"/>
        </w:object>
      </w:r>
    </w:p>
    <w:p w:rsidR="00053C60" w:rsidRPr="002F73DF" w:rsidRDefault="00053C60" w:rsidP="00053C60">
      <w:pPr>
        <w:rPr>
          <w:lang w:val="en-US"/>
        </w:rPr>
      </w:pPr>
      <w:r>
        <w:rPr>
          <w:lang w:val="en-US"/>
        </w:rPr>
        <w:t xml:space="preserve">These tests are used as non-regression tests for the matrix construction tool. </w:t>
      </w:r>
      <w:r w:rsidR="00900691">
        <w:rPr>
          <w:lang w:val="en-US"/>
        </w:rPr>
        <w:t>Whenever</w:t>
      </w:r>
      <w:r>
        <w:rPr>
          <w:lang w:val="en-US"/>
        </w:rPr>
        <w:t xml:space="preserve"> </w:t>
      </w:r>
      <w:r w:rsidR="00F74D85">
        <w:rPr>
          <w:lang w:val="en-US"/>
        </w:rPr>
        <w:t xml:space="preserve">a code modification occurs, these tests are run automatically and raise an error whenever the result changes. </w:t>
      </w:r>
    </w:p>
    <w:p w:rsidR="009A0D22" w:rsidRDefault="009A0D22" w:rsidP="009A0D22">
      <w:pPr>
        <w:pStyle w:val="Heading2"/>
        <w:rPr>
          <w:lang w:val="en-US"/>
        </w:rPr>
      </w:pPr>
      <w:bookmarkStart w:id="10" w:name="_Ref504471573"/>
      <w:bookmarkStart w:id="11" w:name="_Ref504471578"/>
      <w:bookmarkStart w:id="12" w:name="_Toc508997155"/>
      <w:r w:rsidRPr="002F73DF">
        <w:rPr>
          <w:lang w:val="en-US"/>
        </w:rPr>
        <w:t>Construction choices</w:t>
      </w:r>
      <w:bookmarkEnd w:id="10"/>
      <w:bookmarkEnd w:id="11"/>
      <w:bookmarkEnd w:id="12"/>
      <w:r w:rsidRPr="002F73DF">
        <w:rPr>
          <w:lang w:val="en-US"/>
        </w:rPr>
        <w:t xml:space="preserve"> </w:t>
      </w:r>
    </w:p>
    <w:p w:rsidR="008C10AB" w:rsidRDefault="008C10AB" w:rsidP="008C10AB">
      <w:pPr>
        <w:rPr>
          <w:lang w:val="en-US"/>
        </w:rPr>
      </w:pPr>
      <w:r>
        <w:rPr>
          <w:lang w:val="en-US"/>
        </w:rPr>
        <w:t xml:space="preserve">The static pool methodology principles are simple but some choices may be done in the calibration. The section </w:t>
      </w:r>
      <w:r>
        <w:rPr>
          <w:lang w:val="en-US"/>
        </w:rPr>
        <w:fldChar w:fldCharType="begin"/>
      </w:r>
      <w:r>
        <w:rPr>
          <w:lang w:val="en-US"/>
        </w:rPr>
        <w:instrText xml:space="preserve"> REF _Ref504471573 \w \h </w:instrText>
      </w:r>
      <w:r>
        <w:rPr>
          <w:lang w:val="en-US"/>
        </w:rPr>
      </w:r>
      <w:r>
        <w:rPr>
          <w:lang w:val="en-US"/>
        </w:rPr>
        <w:fldChar w:fldCharType="separate"/>
      </w:r>
      <w:r w:rsidR="00187776">
        <w:rPr>
          <w:lang w:val="en-US"/>
        </w:rPr>
        <w:t>III.b</w:t>
      </w:r>
      <w:r>
        <w:rPr>
          <w:lang w:val="en-US"/>
        </w:rPr>
        <w:fldChar w:fldCharType="end"/>
      </w:r>
      <w:r>
        <w:rPr>
          <w:lang w:val="en-US"/>
        </w:rPr>
        <w:t xml:space="preserve"> </w:t>
      </w:r>
      <w:r>
        <w:rPr>
          <w:lang w:val="en-US"/>
        </w:rPr>
        <w:fldChar w:fldCharType="begin"/>
      </w:r>
      <w:r>
        <w:rPr>
          <w:lang w:val="en-US"/>
        </w:rPr>
        <w:instrText xml:space="preserve"> REF _Ref504471578 \h </w:instrText>
      </w:r>
      <w:r>
        <w:rPr>
          <w:lang w:val="en-US"/>
        </w:rPr>
      </w:r>
      <w:r>
        <w:rPr>
          <w:lang w:val="en-US"/>
        </w:rPr>
        <w:fldChar w:fldCharType="separate"/>
      </w:r>
      <w:r w:rsidR="00187776" w:rsidRPr="002F73DF">
        <w:rPr>
          <w:lang w:val="en-US"/>
        </w:rPr>
        <w:t>Construction choices</w:t>
      </w:r>
      <w:r>
        <w:rPr>
          <w:lang w:val="en-US"/>
        </w:rPr>
        <w:fldChar w:fldCharType="end"/>
      </w:r>
      <w:r>
        <w:rPr>
          <w:lang w:val="en-US"/>
        </w:rPr>
        <w:t xml:space="preserve"> lists the choices and motivations made by CACIB. </w:t>
      </w:r>
    </w:p>
    <w:p w:rsidR="009A0D22" w:rsidRDefault="002F73DF" w:rsidP="00353E46">
      <w:pPr>
        <w:pStyle w:val="Heading3"/>
      </w:pPr>
      <w:bookmarkStart w:id="13" w:name="_Toc508997156"/>
      <w:r>
        <w:t xml:space="preserve">Not </w:t>
      </w:r>
      <w:r w:rsidR="009A0D22" w:rsidRPr="002F73DF">
        <w:t>rated treatment</w:t>
      </w:r>
      <w:bookmarkEnd w:id="13"/>
      <w:r w:rsidR="009A0D22" w:rsidRPr="002F73DF">
        <w:t xml:space="preserve"> </w:t>
      </w:r>
    </w:p>
    <w:p w:rsidR="002F73DF" w:rsidRPr="002F73DF" w:rsidRDefault="002F73DF" w:rsidP="002F73DF">
      <w:pPr>
        <w:rPr>
          <w:lang w:val="en-US"/>
        </w:rPr>
      </w:pPr>
      <w:r>
        <w:rPr>
          <w:lang w:val="en-US"/>
        </w:rPr>
        <w:t xml:space="preserve">In both databases (internal and S&amp;P) some counterparties appear as “Not Rated” or NR for a period. </w:t>
      </w:r>
      <w:r w:rsidRPr="002F73DF">
        <w:rPr>
          <w:lang w:val="en-US"/>
        </w:rPr>
        <w:t xml:space="preserve">One considerable difference between the two databases </w:t>
      </w:r>
      <w:r>
        <w:rPr>
          <w:lang w:val="en-US"/>
        </w:rPr>
        <w:t>is the NR population</w:t>
      </w:r>
      <w:r w:rsidRPr="002F73DF">
        <w:rPr>
          <w:lang w:val="en-US"/>
        </w:rPr>
        <w:t xml:space="preserve">. </w:t>
      </w:r>
    </w:p>
    <w:p w:rsidR="002F73DF" w:rsidRPr="002F73DF" w:rsidRDefault="002F73DF" w:rsidP="00D97D1E">
      <w:pPr>
        <w:pStyle w:val="ListParagraph"/>
        <w:numPr>
          <w:ilvl w:val="0"/>
          <w:numId w:val="34"/>
        </w:numPr>
        <w:jc w:val="left"/>
        <w:rPr>
          <w:lang w:val="en-US"/>
        </w:rPr>
      </w:pPr>
      <w:r w:rsidRPr="002F73DF">
        <w:rPr>
          <w:lang w:val="en-US" w:eastAsia="fr-FR"/>
        </w:rPr>
        <w:t>In the S&amp;P database, a debtor choose whether and when to be rated or not, whereas the internal rating system rates all the debtors as well;</w:t>
      </w:r>
    </w:p>
    <w:p w:rsidR="002F73DF" w:rsidRPr="002F73DF" w:rsidRDefault="002F73DF" w:rsidP="00D97D1E">
      <w:pPr>
        <w:pStyle w:val="ListParagraph"/>
        <w:numPr>
          <w:ilvl w:val="0"/>
          <w:numId w:val="34"/>
        </w:numPr>
        <w:jc w:val="left"/>
        <w:rPr>
          <w:lang w:val="en-US"/>
        </w:rPr>
      </w:pPr>
      <w:r w:rsidRPr="002F73DF">
        <w:rPr>
          <w:lang w:val="en-US" w:eastAsia="fr-FR"/>
        </w:rPr>
        <w:t xml:space="preserve">Additionally, an S&amp;P rating remains stable until an event occurs and causes a migration, whereas in the internal rating system it is assigned on a regulatory base. Some </w:t>
      </w:r>
      <w:r>
        <w:rPr>
          <w:lang w:val="en-US" w:eastAsia="fr-FR"/>
        </w:rPr>
        <w:t>counterparties</w:t>
      </w:r>
      <w:r w:rsidRPr="002F73DF">
        <w:rPr>
          <w:lang w:val="en-US" w:eastAsia="fr-FR"/>
        </w:rPr>
        <w:t xml:space="preserve"> are rated semi-annually and therefore</w:t>
      </w:r>
      <w:r>
        <w:rPr>
          <w:lang w:val="en-US" w:eastAsia="fr-FR"/>
        </w:rPr>
        <w:t xml:space="preserve"> may be</w:t>
      </w:r>
      <w:r w:rsidRPr="002F73DF">
        <w:rPr>
          <w:lang w:val="en-US" w:eastAsia="fr-FR"/>
        </w:rPr>
        <w:t xml:space="preserve"> marked as NR in between. </w:t>
      </w:r>
    </w:p>
    <w:p w:rsidR="002F73DF" w:rsidRPr="002F73DF" w:rsidRDefault="002F73DF" w:rsidP="002F73DF">
      <w:pPr>
        <w:rPr>
          <w:lang w:val="en-US"/>
        </w:rPr>
      </w:pPr>
      <w:r w:rsidRPr="002F73DF">
        <w:rPr>
          <w:lang w:val="en-US"/>
        </w:rPr>
        <w:t>Three NR treatments exist in the S&amp;P documentation:</w:t>
      </w:r>
    </w:p>
    <w:p w:rsidR="002F73DF" w:rsidRPr="002F73DF" w:rsidRDefault="002F73DF" w:rsidP="00D97D1E">
      <w:pPr>
        <w:pStyle w:val="ListParagraph"/>
        <w:numPr>
          <w:ilvl w:val="0"/>
          <w:numId w:val="35"/>
        </w:numPr>
        <w:jc w:val="left"/>
        <w:rPr>
          <w:lang w:val="en-US"/>
        </w:rPr>
      </w:pPr>
      <w:r w:rsidRPr="002F73DF">
        <w:rPr>
          <w:lang w:val="en-US" w:eastAsia="fr-FR"/>
        </w:rPr>
        <w:t xml:space="preserve">NR excluded: which exclude any debtor which happens to be NR (demands </w:t>
      </w:r>
      <w:r>
        <w:rPr>
          <w:lang w:val="en-US" w:eastAsia="fr-FR"/>
        </w:rPr>
        <w:t>to the agency top stop rating it</w:t>
      </w:r>
      <w:r w:rsidRPr="002F73DF">
        <w:rPr>
          <w:lang w:val="en-US" w:eastAsia="fr-FR"/>
        </w:rPr>
        <w:t>) in the trajectory, even if its initial and final ratings are known;</w:t>
      </w:r>
    </w:p>
    <w:p w:rsidR="002F73DF" w:rsidRPr="002F73DF" w:rsidRDefault="002F73DF" w:rsidP="00D97D1E">
      <w:pPr>
        <w:pStyle w:val="ListParagraph"/>
        <w:numPr>
          <w:ilvl w:val="0"/>
          <w:numId w:val="35"/>
        </w:numPr>
        <w:jc w:val="left"/>
        <w:rPr>
          <w:lang w:val="en-US"/>
        </w:rPr>
      </w:pPr>
      <w:r w:rsidRPr="002F73DF">
        <w:rPr>
          <w:lang w:val="en-US" w:eastAsia="fr-FR"/>
        </w:rPr>
        <w:lastRenderedPageBreak/>
        <w:t xml:space="preserve">NR included: which includes every available information and adds an NR column to the migration matrix; </w:t>
      </w:r>
    </w:p>
    <w:p w:rsidR="002F73DF" w:rsidRPr="002F73DF" w:rsidRDefault="002F73DF" w:rsidP="00D97D1E">
      <w:pPr>
        <w:pStyle w:val="ListParagraph"/>
        <w:numPr>
          <w:ilvl w:val="0"/>
          <w:numId w:val="35"/>
        </w:numPr>
        <w:jc w:val="left"/>
        <w:rPr>
          <w:lang w:val="en-US"/>
        </w:rPr>
      </w:pPr>
      <w:r w:rsidRPr="002F73DF">
        <w:rPr>
          <w:lang w:val="en-US" w:eastAsia="fr-FR"/>
        </w:rPr>
        <w:t xml:space="preserve">NR adjusted: which is like the NR included treatment but adjusts the matrix </w:t>
      </w:r>
      <w:r>
        <w:rPr>
          <w:lang w:val="en-US" w:eastAsia="fr-FR"/>
        </w:rPr>
        <w:t xml:space="preserve">migration probabilities </w:t>
      </w:r>
      <w:r w:rsidRPr="002F73DF">
        <w:rPr>
          <w:lang w:val="en-US" w:eastAsia="fr-FR"/>
        </w:rPr>
        <w:t xml:space="preserve">in order to remove the NR column. </w:t>
      </w:r>
    </w:p>
    <w:p w:rsidR="00353E46" w:rsidRPr="000019C4" w:rsidRDefault="002F73DF" w:rsidP="00353E46">
      <w:pPr>
        <w:rPr>
          <w:b/>
          <w:lang w:val="en-US"/>
        </w:rPr>
      </w:pPr>
      <w:r w:rsidRPr="002F73DF">
        <w:rPr>
          <w:lang w:val="en-US"/>
        </w:rPr>
        <w:t xml:space="preserve">Those same treatments are available for the internal database, but for the differences presented below </w:t>
      </w:r>
      <w:r w:rsidRPr="002F73DF">
        <w:rPr>
          <w:b/>
          <w:lang w:val="en-US"/>
        </w:rPr>
        <w:t xml:space="preserve">we use the NR excluded treatment to the S&amp;P database and the NR adjusted treatment for the internal database. </w:t>
      </w:r>
    </w:p>
    <w:p w:rsidR="009A0D22" w:rsidRDefault="009A0D22" w:rsidP="00353E46">
      <w:pPr>
        <w:pStyle w:val="Heading3"/>
      </w:pPr>
      <w:bookmarkStart w:id="14" w:name="_Toc508997157"/>
      <w:r w:rsidRPr="002F73DF">
        <w:t xml:space="preserve">Historical Depth </w:t>
      </w:r>
      <w:r w:rsidR="00F32F88">
        <w:t>and frequency</w:t>
      </w:r>
      <w:bookmarkEnd w:id="14"/>
    </w:p>
    <w:p w:rsidR="00F32F88" w:rsidRDefault="00353E46" w:rsidP="00F32F88">
      <w:pPr>
        <w:rPr>
          <w:lang w:val="en-US"/>
        </w:rPr>
      </w:pPr>
      <w:r>
        <w:rPr>
          <w:lang w:val="en-US"/>
        </w:rPr>
        <w:t>In order to assess the TTC matrix, a</w:t>
      </w:r>
      <w:r w:rsidR="00F32F88">
        <w:rPr>
          <w:lang w:val="en-US"/>
        </w:rPr>
        <w:t xml:space="preserve">ll available historical data is used, starting from </w:t>
      </w:r>
      <w:r w:rsidR="00171154">
        <w:rPr>
          <w:lang w:val="en-US"/>
        </w:rPr>
        <w:t>“30/06/2006” generation until the present observable generati</w:t>
      </w:r>
      <w:r>
        <w:rPr>
          <w:lang w:val="en-US"/>
        </w:rPr>
        <w:t xml:space="preserve">on for the internal database and from “31/12/1980” generation until the present observable generation for the S&amp;P database. </w:t>
      </w:r>
    </w:p>
    <w:p w:rsidR="009A0D22" w:rsidRDefault="00171154" w:rsidP="00777778">
      <w:pPr>
        <w:rPr>
          <w:lang w:val="en-US"/>
        </w:rPr>
      </w:pPr>
      <w:r>
        <w:rPr>
          <w:lang w:val="en-US"/>
        </w:rPr>
        <w:t xml:space="preserve">Note that, as of today, </w:t>
      </w:r>
      <w:r w:rsidR="00F32F88" w:rsidRPr="002F73DF">
        <w:rPr>
          <w:lang w:val="en-US"/>
        </w:rPr>
        <w:t xml:space="preserve">the </w:t>
      </w:r>
      <w:r w:rsidR="00F32F88">
        <w:rPr>
          <w:lang w:val="en-US"/>
        </w:rPr>
        <w:t>annual frequency leads to only</w:t>
      </w:r>
      <w:r>
        <w:rPr>
          <w:lang w:val="en-US"/>
        </w:rPr>
        <w:t xml:space="preserve"> </w:t>
      </w:r>
      <w:r w:rsidR="00F32F88">
        <w:rPr>
          <w:lang w:val="en-US"/>
        </w:rPr>
        <w:t>11</w:t>
      </w:r>
      <w:r w:rsidR="00F32F88" w:rsidRPr="002F73DF">
        <w:rPr>
          <w:lang w:val="en-US"/>
        </w:rPr>
        <w:t xml:space="preserve"> historical observations in the internal database. </w:t>
      </w:r>
      <w:r w:rsidR="00953922">
        <w:rPr>
          <w:lang w:val="en-US"/>
        </w:rPr>
        <w:t xml:space="preserve">Therefore, quarterly </w:t>
      </w:r>
      <w:r w:rsidR="00353E46">
        <w:rPr>
          <w:lang w:val="en-US"/>
        </w:rPr>
        <w:t xml:space="preserve">matrices </w:t>
      </w:r>
      <w:r w:rsidR="00953922">
        <w:rPr>
          <w:lang w:val="en-US"/>
        </w:rPr>
        <w:t>are constructed</w:t>
      </w:r>
      <w:r w:rsidR="00353E46">
        <w:rPr>
          <w:lang w:val="en-US"/>
        </w:rPr>
        <w:t xml:space="preserve"> following our auditors recommendation. </w:t>
      </w:r>
    </w:p>
    <w:p w:rsidR="008D73A1" w:rsidRPr="002F73DF" w:rsidRDefault="008D73A1" w:rsidP="008D73A1">
      <w:pPr>
        <w:pStyle w:val="Heading3"/>
      </w:pPr>
      <w:bookmarkStart w:id="15" w:name="_Toc508997158"/>
      <w:r w:rsidRPr="002F73DF">
        <w:t>Matrix regularization</w:t>
      </w:r>
      <w:bookmarkEnd w:id="15"/>
      <w:r w:rsidRPr="002F73DF">
        <w:t xml:space="preserve"> </w:t>
      </w:r>
    </w:p>
    <w:p w:rsidR="00353E46" w:rsidRDefault="00784528" w:rsidP="00777778">
      <w:pPr>
        <w:rPr>
          <w:lang w:val="en-US"/>
        </w:rPr>
      </w:pPr>
      <w:r>
        <w:rPr>
          <w:lang w:val="en-US"/>
        </w:rPr>
        <w:t xml:space="preserve">Observed transition matrix rates could reveal sometimes irregularities, lack of monotony following rows or columns. This behavior is due to statistical incertitude (see evidence in </w:t>
      </w:r>
      <w:r>
        <w:rPr>
          <w:lang w:val="en-US"/>
        </w:rPr>
        <w:fldChar w:fldCharType="begin"/>
      </w:r>
      <w:r>
        <w:rPr>
          <w:lang w:val="en-US"/>
        </w:rPr>
        <w:instrText xml:space="preserve"> REF _Ref504494432 \w \h </w:instrText>
      </w:r>
      <w:r>
        <w:rPr>
          <w:lang w:val="en-US"/>
        </w:rPr>
      </w:r>
      <w:r>
        <w:rPr>
          <w:lang w:val="en-US"/>
        </w:rPr>
        <w:fldChar w:fldCharType="separate"/>
      </w:r>
      <w:r w:rsidR="00187776">
        <w:rPr>
          <w:lang w:val="en-US"/>
        </w:rPr>
        <w:t>IV.a</w:t>
      </w:r>
      <w:r>
        <w:rPr>
          <w:lang w:val="en-US"/>
        </w:rPr>
        <w:fldChar w:fldCharType="end"/>
      </w:r>
      <w:r>
        <w:rPr>
          <w:lang w:val="en-US"/>
        </w:rPr>
        <w:t>)</w:t>
      </w:r>
      <w:r w:rsidR="00394540">
        <w:rPr>
          <w:lang w:val="en-US"/>
        </w:rPr>
        <w:t xml:space="preserve">. For this reason a regularization technic has been developed. The main change to the matrix is a smoothing of the default vector and for the rows in order to ensure: </w:t>
      </w:r>
    </w:p>
    <w:p w:rsidR="00394540" w:rsidRDefault="00394540" w:rsidP="00D97D1E">
      <w:pPr>
        <w:pStyle w:val="ListParagraph"/>
        <w:numPr>
          <w:ilvl w:val="0"/>
          <w:numId w:val="36"/>
        </w:numPr>
        <w:rPr>
          <w:lang w:val="en-US"/>
        </w:rPr>
      </w:pPr>
      <w:r>
        <w:rPr>
          <w:lang w:val="en-US"/>
        </w:rPr>
        <w:t xml:space="preserve">Default vector monotony: The better the rating the lower the default probability is. </w:t>
      </w:r>
    </w:p>
    <w:p w:rsidR="00394540" w:rsidRPr="001456B2" w:rsidRDefault="00394540" w:rsidP="00D97D1E">
      <w:pPr>
        <w:pStyle w:val="ListParagraph"/>
        <w:numPr>
          <w:ilvl w:val="0"/>
          <w:numId w:val="36"/>
        </w:numPr>
        <w:rPr>
          <w:lang w:val="en-US"/>
        </w:rPr>
      </w:pPr>
      <w:r>
        <w:rPr>
          <w:lang w:val="en-US"/>
        </w:rPr>
        <w:t xml:space="preserve">Rows monotony:  </w:t>
      </w:r>
      <w:r w:rsidR="001456B2">
        <w:rPr>
          <w:lang w:val="en-US"/>
        </w:rPr>
        <w:t xml:space="preserve">Starting from a rating </w:t>
      </w:r>
      <m:oMath>
        <m:r>
          <w:rPr>
            <w:rFonts w:ascii="Cambria Math" w:hAnsi="Cambria Math"/>
            <w:lang w:val="en-US"/>
          </w:rPr>
          <m:t xml:space="preserve">i </m:t>
        </m:r>
      </m:oMath>
      <w:r w:rsidR="001456B2">
        <w:rPr>
          <w:rFonts w:eastAsiaTheme="minorEastAsia"/>
          <w:lang w:val="en-US"/>
        </w:rPr>
        <w:t xml:space="preserve">the probabilities to be upgraded by x notches or to be downgraded by x notches are decreasing as x grows. </w:t>
      </w:r>
    </w:p>
    <w:p w:rsidR="001456B2" w:rsidRPr="001456B2" w:rsidRDefault="001456B2" w:rsidP="001456B2">
      <w:pPr>
        <w:rPr>
          <w:lang w:val="en-US"/>
        </w:rPr>
      </w:pPr>
      <w:r>
        <w:rPr>
          <w:lang w:val="en-US"/>
        </w:rPr>
        <w:t xml:space="preserve">The methodology and detailed impact measurement of this choice are described in </w:t>
      </w:r>
      <w:r>
        <w:rPr>
          <w:lang w:val="en-US"/>
        </w:rPr>
        <w:fldChar w:fldCharType="begin"/>
      </w:r>
      <w:r>
        <w:rPr>
          <w:lang w:val="en-US"/>
        </w:rPr>
        <w:instrText xml:space="preserve"> REF _Ref504495625 \w \h </w:instrText>
      </w:r>
      <w:r>
        <w:rPr>
          <w:lang w:val="en-US"/>
        </w:rPr>
      </w:r>
      <w:r>
        <w:rPr>
          <w:lang w:val="en-US"/>
        </w:rPr>
        <w:fldChar w:fldCharType="separate"/>
      </w:r>
      <w:r w:rsidR="00187776">
        <w:rPr>
          <w:lang w:val="en-US"/>
        </w:rPr>
        <w:t>IV</w:t>
      </w:r>
      <w:r>
        <w:rPr>
          <w:lang w:val="en-US"/>
        </w:rPr>
        <w:fldChar w:fldCharType="end"/>
      </w:r>
      <w:r>
        <w:rPr>
          <w:lang w:val="en-US"/>
        </w:rPr>
        <w:t xml:space="preserve">. </w:t>
      </w:r>
    </w:p>
    <w:p w:rsidR="005F2925" w:rsidRDefault="005F2925" w:rsidP="00353E46">
      <w:pPr>
        <w:pStyle w:val="Heading3"/>
      </w:pPr>
      <w:bookmarkStart w:id="16" w:name="_Toc508997159"/>
      <w:r>
        <w:t>Engagement filter</w:t>
      </w:r>
      <w:bookmarkEnd w:id="16"/>
    </w:p>
    <w:p w:rsidR="00B45E72" w:rsidRDefault="00B45E72" w:rsidP="00B45E72">
      <w:pPr>
        <w:rPr>
          <w:lang w:val="en-US"/>
        </w:rPr>
      </w:pPr>
      <w:r>
        <w:rPr>
          <w:lang w:val="en-US"/>
        </w:rPr>
        <w:t xml:space="preserve">This subsection concerns only the internal matrices. </w:t>
      </w:r>
    </w:p>
    <w:p w:rsidR="00B45E72" w:rsidRDefault="00B45E72" w:rsidP="00B45E72">
      <w:pPr>
        <w:rPr>
          <w:lang w:val="en-US"/>
        </w:rPr>
      </w:pPr>
      <w:r>
        <w:rPr>
          <w:lang w:val="en-US"/>
        </w:rPr>
        <w:t xml:space="preserve">As described above, internal migration matrices and default rates are based on observations of issuer’s ratings. Since the database is fed by credit analysts who rate regularly the issuers, one may doubt the relevance of the rating when the exposition to the issuer is not significant. </w:t>
      </w:r>
    </w:p>
    <w:p w:rsidR="00B45E72" w:rsidRDefault="00B45E72" w:rsidP="00B45E72">
      <w:pPr>
        <w:rPr>
          <w:lang w:val="en-US"/>
        </w:rPr>
      </w:pPr>
      <w:r>
        <w:rPr>
          <w:lang w:val="en-US"/>
        </w:rPr>
        <w:t xml:space="preserve">The empirical study illustrated above shows that the default rate level and the non-migration rate (diagonal of the matrix) vary significantly when filtering low expositions. The following filters have been tested: </w:t>
      </w:r>
    </w:p>
    <w:p w:rsidR="00B45E72" w:rsidRDefault="00B45E72" w:rsidP="00D97D1E">
      <w:pPr>
        <w:pStyle w:val="ListParagraph"/>
        <w:numPr>
          <w:ilvl w:val="0"/>
          <w:numId w:val="37"/>
        </w:numPr>
        <w:rPr>
          <w:lang w:val="en-US"/>
        </w:rPr>
      </w:pPr>
      <w:r>
        <w:rPr>
          <w:b/>
          <w:lang w:val="en-US"/>
        </w:rPr>
        <w:t xml:space="preserve">Non exposition filter: </w:t>
      </w:r>
      <w:r w:rsidR="00D84604">
        <w:rPr>
          <w:lang w:val="en-US"/>
        </w:rPr>
        <w:t>All observed migrations are used</w:t>
      </w:r>
    </w:p>
    <w:p w:rsidR="00D84604" w:rsidRDefault="00D84604" w:rsidP="00D97D1E">
      <w:pPr>
        <w:pStyle w:val="ListParagraph"/>
        <w:numPr>
          <w:ilvl w:val="0"/>
          <w:numId w:val="37"/>
        </w:numPr>
        <w:rPr>
          <w:lang w:val="en-US"/>
        </w:rPr>
      </w:pPr>
      <w:r>
        <w:rPr>
          <w:b/>
          <w:lang w:val="en-US"/>
        </w:rPr>
        <w:t>Exposition filter 1k€:</w:t>
      </w:r>
      <w:r>
        <w:rPr>
          <w:lang w:val="en-US"/>
        </w:rPr>
        <w:t xml:space="preserve"> Only migrations occurring when the exposition to the issuer is higher than 1000€ are accounted</w:t>
      </w:r>
    </w:p>
    <w:p w:rsidR="00D84604" w:rsidRPr="008D73A1" w:rsidRDefault="00D84604" w:rsidP="00D97D1E">
      <w:pPr>
        <w:pStyle w:val="ListParagraph"/>
        <w:numPr>
          <w:ilvl w:val="0"/>
          <w:numId w:val="37"/>
        </w:numPr>
        <w:rPr>
          <w:b/>
          <w:lang w:val="en-US"/>
        </w:rPr>
      </w:pPr>
      <w:r w:rsidRPr="00D84604">
        <w:rPr>
          <w:b/>
          <w:lang w:val="en-US"/>
        </w:rPr>
        <w:t>Exposition filter 1M€</w:t>
      </w:r>
      <w:r>
        <w:rPr>
          <w:b/>
          <w:lang w:val="en-US"/>
        </w:rPr>
        <w:t>:</w:t>
      </w:r>
      <w:r>
        <w:rPr>
          <w:lang w:val="en-US"/>
        </w:rPr>
        <w:t xml:space="preserve"> Only migrations occurring when the exposition to the issuer is higher than 1 million € are accounted</w:t>
      </w:r>
    </w:p>
    <w:p w:rsidR="008D73A1" w:rsidRPr="008D73A1" w:rsidRDefault="008D73A1" w:rsidP="008D73A1">
      <w:pPr>
        <w:rPr>
          <w:lang w:val="en-US"/>
        </w:rPr>
      </w:pPr>
      <w:r w:rsidRPr="008D73A1">
        <w:rPr>
          <w:lang w:val="en-US"/>
        </w:rPr>
        <w:t xml:space="preserve">The exposition filter 1M€ has been </w:t>
      </w:r>
      <w:r>
        <w:rPr>
          <w:lang w:val="en-US"/>
        </w:rPr>
        <w:t>cho</w:t>
      </w:r>
      <w:r w:rsidRPr="008D73A1">
        <w:rPr>
          <w:lang w:val="en-US"/>
        </w:rPr>
        <w:t>sen</w:t>
      </w:r>
      <w:r>
        <w:rPr>
          <w:lang w:val="en-US"/>
        </w:rPr>
        <w:t xml:space="preserve">. </w:t>
      </w:r>
    </w:p>
    <w:p w:rsidR="00D84604" w:rsidRDefault="00D84604" w:rsidP="00D84604">
      <w:pPr>
        <w:pStyle w:val="Subtitle"/>
        <w:numPr>
          <w:ilvl w:val="0"/>
          <w:numId w:val="0"/>
        </w:numPr>
        <w:rPr>
          <w:lang w:val="en-US"/>
        </w:rPr>
      </w:pPr>
      <w:r>
        <w:rPr>
          <w:lang w:val="en-US"/>
        </w:rPr>
        <w:t>Impact measurement</w:t>
      </w:r>
    </w:p>
    <w:p w:rsidR="00D84604" w:rsidRDefault="00D84604" w:rsidP="00D84604">
      <w:pPr>
        <w:rPr>
          <w:lang w:val="en-US"/>
        </w:rPr>
      </w:pPr>
      <w:r w:rsidRPr="00D84604">
        <w:rPr>
          <w:lang w:val="en-US"/>
        </w:rPr>
        <w:t xml:space="preserve">The calibrated </w:t>
      </w:r>
      <w:r>
        <w:rPr>
          <w:lang w:val="en-US"/>
        </w:rPr>
        <w:t xml:space="preserve">matrices using these three different configurations are significantly different. Three features are observed: </w:t>
      </w:r>
    </w:p>
    <w:p w:rsidR="008D73A1" w:rsidRDefault="008D73A1" w:rsidP="00D97D1E">
      <w:pPr>
        <w:pStyle w:val="ListParagraph"/>
        <w:numPr>
          <w:ilvl w:val="0"/>
          <w:numId w:val="38"/>
        </w:numPr>
        <w:rPr>
          <w:lang w:val="en-US"/>
        </w:rPr>
      </w:pPr>
      <w:r>
        <w:rPr>
          <w:lang w:val="en-US"/>
        </w:rPr>
        <w:t>The more the expositions filter is the higher t</w:t>
      </w:r>
      <w:r w:rsidR="00D84604" w:rsidRPr="008D73A1">
        <w:rPr>
          <w:lang w:val="en-US"/>
        </w:rPr>
        <w:t>he non-migration</w:t>
      </w:r>
      <w:r w:rsidR="005D1EB9" w:rsidRPr="008D73A1">
        <w:rPr>
          <w:lang w:val="en-US"/>
        </w:rPr>
        <w:t xml:space="preserve"> rate</w:t>
      </w:r>
      <w:r>
        <w:rPr>
          <w:lang w:val="en-US"/>
        </w:rPr>
        <w:t>s</w:t>
      </w:r>
      <w:r w:rsidR="005D1EB9" w:rsidRPr="008D73A1">
        <w:rPr>
          <w:lang w:val="en-US"/>
        </w:rPr>
        <w:t xml:space="preserve"> (matrix diagonal)</w:t>
      </w:r>
      <w:r>
        <w:rPr>
          <w:lang w:val="en-US"/>
        </w:rPr>
        <w:t xml:space="preserve"> is. These rates represent the</w:t>
      </w:r>
      <w:r w:rsidRPr="008D73A1">
        <w:rPr>
          <w:lang w:val="en-US"/>
        </w:rPr>
        <w:t xml:space="preserve"> probability of not changing the ra</w:t>
      </w:r>
      <w:r>
        <w:rPr>
          <w:lang w:val="en-US"/>
        </w:rPr>
        <w:t xml:space="preserve">ting. This tendency could be </w:t>
      </w:r>
      <w:r>
        <w:rPr>
          <w:lang w:val="en-US"/>
        </w:rPr>
        <w:lastRenderedPageBreak/>
        <w:t>explained by the lack of rating updates when the exposition is not significant. In this case, the non-updated rating in the database does not describe any desirable feature or economic behavior that we wish to model. This suggests removing observations below an exposition threshold.</w:t>
      </w:r>
    </w:p>
    <w:p w:rsidR="00D84604" w:rsidRDefault="008D73A1" w:rsidP="008D73A1">
      <w:pPr>
        <w:pStyle w:val="ListParagraph"/>
        <w:jc w:val="center"/>
        <w:rPr>
          <w:lang w:val="en-US"/>
        </w:rPr>
      </w:pPr>
      <w:r w:rsidRPr="008D73A1">
        <w:rPr>
          <w:noProof/>
          <w:lang w:eastAsia="fr-FR"/>
        </w:rPr>
        <w:drawing>
          <wp:inline distT="0" distB="0" distL="0" distR="0" wp14:anchorId="7049B1FA" wp14:editId="563DB676">
            <wp:extent cx="2571750" cy="2606386"/>
            <wp:effectExtent l="0" t="0" r="0" b="381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260638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D73A1" w:rsidRDefault="008D73A1" w:rsidP="00D97D1E">
      <w:pPr>
        <w:pStyle w:val="ListParagraph"/>
        <w:numPr>
          <w:ilvl w:val="0"/>
          <w:numId w:val="38"/>
        </w:numPr>
        <w:rPr>
          <w:lang w:val="en-US"/>
        </w:rPr>
      </w:pPr>
      <w:r>
        <w:rPr>
          <w:lang w:val="en-US"/>
        </w:rPr>
        <w:t>The higher the engagement filter is the higher is the default rate. Using a high engagement filter is conservative</w:t>
      </w:r>
    </w:p>
    <w:p w:rsidR="008D73A1" w:rsidRPr="008D73A1" w:rsidRDefault="008D73A1" w:rsidP="008D73A1">
      <w:pPr>
        <w:jc w:val="center"/>
        <w:rPr>
          <w:lang w:val="en-US"/>
        </w:rPr>
      </w:pPr>
      <w:r w:rsidRPr="008D73A1">
        <w:rPr>
          <w:noProof/>
        </w:rPr>
        <w:drawing>
          <wp:inline distT="0" distB="0" distL="0" distR="0" wp14:anchorId="188DA369" wp14:editId="0CC2C51F">
            <wp:extent cx="2260585" cy="2021346"/>
            <wp:effectExtent l="0" t="0" r="6985"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0585" cy="202134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8D73A1">
        <w:rPr>
          <w:noProof/>
        </w:rPr>
        <w:drawing>
          <wp:inline distT="0" distB="0" distL="0" distR="0" wp14:anchorId="2710DECD" wp14:editId="4D401C37">
            <wp:extent cx="2260585" cy="2021346"/>
            <wp:effectExtent l="0" t="0" r="6985" b="0"/>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0585" cy="202134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D73A1" w:rsidRDefault="008D73A1" w:rsidP="00D97D1E">
      <w:pPr>
        <w:pStyle w:val="ListParagraph"/>
        <w:numPr>
          <w:ilvl w:val="0"/>
          <w:numId w:val="38"/>
        </w:numPr>
        <w:rPr>
          <w:lang w:val="en-US"/>
        </w:rPr>
      </w:pPr>
      <w:r>
        <w:rPr>
          <w:lang w:val="en-US"/>
        </w:rPr>
        <w:t xml:space="preserve">The engagement filter does not </w:t>
      </w:r>
      <w:r w:rsidR="00B12AC8">
        <w:rPr>
          <w:lang w:val="en-US"/>
        </w:rPr>
        <w:t>modify</w:t>
      </w:r>
      <w:r>
        <w:rPr>
          <w:lang w:val="en-US"/>
        </w:rPr>
        <w:t xml:space="preserve"> the dynamic of the default rate. </w:t>
      </w:r>
    </w:p>
    <w:p w:rsidR="008D73A1" w:rsidRPr="008D73A1" w:rsidRDefault="008D73A1" w:rsidP="008D73A1">
      <w:pPr>
        <w:jc w:val="center"/>
        <w:rPr>
          <w:lang w:val="en-US"/>
        </w:rPr>
      </w:pPr>
      <w:r w:rsidRPr="008D73A1">
        <w:rPr>
          <w:noProof/>
        </w:rPr>
        <w:drawing>
          <wp:inline distT="0" distB="0" distL="0" distR="0" wp14:anchorId="2F87373C" wp14:editId="715EB6AF">
            <wp:extent cx="2293144" cy="7715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144" cy="771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45E72" w:rsidRDefault="00CB7A6A" w:rsidP="00B45E72">
      <w:pPr>
        <w:rPr>
          <w:lang w:val="en-US"/>
        </w:rPr>
      </w:pPr>
      <w:r>
        <w:rPr>
          <w:lang w:val="en-US"/>
        </w:rPr>
        <w:t>For these reasons, an exposition filter of 1M€ is used.</w:t>
      </w:r>
    </w:p>
    <w:p w:rsidR="00113129" w:rsidRPr="00113129" w:rsidRDefault="00113129" w:rsidP="00113129">
      <w:pPr>
        <w:pStyle w:val="Heading3"/>
      </w:pPr>
      <w:bookmarkStart w:id="17" w:name="_Toc508997160"/>
      <w:bookmarkStart w:id="18" w:name="_Ref526327114"/>
      <w:r>
        <w:t>Segmentation</w:t>
      </w:r>
      <w:bookmarkEnd w:id="17"/>
      <w:bookmarkEnd w:id="18"/>
    </w:p>
    <w:p w:rsidR="00B83E6B" w:rsidRDefault="00CB1DDA" w:rsidP="00F41606">
      <w:pPr>
        <w:rPr>
          <w:lang w:val="en-US"/>
        </w:rPr>
      </w:pPr>
      <w:r>
        <w:rPr>
          <w:lang w:val="en-US"/>
        </w:rPr>
        <w:t>The choice made by CACIB is to segment ris</w:t>
      </w:r>
      <w:r w:rsidR="00113129">
        <w:rPr>
          <w:lang w:val="en-US"/>
        </w:rPr>
        <w:t xml:space="preserve">k profiles as deep as data availability could allow it. </w:t>
      </w:r>
    </w:p>
    <w:p w:rsidR="00B83E6B" w:rsidRDefault="00B83E6B" w:rsidP="00B83E6B">
      <w:pPr>
        <w:rPr>
          <w:lang w:val="en-US"/>
        </w:rPr>
      </w:pPr>
      <w:r>
        <w:rPr>
          <w:lang w:val="en-US"/>
        </w:rPr>
        <w:t xml:space="preserve">Empirical observations of point in time matrices segmented by ratings, </w:t>
      </w:r>
      <w:r w:rsidR="00011D62">
        <w:rPr>
          <w:lang w:val="en-US"/>
        </w:rPr>
        <w:t>counterparty nature</w:t>
      </w:r>
      <w:r>
        <w:rPr>
          <w:lang w:val="en-US"/>
        </w:rPr>
        <w:t xml:space="preserve"> and geographical area lead to a poor number of events (migrations or defau</w:t>
      </w:r>
      <w:r w:rsidR="00276A53">
        <w:rPr>
          <w:lang w:val="en-US"/>
        </w:rPr>
        <w:t>lts). This is why the segmentations were tested in the following order.</w:t>
      </w:r>
    </w:p>
    <w:p w:rsidR="00276A53" w:rsidRPr="00276A53" w:rsidRDefault="00011D62" w:rsidP="00276A53">
      <w:pPr>
        <w:pStyle w:val="ListParagraph"/>
        <w:numPr>
          <w:ilvl w:val="0"/>
          <w:numId w:val="48"/>
        </w:numPr>
        <w:rPr>
          <w:lang w:val="en-US"/>
        </w:rPr>
      </w:pPr>
      <w:r>
        <w:rPr>
          <w:lang w:val="en-US"/>
        </w:rPr>
        <w:lastRenderedPageBreak/>
        <w:t>Counterparty nature</w:t>
      </w:r>
      <w:r w:rsidR="00276A53" w:rsidRPr="00276A53">
        <w:rPr>
          <w:lang w:val="en-US"/>
        </w:rPr>
        <w:t xml:space="preserve"> X Continent </w:t>
      </w:r>
    </w:p>
    <w:p w:rsidR="00276A53" w:rsidRPr="00276A53" w:rsidRDefault="00011D62" w:rsidP="00276A53">
      <w:pPr>
        <w:pStyle w:val="ListParagraph"/>
        <w:numPr>
          <w:ilvl w:val="0"/>
          <w:numId w:val="48"/>
        </w:numPr>
        <w:rPr>
          <w:lang w:val="en-US"/>
        </w:rPr>
      </w:pPr>
      <w:r>
        <w:rPr>
          <w:lang w:val="en-US"/>
        </w:rPr>
        <w:t>Counterparty nature</w:t>
      </w:r>
      <w:r w:rsidR="00276A53" w:rsidRPr="00276A53">
        <w:rPr>
          <w:lang w:val="en-US"/>
        </w:rPr>
        <w:t xml:space="preserve"> group (Corporate, Financial Institutions, Sovereigns) X Continents</w:t>
      </w:r>
    </w:p>
    <w:p w:rsidR="00276A53" w:rsidRPr="00276A53" w:rsidRDefault="00011D62" w:rsidP="00276A53">
      <w:pPr>
        <w:pStyle w:val="ListParagraph"/>
        <w:numPr>
          <w:ilvl w:val="0"/>
          <w:numId w:val="48"/>
        </w:numPr>
        <w:rPr>
          <w:lang w:val="en-US"/>
        </w:rPr>
      </w:pPr>
      <w:r>
        <w:rPr>
          <w:lang w:val="en-US"/>
        </w:rPr>
        <w:t>Counterparty nature</w:t>
      </w:r>
      <w:r w:rsidR="00276A53" w:rsidRPr="00276A53">
        <w:rPr>
          <w:lang w:val="en-US"/>
        </w:rPr>
        <w:t xml:space="preserve"> group (Corporate, Financial Institutions, Sovereigns) X Countries grouped by Emerging </w:t>
      </w:r>
      <w:r w:rsidR="00276A53">
        <w:rPr>
          <w:lang w:val="en-US"/>
        </w:rPr>
        <w:t xml:space="preserve">and </w:t>
      </w:r>
      <w:r w:rsidR="00276A53" w:rsidRPr="00276A53">
        <w:rPr>
          <w:lang w:val="en-US"/>
        </w:rPr>
        <w:t>Non-Emerging</w:t>
      </w:r>
    </w:p>
    <w:p w:rsidR="00276A53" w:rsidRPr="00276A53" w:rsidRDefault="00011D62" w:rsidP="00276A53">
      <w:pPr>
        <w:pStyle w:val="ListParagraph"/>
        <w:numPr>
          <w:ilvl w:val="0"/>
          <w:numId w:val="48"/>
        </w:numPr>
        <w:rPr>
          <w:lang w:val="en-US"/>
        </w:rPr>
      </w:pPr>
      <w:r>
        <w:rPr>
          <w:lang w:val="en-US"/>
        </w:rPr>
        <w:t>Counterparty nature</w:t>
      </w:r>
      <w:r w:rsidR="00276A53" w:rsidRPr="00276A53">
        <w:rPr>
          <w:lang w:val="en-US"/>
        </w:rPr>
        <w:t xml:space="preserve"> group (Corporate, Financial Institutions, Sovereigns</w:t>
      </w:r>
      <w:r>
        <w:rPr>
          <w:lang w:val="en-US"/>
        </w:rPr>
        <w:t>, SME</w:t>
      </w:r>
      <w:r w:rsidR="00276A53" w:rsidRPr="00276A53">
        <w:rPr>
          <w:lang w:val="en-US"/>
        </w:rPr>
        <w:t xml:space="preserve">) </w:t>
      </w:r>
      <w:r w:rsidR="00276A53">
        <w:rPr>
          <w:lang w:val="en-US"/>
        </w:rPr>
        <w:t xml:space="preserve"> with no segmentation on geographical area</w:t>
      </w:r>
      <w:r w:rsidR="00276A53" w:rsidRPr="00276A53">
        <w:rPr>
          <w:lang w:val="en-US"/>
        </w:rPr>
        <w:t xml:space="preserve"> </w:t>
      </w:r>
    </w:p>
    <w:p w:rsidR="00276A53" w:rsidRDefault="00276A53" w:rsidP="00276A53">
      <w:pPr>
        <w:pStyle w:val="ListParagraph"/>
        <w:numPr>
          <w:ilvl w:val="0"/>
          <w:numId w:val="48"/>
        </w:numPr>
        <w:rPr>
          <w:lang w:val="en-US"/>
        </w:rPr>
      </w:pPr>
      <w:r>
        <w:rPr>
          <w:lang w:val="en-US"/>
        </w:rPr>
        <w:t>No segmentation</w:t>
      </w:r>
    </w:p>
    <w:p w:rsidR="00276A53" w:rsidRPr="00276A53" w:rsidRDefault="00276A53" w:rsidP="00276A53">
      <w:pPr>
        <w:rPr>
          <w:lang w:val="en-US"/>
        </w:rPr>
      </w:pPr>
      <w:r>
        <w:rPr>
          <w:lang w:val="en-US"/>
        </w:rPr>
        <w:t xml:space="preserve">This order is set giving priority to the </w:t>
      </w:r>
      <w:r w:rsidR="00011D62">
        <w:rPr>
          <w:lang w:val="en-US"/>
        </w:rPr>
        <w:t>nature</w:t>
      </w:r>
      <w:r>
        <w:rPr>
          <w:lang w:val="en-US"/>
        </w:rPr>
        <w:t xml:space="preserve"> then the geographical area. This is justified by the dominance of multinational groups in CACIB portfolio.</w:t>
      </w:r>
    </w:p>
    <w:p w:rsidR="00B83E6B" w:rsidRDefault="00DF71AA" w:rsidP="00FC77E2">
      <w:pPr>
        <w:rPr>
          <w:lang w:val="en-US"/>
        </w:rPr>
      </w:pPr>
      <w:r w:rsidRPr="00DF71AA">
        <w:rPr>
          <w:b/>
          <w:lang w:val="en-US"/>
        </w:rPr>
        <w:t xml:space="preserve">Segmentation 4 is selected without a proper Sovereign </w:t>
      </w:r>
      <w:r w:rsidR="00011D62">
        <w:rPr>
          <w:b/>
          <w:lang w:val="en-US"/>
        </w:rPr>
        <w:t xml:space="preserve">and SME </w:t>
      </w:r>
      <w:r w:rsidRPr="00DF71AA">
        <w:rPr>
          <w:b/>
          <w:lang w:val="en-US"/>
        </w:rPr>
        <w:t>segment</w:t>
      </w:r>
      <w:r w:rsidR="00011D62">
        <w:rPr>
          <w:b/>
          <w:lang w:val="en-US"/>
        </w:rPr>
        <w:t>s</w:t>
      </w:r>
      <w:r w:rsidRPr="00DF71AA">
        <w:rPr>
          <w:b/>
          <w:lang w:val="en-US"/>
        </w:rPr>
        <w:t xml:space="preserve">. </w:t>
      </w:r>
      <w:r w:rsidR="000F4AA6">
        <w:rPr>
          <w:b/>
          <w:lang w:val="en-US"/>
        </w:rPr>
        <w:t>Sovereigns</w:t>
      </w:r>
      <w:r w:rsidRPr="00DF71AA">
        <w:rPr>
          <w:b/>
          <w:lang w:val="en-US"/>
        </w:rPr>
        <w:t xml:space="preserve"> are </w:t>
      </w:r>
      <w:r w:rsidR="00573C14">
        <w:rPr>
          <w:b/>
          <w:lang w:val="en-US"/>
        </w:rPr>
        <w:t>included in</w:t>
      </w:r>
      <w:r w:rsidRPr="00DF71AA">
        <w:rPr>
          <w:b/>
          <w:lang w:val="en-US"/>
        </w:rPr>
        <w:t xml:space="preserve"> Financial Institution calibration</w:t>
      </w:r>
      <w:r w:rsidR="000F4AA6">
        <w:rPr>
          <w:b/>
          <w:lang w:val="en-US"/>
        </w:rPr>
        <w:t xml:space="preserve"> whereas SME </w:t>
      </w:r>
      <w:r w:rsidR="00573C14">
        <w:rPr>
          <w:b/>
          <w:lang w:val="en-US"/>
        </w:rPr>
        <w:t xml:space="preserve">and retail </w:t>
      </w:r>
      <w:r w:rsidR="000F4AA6">
        <w:rPr>
          <w:b/>
          <w:lang w:val="en-US"/>
        </w:rPr>
        <w:t xml:space="preserve">are mapped to </w:t>
      </w:r>
      <w:r w:rsidR="009C6AB3">
        <w:rPr>
          <w:b/>
          <w:lang w:val="en-US"/>
        </w:rPr>
        <w:t>corporate</w:t>
      </w:r>
      <w:r w:rsidR="000F4AA6">
        <w:rPr>
          <w:b/>
          <w:lang w:val="en-US"/>
        </w:rPr>
        <w:t xml:space="preserve"> segment</w:t>
      </w:r>
      <w:r w:rsidRPr="00DF71AA">
        <w:rPr>
          <w:b/>
          <w:lang w:val="en-US"/>
        </w:rPr>
        <w:t>.</w:t>
      </w:r>
      <w:r>
        <w:rPr>
          <w:lang w:val="en-US"/>
        </w:rPr>
        <w:t xml:space="preserve"> This choice is justified below: </w:t>
      </w:r>
    </w:p>
    <w:p w:rsidR="00DF71AA" w:rsidRDefault="00DF71AA" w:rsidP="00DF71AA">
      <w:pPr>
        <w:rPr>
          <w:lang w:val="en-US"/>
        </w:rPr>
      </w:pPr>
      <w:r w:rsidRPr="00DF71AA">
        <w:rPr>
          <w:u w:val="single"/>
          <w:lang w:val="en-US"/>
        </w:rPr>
        <w:t>Why choosing segmentation 4</w:t>
      </w:r>
      <w:r>
        <w:rPr>
          <w:lang w:val="en-US"/>
        </w:rPr>
        <w:t>?</w:t>
      </w:r>
    </w:p>
    <w:p w:rsidR="00FC77E2" w:rsidRPr="00DF71AA" w:rsidRDefault="00FC77E2" w:rsidP="00DF71AA">
      <w:pPr>
        <w:rPr>
          <w:lang w:val="en-US"/>
        </w:rPr>
      </w:pPr>
      <w:r w:rsidRPr="00DF71AA">
        <w:rPr>
          <w:lang w:val="en-US"/>
        </w:rPr>
        <w:t>The table</w:t>
      </w:r>
      <w:r w:rsidR="008645FF" w:rsidRPr="00DF71AA">
        <w:rPr>
          <w:lang w:val="en-US"/>
        </w:rPr>
        <w:t>s</w:t>
      </w:r>
      <w:r w:rsidRPr="00DF71AA">
        <w:rPr>
          <w:lang w:val="en-US"/>
        </w:rPr>
        <w:t xml:space="preserve"> below show the lack of data </w:t>
      </w:r>
      <w:r w:rsidR="0024465D" w:rsidRPr="00DF71AA">
        <w:rPr>
          <w:lang w:val="en-US"/>
        </w:rPr>
        <w:t xml:space="preserve">for a segmentation by rating, </w:t>
      </w:r>
      <w:r w:rsidR="00011D62">
        <w:rPr>
          <w:lang w:val="en-US"/>
        </w:rPr>
        <w:t>nature</w:t>
      </w:r>
      <w:r w:rsidR="0024465D" w:rsidRPr="00DF71AA">
        <w:rPr>
          <w:lang w:val="en-US"/>
        </w:rPr>
        <w:t xml:space="preserve"> (Corporate vs Financial Institutions) and geographical area (Investment grade, Non-Investment Grade)</w:t>
      </w:r>
      <w:r w:rsidR="00DF71AA" w:rsidRPr="00DF71AA">
        <w:rPr>
          <w:lang w:val="en-US"/>
        </w:rPr>
        <w:t xml:space="preserve">. </w:t>
      </w:r>
      <w:r w:rsidR="00DF71AA">
        <w:rPr>
          <w:lang w:val="en-US"/>
        </w:rPr>
        <w:t xml:space="preserve">This evidence doesn’t allow for further segmentation. This is the balance between precision and availability of information. </w:t>
      </w:r>
    </w:p>
    <w:p w:rsidR="00F65873" w:rsidRDefault="008F3C6B" w:rsidP="00FC77E2">
      <w:pPr>
        <w:rPr>
          <w:lang w:val="en-US"/>
        </w:rPr>
      </w:pPr>
      <w:r w:rsidRPr="008F3C6B">
        <w:rPr>
          <w:noProof/>
        </w:rPr>
        <w:drawing>
          <wp:inline distT="0" distB="0" distL="0" distR="0" wp14:anchorId="37D162D5" wp14:editId="76C94524">
            <wp:extent cx="5760720" cy="2118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18022"/>
                    </a:xfrm>
                    <a:prstGeom prst="rect">
                      <a:avLst/>
                    </a:prstGeom>
                    <a:noFill/>
                    <a:ln>
                      <a:noFill/>
                    </a:ln>
                  </pic:spPr>
                </pic:pic>
              </a:graphicData>
            </a:graphic>
          </wp:inline>
        </w:drawing>
      </w:r>
    </w:p>
    <w:p w:rsidR="00F65873" w:rsidRDefault="008F3C6B" w:rsidP="00FC77E2">
      <w:pPr>
        <w:rPr>
          <w:lang w:val="en-US"/>
        </w:rPr>
      </w:pPr>
      <w:r w:rsidRPr="008F3C6B">
        <w:rPr>
          <w:noProof/>
        </w:rPr>
        <w:drawing>
          <wp:inline distT="0" distB="0" distL="0" distR="0" wp14:anchorId="2B749558" wp14:editId="32921561">
            <wp:extent cx="5760720" cy="21180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18022"/>
                    </a:xfrm>
                    <a:prstGeom prst="rect">
                      <a:avLst/>
                    </a:prstGeom>
                    <a:noFill/>
                    <a:ln>
                      <a:noFill/>
                    </a:ln>
                  </pic:spPr>
                </pic:pic>
              </a:graphicData>
            </a:graphic>
          </wp:inline>
        </w:drawing>
      </w:r>
    </w:p>
    <w:p w:rsidR="008F3C6B" w:rsidRDefault="008F3C6B">
      <w:pPr>
        <w:spacing w:after="0" w:line="240" w:lineRule="auto"/>
        <w:rPr>
          <w:lang w:val="en-US"/>
        </w:rPr>
      </w:pPr>
      <w:r w:rsidRPr="008F3C6B">
        <w:rPr>
          <w:noProof/>
        </w:rPr>
        <w:lastRenderedPageBreak/>
        <w:drawing>
          <wp:inline distT="0" distB="0" distL="0" distR="0" wp14:anchorId="68806C91" wp14:editId="21D1E486">
            <wp:extent cx="5760720" cy="211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18022"/>
                    </a:xfrm>
                    <a:prstGeom prst="rect">
                      <a:avLst/>
                    </a:prstGeom>
                    <a:noFill/>
                    <a:ln>
                      <a:noFill/>
                    </a:ln>
                  </pic:spPr>
                </pic:pic>
              </a:graphicData>
            </a:graphic>
          </wp:inline>
        </w:drawing>
      </w:r>
    </w:p>
    <w:p w:rsidR="00F65873" w:rsidRDefault="008F3C6B" w:rsidP="008F3C6B">
      <w:pPr>
        <w:pStyle w:val="Caption"/>
      </w:pPr>
      <w:r>
        <w:t xml:space="preserve">Table </w:t>
      </w:r>
      <w:r>
        <w:fldChar w:fldCharType="begin"/>
      </w:r>
      <w:r>
        <w:instrText xml:space="preserve"> SEQ Table \* ARABIC </w:instrText>
      </w:r>
      <w:r>
        <w:fldChar w:fldCharType="separate"/>
      </w:r>
      <w:r w:rsidR="00187776">
        <w:rPr>
          <w:noProof/>
        </w:rPr>
        <w:t>1</w:t>
      </w:r>
      <w:r>
        <w:fldChar w:fldCharType="end"/>
      </w:r>
      <w:r>
        <w:t>: Number of cells with no observations in the PIT migration matrix. The more migration matrix is segmented the more null cells are observed.</w:t>
      </w:r>
    </w:p>
    <w:p w:rsidR="00085309" w:rsidRDefault="00085309" w:rsidP="00085309">
      <w:pPr>
        <w:rPr>
          <w:lang w:val="en-US"/>
        </w:rPr>
      </w:pPr>
      <w:r>
        <w:rPr>
          <w:lang w:val="en-US"/>
        </w:rPr>
        <w:t xml:space="preserve">Furthermore, segmentation 4 is widely shared in the </w:t>
      </w:r>
      <w:r w:rsidR="00AE6553">
        <w:rPr>
          <w:lang w:val="en-US"/>
        </w:rPr>
        <w:t xml:space="preserve">literature (See STAMP€ ECB </w:t>
      </w:r>
      <w:sdt>
        <w:sdtPr>
          <w:rPr>
            <w:lang w:val="en-US"/>
          </w:rPr>
          <w:id w:val="473874055"/>
          <w:citation/>
        </w:sdtPr>
        <w:sdtContent>
          <w:r w:rsidR="00AE6553">
            <w:rPr>
              <w:lang w:val="en-US"/>
            </w:rPr>
            <w:fldChar w:fldCharType="begin"/>
          </w:r>
          <w:r w:rsidR="00AE6553" w:rsidRPr="00AE6553">
            <w:rPr>
              <w:lang w:val="en-US"/>
            </w:rPr>
            <w:instrText xml:space="preserve"> CITATION Sté17 \l 1036 </w:instrText>
          </w:r>
          <w:r w:rsidR="00AE6553">
            <w:rPr>
              <w:lang w:val="en-US"/>
            </w:rPr>
            <w:fldChar w:fldCharType="separate"/>
          </w:r>
          <w:r w:rsidR="007A2F35" w:rsidRPr="007A2F35">
            <w:rPr>
              <w:noProof/>
              <w:lang w:val="en-US"/>
            </w:rPr>
            <w:t>[1]</w:t>
          </w:r>
          <w:r w:rsidR="00AE6553">
            <w:rPr>
              <w:lang w:val="en-US"/>
            </w:rPr>
            <w:fldChar w:fldCharType="end"/>
          </w:r>
        </w:sdtContent>
      </w:sdt>
      <w:r>
        <w:rPr>
          <w:lang w:val="en-US"/>
        </w:rPr>
        <w:t xml:space="preserve"> p.45 for example).</w:t>
      </w:r>
    </w:p>
    <w:p w:rsidR="00085309" w:rsidRDefault="00085309" w:rsidP="00085309">
      <w:pPr>
        <w:rPr>
          <w:lang w:val="en-US"/>
        </w:rPr>
      </w:pPr>
      <w:r w:rsidRPr="00DF71AA">
        <w:rPr>
          <w:u w:val="single"/>
          <w:lang w:val="en-US"/>
        </w:rPr>
        <w:t xml:space="preserve">Why </w:t>
      </w:r>
      <w:r w:rsidR="009C6AB3">
        <w:rPr>
          <w:u w:val="single"/>
          <w:lang w:val="en-US"/>
        </w:rPr>
        <w:t>including</w:t>
      </w:r>
      <w:r>
        <w:rPr>
          <w:u w:val="single"/>
          <w:lang w:val="en-US"/>
        </w:rPr>
        <w:t xml:space="preserve"> Sovereign </w:t>
      </w:r>
      <w:r w:rsidR="009C6AB3">
        <w:rPr>
          <w:u w:val="single"/>
          <w:lang w:val="en-US"/>
        </w:rPr>
        <w:t>into</w:t>
      </w:r>
      <w:r>
        <w:rPr>
          <w:u w:val="single"/>
          <w:lang w:val="en-US"/>
        </w:rPr>
        <w:t xml:space="preserve"> Financial Institutions segment</w:t>
      </w:r>
      <w:r>
        <w:rPr>
          <w:lang w:val="en-US"/>
        </w:rPr>
        <w:t>?</w:t>
      </w:r>
    </w:p>
    <w:p w:rsidR="00085309" w:rsidRDefault="00085309" w:rsidP="00085309">
      <w:pPr>
        <w:rPr>
          <w:lang w:val="en-US"/>
        </w:rPr>
      </w:pPr>
      <w:r>
        <w:rPr>
          <w:lang w:val="en-US"/>
        </w:rPr>
        <w:t>Sovereigns’ provision is not material in CACIB portfolio (&lt;1.5 %).The modeling effort is proportional to the materiality. This measurement is a conclusion based on the following facts:</w:t>
      </w:r>
    </w:p>
    <w:p w:rsidR="00085309" w:rsidRDefault="00085309" w:rsidP="00085309">
      <w:pPr>
        <w:pStyle w:val="ListParagraph"/>
        <w:numPr>
          <w:ilvl w:val="0"/>
          <w:numId w:val="45"/>
        </w:numPr>
        <w:rPr>
          <w:lang w:val="en-US"/>
        </w:rPr>
      </w:pPr>
      <w:r>
        <w:rPr>
          <w:lang w:val="en-US"/>
        </w:rPr>
        <w:t xml:space="preserve">As of 31/12/2017, the Sovereign Forward Looking impairment is equal to 1.5% of the total CACIB impairment. The calculation is </w:t>
      </w:r>
      <w:r w:rsidR="00E8247F">
        <w:rPr>
          <w:lang w:val="en-US"/>
        </w:rPr>
        <w:t>done using financial institutions calibration in place of proper Sovereign calibration.</w:t>
      </w:r>
    </w:p>
    <w:p w:rsidR="00E8247F" w:rsidRDefault="00E8247F" w:rsidP="00085309">
      <w:pPr>
        <w:pStyle w:val="ListParagraph"/>
        <w:numPr>
          <w:ilvl w:val="0"/>
          <w:numId w:val="45"/>
        </w:numPr>
        <w:rPr>
          <w:lang w:val="en-US"/>
        </w:rPr>
      </w:pPr>
      <w:r>
        <w:rPr>
          <w:lang w:val="en-US"/>
        </w:rPr>
        <w:t xml:space="preserve">Evidence show that Sovereigns are less risky than financial institutions (See </w:t>
      </w:r>
      <w:r>
        <w:rPr>
          <w:lang w:val="en-US"/>
        </w:rPr>
        <w:fldChar w:fldCharType="begin"/>
      </w:r>
      <w:r>
        <w:rPr>
          <w:lang w:val="en-US"/>
        </w:rPr>
        <w:instrText xml:space="preserve"> REF _Ref524102110 \h </w:instrText>
      </w:r>
      <w:r>
        <w:rPr>
          <w:lang w:val="en-US"/>
        </w:rPr>
      </w:r>
      <w:r>
        <w:rPr>
          <w:lang w:val="en-US"/>
        </w:rPr>
        <w:fldChar w:fldCharType="separate"/>
      </w:r>
      <w:r w:rsidRPr="00E8247F">
        <w:rPr>
          <w:lang w:val="en-US"/>
        </w:rPr>
        <w:t xml:space="preserve">Figure </w:t>
      </w:r>
      <w:r w:rsidRPr="00E8247F">
        <w:rPr>
          <w:noProof/>
          <w:lang w:val="en-US"/>
        </w:rPr>
        <w:t>1</w:t>
      </w:r>
      <w:r>
        <w:rPr>
          <w:lang w:val="en-US"/>
        </w:rPr>
        <w:fldChar w:fldCharType="end"/>
      </w:r>
      <w:r>
        <w:rPr>
          <w:lang w:val="en-US"/>
        </w:rPr>
        <w:t xml:space="preserve">). The impairment measurement leading to 1.5% is therefore an over-estimation. </w:t>
      </w:r>
    </w:p>
    <w:p w:rsidR="00085309" w:rsidRDefault="00085309" w:rsidP="00085309">
      <w:pPr>
        <w:rPr>
          <w:lang w:val="en-US"/>
        </w:rPr>
      </w:pPr>
      <w:r>
        <w:rPr>
          <w:lang w:val="en-US"/>
        </w:rPr>
        <w:t xml:space="preserve">Empirical observations show that using </w:t>
      </w:r>
      <w:r w:rsidR="009E28F9">
        <w:rPr>
          <w:lang w:val="en-US"/>
        </w:rPr>
        <w:t>financial</w:t>
      </w:r>
      <w:r>
        <w:rPr>
          <w:lang w:val="en-US"/>
        </w:rPr>
        <w:t xml:space="preserve"> institutions calibration </w:t>
      </w:r>
      <w:r w:rsidR="009E28F9">
        <w:rPr>
          <w:lang w:val="en-US"/>
        </w:rPr>
        <w:t xml:space="preserve">for Sovereigns is conservative (See </w:t>
      </w:r>
      <w:r w:rsidR="009E28F9">
        <w:rPr>
          <w:lang w:val="en-US"/>
        </w:rPr>
        <w:fldChar w:fldCharType="begin"/>
      </w:r>
      <w:r w:rsidR="009E28F9">
        <w:rPr>
          <w:lang w:val="en-US"/>
        </w:rPr>
        <w:instrText xml:space="preserve"> REF _Ref524102110 \h </w:instrText>
      </w:r>
      <w:r w:rsidR="009E28F9">
        <w:rPr>
          <w:lang w:val="en-US"/>
        </w:rPr>
      </w:r>
      <w:r w:rsidR="009E28F9">
        <w:rPr>
          <w:lang w:val="en-US"/>
        </w:rPr>
        <w:fldChar w:fldCharType="separate"/>
      </w:r>
      <w:r w:rsidR="009E28F9" w:rsidRPr="009E28F9">
        <w:rPr>
          <w:lang w:val="en-US"/>
        </w:rPr>
        <w:t xml:space="preserve">Figure </w:t>
      </w:r>
      <w:r w:rsidR="009E28F9" w:rsidRPr="009E28F9">
        <w:rPr>
          <w:noProof/>
          <w:lang w:val="en-US"/>
        </w:rPr>
        <w:t>1</w:t>
      </w:r>
      <w:r w:rsidR="009E28F9">
        <w:rPr>
          <w:lang w:val="en-US"/>
        </w:rPr>
        <w:fldChar w:fldCharType="end"/>
      </w:r>
      <w:r w:rsidR="009E28F9">
        <w:rPr>
          <w:lang w:val="en-US"/>
        </w:rPr>
        <w:t xml:space="preserve"> as evidence that PIT default rates are lower for sovereigns than financial institutions).</w:t>
      </w:r>
    </w:p>
    <w:p w:rsidR="009E28F9" w:rsidRDefault="007E4FB3" w:rsidP="009E28F9">
      <w:pPr>
        <w:keepNext/>
      </w:pPr>
      <w:r w:rsidRPr="001B68AC">
        <w:rPr>
          <w:lang w:val="en-US"/>
        </w:rPr>
        <w:tab/>
      </w:r>
      <w:r>
        <w:rPr>
          <w:noProof/>
        </w:rPr>
        <w:drawing>
          <wp:inline distT="0" distB="0" distL="0" distR="0" wp14:anchorId="2AAAD897">
            <wp:extent cx="5491990" cy="29834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729" cy="2989326"/>
                    </a:xfrm>
                    <a:prstGeom prst="rect">
                      <a:avLst/>
                    </a:prstGeom>
                    <a:noFill/>
                  </pic:spPr>
                </pic:pic>
              </a:graphicData>
            </a:graphic>
          </wp:inline>
        </w:drawing>
      </w:r>
    </w:p>
    <w:p w:rsidR="009E28F9" w:rsidRDefault="009E28F9" w:rsidP="009E28F9">
      <w:pPr>
        <w:pStyle w:val="Caption"/>
        <w:jc w:val="left"/>
      </w:pPr>
      <w:bookmarkStart w:id="19" w:name="_Ref524102110"/>
      <w:r>
        <w:t xml:space="preserve">Figure </w:t>
      </w:r>
      <w:r>
        <w:fldChar w:fldCharType="begin"/>
      </w:r>
      <w:r>
        <w:instrText xml:space="preserve"> SEQ Figure \* ARABIC </w:instrText>
      </w:r>
      <w:r>
        <w:fldChar w:fldCharType="separate"/>
      </w:r>
      <w:r>
        <w:rPr>
          <w:noProof/>
        </w:rPr>
        <w:t>1</w:t>
      </w:r>
      <w:r>
        <w:fldChar w:fldCharType="end"/>
      </w:r>
      <w:bookmarkEnd w:id="19"/>
      <w:r>
        <w:t xml:space="preserve">: PIT Default Rate. </w:t>
      </w:r>
      <w:r w:rsidR="007E4FB3">
        <w:t xml:space="preserve">IF_Sov is a joined calibration between financial institutions and sovereigns and corp_sme is a joined calibration between corporate and small and medium </w:t>
      </w:r>
      <w:r w:rsidR="001A3A8F">
        <w:t>enterprises</w:t>
      </w:r>
      <w:r w:rsidR="007E4FB3">
        <w:t>.</w:t>
      </w:r>
    </w:p>
    <w:p w:rsidR="00281133" w:rsidRDefault="00281133" w:rsidP="00281133">
      <w:pPr>
        <w:rPr>
          <w:lang w:val="en-US"/>
        </w:rPr>
      </w:pPr>
      <w:r w:rsidRPr="00DF71AA">
        <w:rPr>
          <w:u w:val="single"/>
          <w:lang w:val="en-US"/>
        </w:rPr>
        <w:lastRenderedPageBreak/>
        <w:t xml:space="preserve">Why </w:t>
      </w:r>
      <w:r>
        <w:rPr>
          <w:u w:val="single"/>
          <w:lang w:val="en-US"/>
        </w:rPr>
        <w:t xml:space="preserve">mapping SME </w:t>
      </w:r>
      <w:r w:rsidR="00120881">
        <w:rPr>
          <w:u w:val="single"/>
          <w:lang w:val="en-US"/>
        </w:rPr>
        <w:t xml:space="preserve">and retail </w:t>
      </w:r>
      <w:r>
        <w:rPr>
          <w:u w:val="single"/>
          <w:lang w:val="en-US"/>
        </w:rPr>
        <w:t>to large corporate segment</w:t>
      </w:r>
      <w:r>
        <w:rPr>
          <w:lang w:val="en-US"/>
        </w:rPr>
        <w:t>?</w:t>
      </w:r>
    </w:p>
    <w:p w:rsidR="00120881" w:rsidRDefault="00AE19DB" w:rsidP="00AE19DB">
      <w:pPr>
        <w:rPr>
          <w:lang w:val="en-US"/>
        </w:rPr>
      </w:pPr>
      <w:r>
        <w:rPr>
          <w:lang w:val="en-US"/>
        </w:rPr>
        <w:t xml:space="preserve">CA-CIB portfolio includes mainly large corporate companies. SME </w:t>
      </w:r>
      <w:r w:rsidR="00120881">
        <w:rPr>
          <w:lang w:val="en-US"/>
        </w:rPr>
        <w:t>and retail are</w:t>
      </w:r>
      <w:r>
        <w:rPr>
          <w:lang w:val="en-US"/>
        </w:rPr>
        <w:t xml:space="preserve"> non-material </w:t>
      </w:r>
      <w:r w:rsidR="009977A6">
        <w:rPr>
          <w:lang w:val="en-US"/>
        </w:rPr>
        <w:t>subset</w:t>
      </w:r>
      <w:r w:rsidR="00120881">
        <w:rPr>
          <w:lang w:val="en-US"/>
        </w:rPr>
        <w:t>s</w:t>
      </w:r>
      <w:r w:rsidR="009977A6">
        <w:rPr>
          <w:lang w:val="en-US"/>
        </w:rPr>
        <w:t>;</w:t>
      </w:r>
      <w:r>
        <w:rPr>
          <w:lang w:val="en-US"/>
        </w:rPr>
        <w:t xml:space="preserve"> therefore no segmentation is done using the size of the company. </w:t>
      </w:r>
    </w:p>
    <w:p w:rsidR="00AE19DB" w:rsidRPr="00120881" w:rsidRDefault="00120881" w:rsidP="00120881">
      <w:pPr>
        <w:pStyle w:val="ListParagraph"/>
        <w:numPr>
          <w:ilvl w:val="0"/>
          <w:numId w:val="45"/>
        </w:numPr>
        <w:rPr>
          <w:lang w:val="en-US"/>
        </w:rPr>
      </w:pPr>
      <w:r w:rsidRPr="00120881">
        <w:rPr>
          <w:b/>
          <w:lang w:val="en-US"/>
        </w:rPr>
        <w:t>SME</w:t>
      </w:r>
      <w:r>
        <w:rPr>
          <w:lang w:val="en-US"/>
        </w:rPr>
        <w:t xml:space="preserve">: </w:t>
      </w:r>
      <w:r w:rsidR="00AE19DB" w:rsidRPr="00120881">
        <w:rPr>
          <w:lang w:val="en-US"/>
        </w:rPr>
        <w:fldChar w:fldCharType="begin"/>
      </w:r>
      <w:r w:rsidR="00AE19DB" w:rsidRPr="00120881">
        <w:rPr>
          <w:lang w:val="en-US"/>
        </w:rPr>
        <w:instrText xml:space="preserve"> REF _Ref524102110 \h </w:instrText>
      </w:r>
      <w:r w:rsidR="00AE19DB">
        <w:rPr>
          <w:lang w:val="en-US"/>
        </w:rPr>
      </w:r>
      <w:r w:rsidR="00AE19DB" w:rsidRPr="00120881">
        <w:rPr>
          <w:lang w:val="en-US"/>
        </w:rPr>
        <w:fldChar w:fldCharType="separate"/>
      </w:r>
      <w:r w:rsidR="00AE19DB" w:rsidRPr="00120881">
        <w:rPr>
          <w:lang w:val="en-US"/>
        </w:rPr>
        <w:t xml:space="preserve">Figure </w:t>
      </w:r>
      <w:r w:rsidR="00AE19DB" w:rsidRPr="00120881">
        <w:rPr>
          <w:noProof/>
          <w:lang w:val="en-US"/>
        </w:rPr>
        <w:t>1</w:t>
      </w:r>
      <w:r w:rsidR="00AE19DB" w:rsidRPr="00120881">
        <w:rPr>
          <w:lang w:val="en-US"/>
        </w:rPr>
        <w:fldChar w:fldCharType="end"/>
      </w:r>
      <w:r w:rsidR="00AE19DB" w:rsidRPr="00120881">
        <w:rPr>
          <w:lang w:val="en-US"/>
        </w:rPr>
        <w:t xml:space="preserve"> shows the similarity of 1Y PIT default rate including or excluding SME. </w:t>
      </w:r>
      <w:r w:rsidR="003F7762" w:rsidRPr="00120881">
        <w:rPr>
          <w:lang w:val="en-US"/>
        </w:rPr>
        <w:t xml:space="preserve">Their inclusion is </w:t>
      </w:r>
      <w:r w:rsidR="00873364" w:rsidRPr="00120881">
        <w:rPr>
          <w:lang w:val="en-US"/>
        </w:rPr>
        <w:t xml:space="preserve">not </w:t>
      </w:r>
      <w:r w:rsidR="009977A6" w:rsidRPr="00120881">
        <w:rPr>
          <w:lang w:val="en-US"/>
        </w:rPr>
        <w:t>significant;</w:t>
      </w:r>
      <w:r w:rsidR="003F7762" w:rsidRPr="00120881">
        <w:rPr>
          <w:lang w:val="en-US"/>
        </w:rPr>
        <w:t xml:space="preserve"> they will be mapped to </w:t>
      </w:r>
      <w:r w:rsidR="009977A6" w:rsidRPr="00120881">
        <w:rPr>
          <w:lang w:val="en-US"/>
        </w:rPr>
        <w:t>corporate</w:t>
      </w:r>
      <w:r w:rsidR="003F7762" w:rsidRPr="00120881">
        <w:rPr>
          <w:lang w:val="en-US"/>
        </w:rPr>
        <w:t xml:space="preserve"> segment. </w:t>
      </w:r>
    </w:p>
    <w:p w:rsidR="00120881" w:rsidRPr="00120881" w:rsidRDefault="00120881" w:rsidP="00120881">
      <w:pPr>
        <w:pStyle w:val="ListParagraph"/>
        <w:numPr>
          <w:ilvl w:val="0"/>
          <w:numId w:val="45"/>
        </w:numPr>
        <w:rPr>
          <w:b/>
          <w:lang w:val="en-US"/>
        </w:rPr>
      </w:pPr>
      <w:r w:rsidRPr="00120881">
        <w:rPr>
          <w:b/>
          <w:lang w:val="en-US"/>
        </w:rPr>
        <w:t>Retail:</w:t>
      </w:r>
      <w:r>
        <w:rPr>
          <w:b/>
          <w:lang w:val="en-US"/>
        </w:rPr>
        <w:t xml:space="preserve"> </w:t>
      </w:r>
      <w:r>
        <w:rPr>
          <w:lang w:val="en-US"/>
        </w:rPr>
        <w:t xml:space="preserve">Retail in CA-CIB portfolio is limited to private banking. </w:t>
      </w:r>
      <w:r w:rsidR="00685B5D">
        <w:rPr>
          <w:lang w:val="en-US"/>
        </w:rPr>
        <w:t xml:space="preserve">For confidentiality purposes, counterparties are aggregated in pools. This makes their migration unobservable in the internal database. In order to avoid having these aggregated counterparties bias the matrix construction, they are filtered from the study. They are mapped to corporate segment. </w:t>
      </w:r>
      <w:bookmarkStart w:id="20" w:name="_GoBack"/>
      <w:bookmarkEnd w:id="20"/>
    </w:p>
    <w:p w:rsidR="0000079C" w:rsidRDefault="0000079C" w:rsidP="0000079C">
      <w:pPr>
        <w:pStyle w:val="Heading1"/>
        <w:rPr>
          <w:lang w:val="en-US"/>
        </w:rPr>
      </w:pPr>
      <w:bookmarkStart w:id="21" w:name="_Ref504495625"/>
      <w:bookmarkStart w:id="22" w:name="_Toc508997161"/>
      <w:r w:rsidRPr="002F73DF">
        <w:rPr>
          <w:lang w:val="en-US"/>
        </w:rPr>
        <w:t xml:space="preserve">Matrix regularization </w:t>
      </w:r>
      <w:r w:rsidR="009A0D22" w:rsidRPr="002F73DF">
        <w:rPr>
          <w:lang w:val="en-US"/>
        </w:rPr>
        <w:t>methodology</w:t>
      </w:r>
      <w:bookmarkEnd w:id="21"/>
      <w:bookmarkEnd w:id="22"/>
    </w:p>
    <w:p w:rsidR="00F43F90" w:rsidRPr="00F43F90" w:rsidRDefault="00F43F90" w:rsidP="00F43F90">
      <w:pPr>
        <w:rPr>
          <w:lang w:val="en-US"/>
        </w:rPr>
      </w:pPr>
      <w:r>
        <w:rPr>
          <w:lang w:val="en-US"/>
        </w:rPr>
        <w:t>Observed transition matrix rates could reveal sometimes irregularities, lack of monotony following rows or columns. This section aims at describing</w:t>
      </w:r>
      <w:r w:rsidR="009A4F83">
        <w:rPr>
          <w:lang w:val="en-US"/>
        </w:rPr>
        <w:t xml:space="preserve"> motivations, methodology and the impact of </w:t>
      </w:r>
      <w:r>
        <w:rPr>
          <w:lang w:val="en-US"/>
        </w:rPr>
        <w:t xml:space="preserve">matrix regularization. </w:t>
      </w:r>
    </w:p>
    <w:p w:rsidR="000D6440" w:rsidRDefault="000D6440" w:rsidP="000D6440">
      <w:pPr>
        <w:pStyle w:val="Heading2"/>
        <w:rPr>
          <w:lang w:val="en-US"/>
        </w:rPr>
      </w:pPr>
      <w:bookmarkStart w:id="23" w:name="_Ref504494432"/>
      <w:bookmarkStart w:id="24" w:name="_Toc508997162"/>
      <w:r>
        <w:rPr>
          <w:lang w:val="en-US"/>
        </w:rPr>
        <w:t>Motivation</w:t>
      </w:r>
      <w:bookmarkEnd w:id="23"/>
      <w:bookmarkEnd w:id="24"/>
    </w:p>
    <w:p w:rsidR="009A4F83" w:rsidRDefault="009A4F83" w:rsidP="00FF67AE">
      <w:pPr>
        <w:pStyle w:val="Heading3"/>
      </w:pPr>
      <w:bookmarkStart w:id="25" w:name="_Toc508997163"/>
      <w:r>
        <w:t>Definition of a regular transition matrix</w:t>
      </w:r>
      <w:bookmarkEnd w:id="25"/>
    </w:p>
    <w:p w:rsidR="006A4C85" w:rsidRDefault="006A4C85" w:rsidP="009A4F83">
      <w:pPr>
        <w:rPr>
          <w:lang w:val="en-US"/>
        </w:rPr>
      </w:pPr>
      <w:r>
        <w:rPr>
          <w:lang w:val="en-US"/>
        </w:rPr>
        <w:t xml:space="preserve">Consider a rating scale </w:t>
      </w:r>
      <m:oMath>
        <m:r>
          <w:rPr>
            <w:rFonts w:ascii="Cambria Math" w:hAnsi="Cambria Math"/>
            <w:lang w:val="en-US"/>
          </w:rPr>
          <m:t>i=1, 2 , …, n</m:t>
        </m:r>
      </m:oMath>
      <w:r>
        <w:rPr>
          <w:lang w:val="en-US"/>
        </w:rPr>
        <w:t xml:space="preserve"> where 1 is the best rating and </w:t>
      </w:r>
      <m:oMath>
        <m:r>
          <w:rPr>
            <w:rFonts w:ascii="Cambria Math" w:hAnsi="Cambria Math"/>
            <w:lang w:val="en-US"/>
          </w:rPr>
          <m:t>n</m:t>
        </m:r>
      </m:oMath>
      <w:r>
        <w:rPr>
          <w:lang w:val="en-US"/>
        </w:rPr>
        <w:t xml:space="preserve"> is the default state. </w:t>
      </w:r>
    </w:p>
    <w:p w:rsidR="009A4F83" w:rsidRDefault="0029580A" w:rsidP="009A4F83">
      <w:pPr>
        <w:rPr>
          <w:lang w:val="en-US"/>
        </w:rPr>
      </w:pPr>
      <w:r>
        <w:rPr>
          <w:lang w:val="en-US"/>
        </w:rPr>
        <w:t xml:space="preserve">Given a Transition </w:t>
      </w:r>
      <w:r w:rsidR="00E242F9">
        <w:rPr>
          <w:lang w:val="en-US"/>
        </w:rPr>
        <w:t>Matrix</w:t>
      </w:r>
      <w:r>
        <w:rPr>
          <w:lang w:val="en-US"/>
        </w:rPr>
        <w:t xml:space="preserve">, let’s denote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oMath>
      <w:r>
        <w:rPr>
          <w:lang w:val="en-US"/>
        </w:rPr>
        <w:t xml:space="preserve">its coordinates. They represent the probability for an issuer rated </w:t>
      </w:r>
      <m:oMath>
        <m:r>
          <w:rPr>
            <w:rFonts w:ascii="Cambria Math" w:hAnsi="Cambria Math"/>
            <w:lang w:val="en-US"/>
          </w:rPr>
          <m:t>i</m:t>
        </m:r>
      </m:oMath>
      <w:r>
        <w:rPr>
          <w:lang w:val="en-US"/>
        </w:rPr>
        <w:t xml:space="preserve"> at the start date to migrate to rating </w:t>
      </w:r>
      <m:oMath>
        <m:r>
          <w:rPr>
            <w:rFonts w:ascii="Cambria Math" w:hAnsi="Cambria Math"/>
            <w:lang w:val="en-US"/>
          </w:rPr>
          <m:t>j</m:t>
        </m:r>
      </m:oMath>
      <w:r>
        <w:rPr>
          <w:lang w:val="en-US"/>
        </w:rPr>
        <w:t xml:space="preserve"> on the final date. </w:t>
      </w:r>
      <w:r w:rsidR="00AE5027">
        <w:rPr>
          <w:lang w:val="en-US"/>
        </w:rPr>
        <w:t>The coordinates of a transition matrix are expected to have the following regularities</w:t>
      </w:r>
      <w:r>
        <w:rPr>
          <w:lang w:val="en-US"/>
        </w:rPr>
        <w:t xml:space="preserve">: </w:t>
      </w:r>
    </w:p>
    <w:p w:rsidR="0029580A" w:rsidRDefault="0029580A" w:rsidP="004B3DD7">
      <w:pPr>
        <w:pStyle w:val="ListParagraph"/>
        <w:numPr>
          <w:ilvl w:val="0"/>
          <w:numId w:val="31"/>
        </w:numPr>
        <w:rPr>
          <w:lang w:val="en-US"/>
        </w:rPr>
      </w:pPr>
      <w:r>
        <w:rPr>
          <w:lang w:val="en-US"/>
        </w:rPr>
        <w:t xml:space="preserve">Ratings represent a qualitative assessment </w:t>
      </w:r>
      <w:r w:rsidR="006A4C85">
        <w:rPr>
          <w:lang w:val="en-US"/>
        </w:rPr>
        <w:t>of the credit risk quality;</w:t>
      </w:r>
      <w:r>
        <w:rPr>
          <w:lang w:val="en-US"/>
        </w:rPr>
        <w:t xml:space="preserve"> the better the rating the lower the default probability is. </w:t>
      </w:r>
      <w:r w:rsidR="006A4C85">
        <w:rPr>
          <w:lang w:val="en-US"/>
        </w:rPr>
        <w:t>This condition</w:t>
      </w:r>
      <w:r>
        <w:rPr>
          <w:lang w:val="en-US"/>
        </w:rPr>
        <w:t xml:space="preserve"> </w:t>
      </w:r>
      <w:r w:rsidR="006A4C85">
        <w:rPr>
          <w:lang w:val="en-US"/>
        </w:rPr>
        <w:t xml:space="preserve">is called default vector monotony and could be formalized as the following: </w:t>
      </w:r>
    </w:p>
    <w:p w:rsidR="006A4C85" w:rsidRPr="00134B49" w:rsidRDefault="00120881" w:rsidP="006A4C85">
      <w:pPr>
        <w:rPr>
          <w:sz w:val="22"/>
          <w:lang w:val="en-US"/>
        </w:rPr>
      </w:pPr>
      <m:oMathPara>
        <m:oMath>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i,n</m:t>
              </m:r>
            </m:sub>
          </m:sSub>
          <m:r>
            <w:rPr>
              <w:rFonts w:ascii="Cambria Math" w:hAnsi="Cambria Math"/>
              <w:sz w:val="22"/>
              <w:lang w:val="en-US"/>
            </w:rPr>
            <m:t>&lt;</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i+1,n</m:t>
              </m:r>
            </m:sub>
          </m:sSub>
          <m:r>
            <w:rPr>
              <w:rFonts w:ascii="Cambria Math" w:hAnsi="Cambria Math"/>
              <w:sz w:val="22"/>
              <w:lang w:val="en-US"/>
            </w:rPr>
            <m:t>,  for each 1≤i&lt;n</m:t>
          </m:r>
        </m:oMath>
      </m:oMathPara>
    </w:p>
    <w:p w:rsidR="00134B49" w:rsidRPr="00684E74" w:rsidRDefault="00134B49" w:rsidP="004B3DD7">
      <w:pPr>
        <w:pStyle w:val="ListParagraph"/>
        <w:numPr>
          <w:ilvl w:val="0"/>
          <w:numId w:val="31"/>
        </w:numPr>
        <w:rPr>
          <w:lang w:val="en-US"/>
        </w:rPr>
      </w:pPr>
      <w:r>
        <w:rPr>
          <w:lang w:val="en-US"/>
        </w:rPr>
        <w:t xml:space="preserve">The default state is an absorbent state, no migration from the default to a </w:t>
      </w:r>
      <w:r w:rsidR="007E2BB6">
        <w:rPr>
          <w:lang w:val="en-US"/>
        </w:rPr>
        <w:t>non-default</w:t>
      </w:r>
      <w:r>
        <w:rPr>
          <w:lang w:val="en-US"/>
        </w:rPr>
        <w:t xml:space="preserve"> state is possible. Otherwise, all migrations from state </w:t>
      </w:r>
      <m:oMath>
        <m:r>
          <w:rPr>
            <w:rFonts w:ascii="Cambria Math" w:hAnsi="Cambria Math"/>
            <w:lang w:val="en-US"/>
          </w:rPr>
          <m:t>i</m:t>
        </m:r>
      </m:oMath>
      <w:r>
        <w:rPr>
          <w:rFonts w:eastAsiaTheme="minorEastAsia"/>
          <w:lang w:val="en-US"/>
        </w:rPr>
        <w:t xml:space="preserve"> in </w:t>
      </w:r>
      <m:oMath>
        <m:r>
          <w:rPr>
            <w:rFonts w:ascii="Cambria Math" w:eastAsiaTheme="minorEastAsia" w:hAnsi="Cambria Math"/>
            <w:lang w:val="en-US"/>
          </w:rPr>
          <m:t>1…n-1</m:t>
        </m:r>
      </m:oMath>
      <w:r>
        <w:rPr>
          <w:rFonts w:eastAsiaTheme="minorEastAsia"/>
          <w:lang w:val="en-US"/>
        </w:rPr>
        <w:t xml:space="preserve"> to a state </w:t>
      </w:r>
      <m:oMath>
        <m:r>
          <w:rPr>
            <w:rFonts w:ascii="Cambria Math" w:eastAsiaTheme="minorEastAsia" w:hAnsi="Cambria Math"/>
            <w:lang w:val="en-US"/>
          </w:rPr>
          <m:t>j</m:t>
        </m:r>
      </m:oMath>
      <w:r>
        <w:rPr>
          <w:rFonts w:eastAsiaTheme="minorEastAsia"/>
          <w:lang w:val="en-US"/>
        </w:rPr>
        <w:t xml:space="preserve"> in </w:t>
      </w:r>
      <m:oMath>
        <m:r>
          <w:rPr>
            <w:rFonts w:ascii="Cambria Math" w:eastAsiaTheme="minorEastAsia" w:hAnsi="Cambria Math"/>
            <w:lang w:val="en-US"/>
          </w:rPr>
          <m:t>1…n</m:t>
        </m:r>
      </m:oMath>
      <w:r>
        <w:rPr>
          <w:rFonts w:eastAsiaTheme="minorEastAsia"/>
          <w:lang w:val="en-US"/>
        </w:rPr>
        <w:t xml:space="preserve"> </w:t>
      </w:r>
      <w:r w:rsidR="007E2BB6">
        <w:rPr>
          <w:rFonts w:eastAsiaTheme="minorEastAsia"/>
          <w:lang w:val="en-US"/>
        </w:rPr>
        <w:t>are</w:t>
      </w:r>
      <w:r>
        <w:rPr>
          <w:rFonts w:eastAsiaTheme="minorEastAsia"/>
          <w:lang w:val="en-US"/>
        </w:rPr>
        <w:t xml:space="preserve"> probable. </w:t>
      </w:r>
    </w:p>
    <w:p w:rsidR="00684E74" w:rsidRPr="00684E74" w:rsidRDefault="00120881" w:rsidP="00684E74">
      <w:pPr>
        <w:ind w:left="360"/>
        <w:jc w:val="center"/>
        <w:rPr>
          <w:rFonts w:asciiTheme="minorHAnsi" w:eastAsiaTheme="minorEastAsia" w:hAnsiTheme="minorHAnsi" w:cs="Helvetica-Bold"/>
          <w:sz w:val="22"/>
          <w:lang w:val="en-US"/>
        </w:rPr>
      </w:pPr>
      <m:oMathPara>
        <m:oMath>
          <m:d>
            <m:dPr>
              <m:begChr m:val="{"/>
              <m:endChr m:val=""/>
              <m:ctrlPr>
                <w:rPr>
                  <w:rFonts w:ascii="Cambria Math" w:eastAsiaTheme="minorEastAsia" w:hAnsi="Cambria Math" w:cs="Helvetica-Bold"/>
                  <w:i/>
                  <w:sz w:val="22"/>
                  <w:lang w:val="en-US"/>
                </w:rPr>
              </m:ctrlPr>
            </m:dPr>
            <m:e>
              <m:eqArr>
                <m:eqArrPr>
                  <m:ctrlPr>
                    <w:rPr>
                      <w:rFonts w:ascii="Cambria Math" w:eastAsiaTheme="minorEastAsia" w:hAnsi="Cambria Math" w:cs="Helvetica-Bold"/>
                      <w:i/>
                      <w:sz w:val="22"/>
                      <w:lang w:val="en-US"/>
                    </w:rPr>
                  </m:ctrlPr>
                </m:eqArrPr>
                <m:e>
                  <m:sSub>
                    <m:sSubPr>
                      <m:ctrlPr>
                        <w:rPr>
                          <w:rFonts w:ascii="Cambria Math" w:eastAsiaTheme="minorEastAsia" w:hAnsi="Cambria Math"/>
                          <w:i/>
                          <w:sz w:val="22"/>
                          <w:lang w:val="en-US"/>
                        </w:rPr>
                      </m:ctrlPr>
                    </m:sSubPr>
                    <m:e>
                      <m:r>
                        <w:rPr>
                          <w:rFonts w:ascii="Cambria Math" w:eastAsiaTheme="minorEastAsia" w:hAnsi="Cambria Math"/>
                          <w:sz w:val="22"/>
                          <w:lang w:val="en-US"/>
                        </w:rPr>
                        <m:t>p</m:t>
                      </m:r>
                    </m:e>
                    <m:sub>
                      <m:r>
                        <w:rPr>
                          <w:rFonts w:ascii="Cambria Math" w:eastAsiaTheme="minorEastAsia" w:hAnsi="Cambria Math"/>
                          <w:sz w:val="22"/>
                          <w:lang w:val="en-US"/>
                        </w:rPr>
                        <m:t>n,i</m:t>
                      </m:r>
                    </m:sub>
                  </m:sSub>
                  <m:r>
                    <w:rPr>
                      <w:rFonts w:ascii="Cambria Math" w:eastAsiaTheme="minorEastAsia" w:hAnsi="Cambria Math"/>
                      <w:sz w:val="22"/>
                      <w:lang w:val="en-US"/>
                    </w:rPr>
                    <m:t>=0,</m:t>
                  </m:r>
                  <m:r>
                    <w:rPr>
                      <w:rFonts w:ascii="Cambria Math" w:hAnsi="Cambria Math"/>
                      <w:sz w:val="22"/>
                      <w:lang w:val="en-US"/>
                    </w:rPr>
                    <m:t xml:space="preserve">  for each i≠n</m:t>
                  </m:r>
                </m:e>
                <m:e>
                  <m:sSub>
                    <m:sSubPr>
                      <m:ctrlPr>
                        <w:rPr>
                          <w:rFonts w:ascii="Cambria Math" w:eastAsiaTheme="minorEastAsia" w:hAnsi="Cambria Math" w:cs="Helvetica-Bold"/>
                          <w:i/>
                          <w:sz w:val="22"/>
                          <w:lang w:val="en-US"/>
                        </w:rPr>
                      </m:ctrlPr>
                    </m:sSubPr>
                    <m:e>
                      <m:r>
                        <w:rPr>
                          <w:rFonts w:ascii="Cambria Math" w:eastAsiaTheme="minorEastAsia" w:hAnsi="Cambria Math" w:cs="Helvetica-Bold"/>
                          <w:sz w:val="22"/>
                          <w:lang w:val="en-US"/>
                        </w:rPr>
                        <m:t>p</m:t>
                      </m:r>
                    </m:e>
                    <m:sub>
                      <m:r>
                        <w:rPr>
                          <w:rFonts w:ascii="Cambria Math" w:eastAsiaTheme="minorEastAsia" w:hAnsi="Cambria Math" w:cs="Helvetica-Bold"/>
                          <w:sz w:val="22"/>
                          <w:lang w:val="en-US"/>
                        </w:rPr>
                        <m:t>i,j</m:t>
                      </m:r>
                    </m:sub>
                  </m:sSub>
                  <m:r>
                    <w:rPr>
                      <w:rFonts w:ascii="Cambria Math" w:eastAsiaTheme="minorEastAsia" w:hAnsi="Cambria Math" w:cs="Helvetica-Bold"/>
                      <w:sz w:val="22"/>
                      <w:lang w:val="en-US"/>
                    </w:rPr>
                    <m:t xml:space="preserve">&gt;0,  for each i≠n and j </m:t>
                  </m:r>
                </m:e>
              </m:eqArr>
            </m:e>
          </m:d>
        </m:oMath>
      </m:oMathPara>
    </w:p>
    <w:p w:rsidR="006A4C85" w:rsidRDefault="006A4C85" w:rsidP="004B3DD7">
      <w:pPr>
        <w:pStyle w:val="ListParagraph"/>
        <w:numPr>
          <w:ilvl w:val="0"/>
          <w:numId w:val="31"/>
        </w:numPr>
        <w:rPr>
          <w:lang w:val="en-US"/>
        </w:rPr>
      </w:pPr>
      <w:r>
        <w:rPr>
          <w:lang w:val="en-US"/>
        </w:rPr>
        <w:t xml:space="preserve">Issuers have a higher probability of migrating to a nearer state than to a farther state. This condition is called rows monotony and could be formalized as the following: </w:t>
      </w:r>
    </w:p>
    <w:p w:rsidR="006A4C85" w:rsidRPr="009324E5" w:rsidRDefault="00120881" w:rsidP="006A4C85">
      <w:pPr>
        <w:rPr>
          <w:sz w:val="22"/>
          <w:lang w:val="en-US"/>
        </w:rPr>
      </w:pPr>
      <m:oMathPara>
        <m:oMath>
          <m:d>
            <m:dPr>
              <m:begChr m:val="{"/>
              <m:endChr m:val=""/>
              <m:ctrlPr>
                <w:rPr>
                  <w:rFonts w:ascii="Cambria Math" w:hAnsi="Cambria Math"/>
                  <w:i/>
                  <w:sz w:val="22"/>
                  <w:lang w:val="en-US"/>
                </w:rPr>
              </m:ctrlPr>
            </m:dPr>
            <m:e>
              <m:eqArr>
                <m:eqArrPr>
                  <m:ctrlPr>
                    <w:rPr>
                      <w:rFonts w:ascii="Cambria Math" w:hAnsi="Cambria Math"/>
                      <w:i/>
                      <w:sz w:val="22"/>
                      <w:lang w:val="en-US"/>
                    </w:rPr>
                  </m:ctrlPr>
                </m:eqArrPr>
                <m:e>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i,j</m:t>
                      </m:r>
                    </m:sub>
                  </m:sSub>
                  <m:r>
                    <w:rPr>
                      <w:rFonts w:ascii="Cambria Math" w:hAnsi="Cambria Math"/>
                      <w:sz w:val="22"/>
                      <w:lang w:val="en-US"/>
                    </w:rPr>
                    <m:t>&gt;</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i,j+1</m:t>
                      </m:r>
                    </m:sub>
                  </m:sSub>
                  <m:r>
                    <w:rPr>
                      <w:rFonts w:ascii="Cambria Math" w:hAnsi="Cambria Math"/>
                      <w:sz w:val="22"/>
                      <w:lang w:val="en-US"/>
                    </w:rPr>
                    <m:t>,  for each j&gt;i</m:t>
                  </m:r>
                </m:e>
                <m:e>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i,j</m:t>
                      </m:r>
                    </m:sub>
                  </m:sSub>
                  <m:r>
                    <w:rPr>
                      <w:rFonts w:ascii="Cambria Math" w:hAnsi="Cambria Math"/>
                      <w:sz w:val="22"/>
                      <w:lang w:val="en-US"/>
                    </w:rPr>
                    <m:t>&lt;</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i,j+1</m:t>
                      </m:r>
                    </m:sub>
                  </m:sSub>
                  <m:r>
                    <w:rPr>
                      <w:rFonts w:ascii="Cambria Math" w:hAnsi="Cambria Math"/>
                      <w:sz w:val="22"/>
                      <w:lang w:val="en-US"/>
                    </w:rPr>
                    <m:t>,  for each j&lt;i</m:t>
                  </m:r>
                </m:e>
              </m:eqArr>
            </m:e>
          </m:d>
          <m:r>
            <w:rPr>
              <w:rFonts w:ascii="Cambria Math" w:hAnsi="Cambria Math"/>
              <w:sz w:val="22"/>
              <w:lang w:val="en-US"/>
            </w:rPr>
            <m:t>,  for each 1≤i&lt;n</m:t>
          </m:r>
        </m:oMath>
      </m:oMathPara>
    </w:p>
    <w:p w:rsidR="006A4C85" w:rsidRDefault="006A4C85" w:rsidP="004B3DD7">
      <w:pPr>
        <w:pStyle w:val="ListParagraph"/>
        <w:numPr>
          <w:ilvl w:val="0"/>
          <w:numId w:val="31"/>
        </w:numPr>
        <w:rPr>
          <w:lang w:val="en-US"/>
        </w:rPr>
      </w:pPr>
      <w:r>
        <w:rPr>
          <w:lang w:val="en-US"/>
        </w:rPr>
        <w:t xml:space="preserve">Issuers have a higher probability of having migrated from a nearer state to the present one than from a farther state. This condition is called columns monotony and could be formalized as the following: </w:t>
      </w:r>
    </w:p>
    <w:p w:rsidR="00E242F9" w:rsidRPr="009324E5" w:rsidRDefault="00120881" w:rsidP="00E242F9">
      <w:pPr>
        <w:pStyle w:val="ListParagraph"/>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i+1,j</m:t>
                      </m:r>
                    </m:sub>
                  </m:sSub>
                  <m:r>
                    <w:rPr>
                      <w:rFonts w:ascii="Cambria Math" w:hAnsi="Cambria Math"/>
                      <w:lang w:val="en-US"/>
                    </w:rPr>
                    <m:t>,  for each i&gt;j</m:t>
                  </m:r>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i+1,j</m:t>
                      </m:r>
                    </m:sub>
                  </m:sSub>
                  <m:r>
                    <w:rPr>
                      <w:rFonts w:ascii="Cambria Math" w:hAnsi="Cambria Math"/>
                      <w:lang w:val="en-US"/>
                    </w:rPr>
                    <m:t>,  for each i&lt;j</m:t>
                  </m:r>
                </m:e>
              </m:eqArr>
            </m:e>
          </m:d>
          <m:r>
            <w:rPr>
              <w:rFonts w:ascii="Cambria Math" w:hAnsi="Cambria Math"/>
              <w:lang w:val="en-US"/>
            </w:rPr>
            <m:t>,  for each 1≤j&lt;n</m:t>
          </m:r>
        </m:oMath>
      </m:oMathPara>
    </w:p>
    <w:p w:rsidR="00684E74" w:rsidRDefault="00684E74" w:rsidP="00FF67AE">
      <w:pPr>
        <w:pStyle w:val="Heading3"/>
      </w:pPr>
      <w:bookmarkStart w:id="26" w:name="_Toc508997164"/>
      <w:r>
        <w:lastRenderedPageBreak/>
        <w:t>Example or irregular observed matrices</w:t>
      </w:r>
      <w:bookmarkEnd w:id="26"/>
      <w:r>
        <w:t xml:space="preserve"> </w:t>
      </w:r>
    </w:p>
    <w:p w:rsidR="00134B49" w:rsidRDefault="00134B49" w:rsidP="00134B49">
      <w:pPr>
        <w:rPr>
          <w:lang w:val="en-US"/>
        </w:rPr>
      </w:pPr>
      <w:r>
        <w:rPr>
          <w:lang w:val="en-US"/>
        </w:rPr>
        <w:t>Here below is an example of annual m</w:t>
      </w:r>
      <w:r w:rsidR="00684E74">
        <w:rPr>
          <w:lang w:val="en-US"/>
        </w:rPr>
        <w:t>atrices</w:t>
      </w:r>
      <w:r>
        <w:rPr>
          <w:lang w:val="en-US"/>
        </w:rPr>
        <w:t xml:space="preserve"> based on </w:t>
      </w:r>
      <w:r w:rsidR="00684E74">
        <w:rPr>
          <w:lang w:val="en-US"/>
        </w:rPr>
        <w:t xml:space="preserve">observed </w:t>
      </w:r>
      <w:r>
        <w:rPr>
          <w:lang w:val="en-US"/>
        </w:rPr>
        <w:t xml:space="preserve">internal data. </w:t>
      </w:r>
    </w:p>
    <w:p w:rsidR="00134B49" w:rsidRDefault="00134B49" w:rsidP="00134B49">
      <w:pPr>
        <w:rPr>
          <w:lang w:val="en-US"/>
        </w:rPr>
      </w:pPr>
      <w:r w:rsidRPr="00134B49">
        <w:rPr>
          <w:noProof/>
        </w:rPr>
        <w:drawing>
          <wp:inline distT="0" distB="0" distL="0" distR="0" wp14:anchorId="461342AB" wp14:editId="6BF16FC3">
            <wp:extent cx="5760720" cy="2068862"/>
            <wp:effectExtent l="0" t="0" r="0" b="7620"/>
            <wp:docPr id="1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068862"/>
                    </a:xfrm>
                    <a:prstGeom prst="rect">
                      <a:avLst/>
                    </a:prstGeom>
                    <a:noFill/>
                    <a:ln>
                      <a:noFill/>
                    </a:ln>
                    <a:effectLst/>
                    <a:extLst/>
                  </pic:spPr>
                </pic:pic>
              </a:graphicData>
            </a:graphic>
          </wp:inline>
        </w:drawing>
      </w:r>
    </w:p>
    <w:p w:rsidR="00684E74" w:rsidRDefault="00684E74" w:rsidP="00134B49">
      <w:pPr>
        <w:rPr>
          <w:lang w:val="en-US"/>
        </w:rPr>
      </w:pPr>
      <w:r w:rsidRPr="00684E74">
        <w:rPr>
          <w:noProof/>
        </w:rPr>
        <w:drawing>
          <wp:inline distT="0" distB="0" distL="0" distR="0" wp14:anchorId="28597D48" wp14:editId="0C280D26">
            <wp:extent cx="5760720" cy="1979444"/>
            <wp:effectExtent l="0" t="0" r="0" b="1905"/>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979444"/>
                    </a:xfrm>
                    <a:prstGeom prst="rect">
                      <a:avLst/>
                    </a:prstGeom>
                    <a:noFill/>
                    <a:ln>
                      <a:noFill/>
                    </a:ln>
                    <a:effectLst/>
                    <a:extLst/>
                  </pic:spPr>
                </pic:pic>
              </a:graphicData>
            </a:graphic>
          </wp:inline>
        </w:drawing>
      </w:r>
    </w:p>
    <w:p w:rsidR="00684E74" w:rsidRDefault="00684E74" w:rsidP="00134B49">
      <w:pPr>
        <w:rPr>
          <w:lang w:val="en-US"/>
        </w:rPr>
      </w:pPr>
      <w:r w:rsidRPr="00684E74">
        <w:rPr>
          <w:noProof/>
        </w:rPr>
        <w:drawing>
          <wp:inline distT="0" distB="0" distL="0" distR="0" wp14:anchorId="778D240C" wp14:editId="7CACD7DE">
            <wp:extent cx="5760720" cy="1979444"/>
            <wp:effectExtent l="0" t="0" r="0" b="1905"/>
            <wp:docPr id="35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79444"/>
                    </a:xfrm>
                    <a:prstGeom prst="rect">
                      <a:avLst/>
                    </a:prstGeom>
                    <a:noFill/>
                    <a:ln>
                      <a:noFill/>
                    </a:ln>
                    <a:effectLst/>
                    <a:extLst/>
                  </pic:spPr>
                </pic:pic>
              </a:graphicData>
            </a:graphic>
          </wp:inline>
        </w:drawing>
      </w:r>
    </w:p>
    <w:p w:rsidR="00134B49" w:rsidRDefault="00134B49" w:rsidP="00134B49">
      <w:pPr>
        <w:rPr>
          <w:lang w:val="en-US"/>
        </w:rPr>
      </w:pPr>
      <w:r>
        <w:rPr>
          <w:noProof/>
        </w:rPr>
        <w:drawing>
          <wp:inline distT="0" distB="0" distL="0" distR="0" wp14:anchorId="0DE25511" wp14:editId="3EE61291">
            <wp:extent cx="219075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0" cy="733425"/>
                    </a:xfrm>
                    <a:prstGeom prst="rect">
                      <a:avLst/>
                    </a:prstGeom>
                    <a:noFill/>
                    <a:ln>
                      <a:noFill/>
                    </a:ln>
                  </pic:spPr>
                </pic:pic>
              </a:graphicData>
            </a:graphic>
          </wp:inline>
        </w:drawing>
      </w:r>
    </w:p>
    <w:p w:rsidR="00684E74" w:rsidRDefault="00684E74" w:rsidP="00FF67AE">
      <w:pPr>
        <w:pStyle w:val="Heading3"/>
      </w:pPr>
      <w:bookmarkStart w:id="27" w:name="_Toc508997165"/>
      <w:r>
        <w:t>Evidence of statistical incertitude</w:t>
      </w:r>
      <w:bookmarkEnd w:id="27"/>
    </w:p>
    <w:p w:rsidR="00684E74" w:rsidRDefault="00684E74" w:rsidP="00134B49">
      <w:pPr>
        <w:rPr>
          <w:lang w:val="en-US"/>
        </w:rPr>
      </w:pPr>
      <w:r>
        <w:rPr>
          <w:lang w:val="en-US"/>
        </w:rPr>
        <w:t xml:space="preserve">The aim of this sub section is to demonstrate that: </w:t>
      </w:r>
    </w:p>
    <w:p w:rsidR="00684E74" w:rsidRDefault="00684E74" w:rsidP="00D97D1E">
      <w:pPr>
        <w:pStyle w:val="ListParagraph"/>
        <w:numPr>
          <w:ilvl w:val="0"/>
          <w:numId w:val="39"/>
        </w:numPr>
        <w:rPr>
          <w:lang w:val="en-US"/>
        </w:rPr>
      </w:pPr>
      <w:r>
        <w:rPr>
          <w:lang w:val="en-US"/>
        </w:rPr>
        <w:t xml:space="preserve">The estimation incertitude is the main cause of the </w:t>
      </w:r>
      <w:r w:rsidR="00CC0484">
        <w:rPr>
          <w:lang w:val="en-US"/>
        </w:rPr>
        <w:t xml:space="preserve">lack of monotony </w:t>
      </w:r>
      <w:r>
        <w:rPr>
          <w:lang w:val="en-US"/>
        </w:rPr>
        <w:t xml:space="preserve">by comparing the confidence level </w:t>
      </w:r>
      <w:r w:rsidR="00CC0484">
        <w:rPr>
          <w:lang w:val="en-US"/>
        </w:rPr>
        <w:t xml:space="preserve">to the irregularities </w:t>
      </w:r>
    </w:p>
    <w:p w:rsidR="00CC0484" w:rsidRDefault="00CC0484" w:rsidP="00D97D1E">
      <w:pPr>
        <w:pStyle w:val="ListParagraph"/>
        <w:numPr>
          <w:ilvl w:val="0"/>
          <w:numId w:val="39"/>
        </w:numPr>
        <w:rPr>
          <w:lang w:val="en-US"/>
        </w:rPr>
      </w:pPr>
      <w:r>
        <w:rPr>
          <w:lang w:val="en-US"/>
        </w:rPr>
        <w:lastRenderedPageBreak/>
        <w:t>A regularization process is statistically viable</w:t>
      </w:r>
    </w:p>
    <w:p w:rsidR="00FF67AE" w:rsidRDefault="00CC0484" w:rsidP="00CC0484">
      <w:pPr>
        <w:rPr>
          <w:lang w:val="en-US"/>
        </w:rPr>
      </w:pPr>
      <w:r>
        <w:rPr>
          <w:lang w:val="en-US"/>
        </w:rPr>
        <w:t xml:space="preserve">The number of transitions on a given line </w:t>
      </w:r>
      <w:r w:rsidR="0041248C">
        <w:rPr>
          <w:lang w:val="en-US"/>
        </w:rPr>
        <w:t xml:space="preserve">could be modeled – without any assumption – as a multinomial probability distribution. The historical observations are a stochastic realization and could be framed in confidence intervals. </w:t>
      </w:r>
    </w:p>
    <w:p w:rsidR="00685C8F" w:rsidRDefault="00685C8F" w:rsidP="00685C8F">
      <w:pPr>
        <w:pStyle w:val="Subtitle"/>
        <w:rPr>
          <w:lang w:val="en-US"/>
        </w:rPr>
      </w:pPr>
      <w:r>
        <w:rPr>
          <w:lang w:val="en-US"/>
        </w:rPr>
        <w:t>Example of transitions on rating A+</w:t>
      </w:r>
    </w:p>
    <w:p w:rsidR="00CC0484" w:rsidRDefault="0041248C" w:rsidP="00CC0484">
      <w:pPr>
        <w:rPr>
          <w:lang w:val="en-US"/>
        </w:rPr>
      </w:pPr>
      <w:r>
        <w:rPr>
          <w:lang w:val="en-US"/>
        </w:rPr>
        <w:t xml:space="preserve">The following graphic illustrates the lack of monotony in A+ observed migration </w:t>
      </w:r>
      <w:r w:rsidR="0007657C">
        <w:rPr>
          <w:lang w:val="en-US"/>
        </w:rPr>
        <w:t xml:space="preserve">to the other ratings along with the confidence intervals (sup and inf). </w:t>
      </w:r>
    </w:p>
    <w:p w:rsidR="00FF67AE" w:rsidRDefault="0041248C" w:rsidP="00CC0484">
      <w:pPr>
        <w:rPr>
          <w:lang w:val="en-US"/>
        </w:rPr>
      </w:pPr>
      <w:r w:rsidRPr="0041248C">
        <w:rPr>
          <w:noProof/>
        </w:rPr>
        <w:drawing>
          <wp:inline distT="0" distB="0" distL="0" distR="0" wp14:anchorId="1B6310A8" wp14:editId="4282B78D">
            <wp:extent cx="5586095" cy="3048513"/>
            <wp:effectExtent l="19050" t="19050" r="14605" b="19050"/>
            <wp:docPr id="21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4718" cy="3053219"/>
                    </a:xfrm>
                    <a:prstGeom prst="rect">
                      <a:avLst/>
                    </a:prstGeom>
                    <a:noFill/>
                    <a:ln w="15875">
                      <a:solidFill>
                        <a:srgbClr val="FF0000"/>
                      </a:solidFill>
                      <a:miter lim="800000"/>
                      <a:headEnd/>
                      <a:tailEnd/>
                    </a:ln>
                    <a:effectLst/>
                    <a:extLst/>
                  </pic:spPr>
                </pic:pic>
              </a:graphicData>
            </a:graphic>
          </wp:inline>
        </w:drawing>
      </w:r>
    </w:p>
    <w:p w:rsidR="00685C8F" w:rsidRDefault="00685C8F" w:rsidP="00685C8F">
      <w:pPr>
        <w:rPr>
          <w:lang w:val="en-US"/>
        </w:rPr>
      </w:pPr>
      <w:r>
        <w:rPr>
          <w:lang w:val="en-US"/>
        </w:rPr>
        <w:t xml:space="preserve">The main findings of this graphic are: </w:t>
      </w:r>
    </w:p>
    <w:p w:rsidR="00685C8F" w:rsidRDefault="00685C8F" w:rsidP="00D97D1E">
      <w:pPr>
        <w:pStyle w:val="ListParagraph"/>
        <w:numPr>
          <w:ilvl w:val="0"/>
          <w:numId w:val="40"/>
        </w:numPr>
        <w:rPr>
          <w:lang w:val="en-US"/>
        </w:rPr>
      </w:pPr>
      <w:r>
        <w:rPr>
          <w:lang w:val="en-US"/>
        </w:rPr>
        <w:t xml:space="preserve">The lack of monotony (illustrated by the flags), are non-significant compared to the confidence intervals, this suggests that estimation incertitude is the main cause of the irregularities. </w:t>
      </w:r>
    </w:p>
    <w:p w:rsidR="00685C8F" w:rsidRPr="0007657C" w:rsidRDefault="00685C8F" w:rsidP="00D97D1E">
      <w:pPr>
        <w:pStyle w:val="ListParagraph"/>
        <w:numPr>
          <w:ilvl w:val="0"/>
          <w:numId w:val="40"/>
        </w:numPr>
        <w:rPr>
          <w:lang w:val="en-US"/>
        </w:rPr>
      </w:pPr>
      <w:r>
        <w:rPr>
          <w:lang w:val="en-US"/>
        </w:rPr>
        <w:t>One could imagine a</w:t>
      </w:r>
      <w:r w:rsidRPr="0007657C">
        <w:rPr>
          <w:lang w:val="en-US"/>
        </w:rPr>
        <w:t xml:space="preserve"> regular (monotonic) solution within the confidence interval</w:t>
      </w:r>
      <w:r>
        <w:rPr>
          <w:lang w:val="en-US"/>
        </w:rPr>
        <w:t xml:space="preserve">. This </w:t>
      </w:r>
      <w:r w:rsidRPr="0007657C">
        <w:rPr>
          <w:lang w:val="en-US"/>
        </w:rPr>
        <w:t xml:space="preserve">makes a regularization process statistically viable. </w:t>
      </w:r>
    </w:p>
    <w:p w:rsidR="00FF67AE" w:rsidRDefault="00FF67AE" w:rsidP="00685C8F">
      <w:pPr>
        <w:pStyle w:val="Subtitle"/>
        <w:rPr>
          <w:lang w:val="en-US"/>
        </w:rPr>
      </w:pPr>
      <w:r>
        <w:rPr>
          <w:lang w:val="en-US"/>
        </w:rPr>
        <w:t xml:space="preserve">Sensitivity study </w:t>
      </w:r>
    </w:p>
    <w:p w:rsidR="00685C8F" w:rsidRDefault="00685C8F" w:rsidP="00685C8F">
      <w:pPr>
        <w:rPr>
          <w:lang w:val="en-US"/>
        </w:rPr>
      </w:pPr>
      <w:r>
        <w:rPr>
          <w:lang w:val="en-US"/>
        </w:rPr>
        <w:t xml:space="preserve">This study shows the impact of adding 1 observation on the matrix rates. </w:t>
      </w:r>
    </w:p>
    <w:p w:rsidR="00685C8F" w:rsidRDefault="00685C8F" w:rsidP="00685C8F">
      <w:pPr>
        <w:rPr>
          <w:lang w:val="en-US"/>
        </w:rPr>
      </w:pPr>
      <w:r>
        <w:rPr>
          <w:lang w:val="en-US"/>
        </w:rPr>
        <w:t xml:space="preserve">Initial: </w:t>
      </w:r>
    </w:p>
    <w:p w:rsidR="00685C8F" w:rsidRDefault="00685C8F" w:rsidP="00685C8F">
      <w:pPr>
        <w:rPr>
          <w:lang w:val="en-US"/>
        </w:rPr>
      </w:pPr>
      <w:r w:rsidRPr="00685C8F">
        <w:rPr>
          <w:noProof/>
        </w:rPr>
        <w:drawing>
          <wp:inline distT="0" distB="0" distL="0" distR="0" wp14:anchorId="2BC870BE" wp14:editId="4399FEAB">
            <wp:extent cx="5760720" cy="396869"/>
            <wp:effectExtent l="0" t="0" r="0" b="381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6869"/>
                    </a:xfrm>
                    <a:prstGeom prst="rect">
                      <a:avLst/>
                    </a:prstGeom>
                    <a:noFill/>
                    <a:ln>
                      <a:noFill/>
                    </a:ln>
                    <a:effectLst/>
                    <a:extLst/>
                  </pic:spPr>
                </pic:pic>
              </a:graphicData>
            </a:graphic>
          </wp:inline>
        </w:drawing>
      </w:r>
    </w:p>
    <w:p w:rsidR="00685C8F" w:rsidRDefault="00685C8F" w:rsidP="00685C8F">
      <w:pPr>
        <w:rPr>
          <w:lang w:val="en-US"/>
        </w:rPr>
      </w:pPr>
      <w:r>
        <w:rPr>
          <w:lang w:val="en-US"/>
        </w:rPr>
        <w:t xml:space="preserve">Adding 1 observation: </w:t>
      </w:r>
    </w:p>
    <w:p w:rsidR="00685C8F" w:rsidRDefault="00685C8F" w:rsidP="00685C8F">
      <w:pPr>
        <w:rPr>
          <w:lang w:val="en-US"/>
        </w:rPr>
      </w:pPr>
      <w:r w:rsidRPr="00685C8F">
        <w:rPr>
          <w:noProof/>
        </w:rPr>
        <w:drawing>
          <wp:inline distT="0" distB="0" distL="0" distR="0" wp14:anchorId="05CBB134" wp14:editId="7259CB83">
            <wp:extent cx="5760720" cy="396869"/>
            <wp:effectExtent l="0" t="0" r="0" b="3810"/>
            <wp:docPr id="19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6869"/>
                    </a:xfrm>
                    <a:prstGeom prst="rect">
                      <a:avLst/>
                    </a:prstGeom>
                    <a:noFill/>
                    <a:ln>
                      <a:noFill/>
                    </a:ln>
                    <a:effectLst/>
                    <a:extLst/>
                  </pic:spPr>
                </pic:pic>
              </a:graphicData>
            </a:graphic>
          </wp:inline>
        </w:drawing>
      </w:r>
    </w:p>
    <w:p w:rsidR="00685C8F" w:rsidRDefault="00685C8F" w:rsidP="00685C8F">
      <w:pPr>
        <w:rPr>
          <w:lang w:val="en-US"/>
        </w:rPr>
      </w:pPr>
      <w:r>
        <w:rPr>
          <w:lang w:val="en-US"/>
        </w:rPr>
        <w:t>Results: (Example A+/A+ = 82.81% vs 82.96% = -0.2%)</w:t>
      </w:r>
    </w:p>
    <w:p w:rsidR="00685C8F" w:rsidRDefault="00685C8F" w:rsidP="00685C8F">
      <w:pPr>
        <w:rPr>
          <w:lang w:val="en-US"/>
        </w:rPr>
      </w:pPr>
      <w:r w:rsidRPr="00685C8F">
        <w:rPr>
          <w:noProof/>
        </w:rPr>
        <w:lastRenderedPageBreak/>
        <w:drawing>
          <wp:inline distT="0" distB="0" distL="0" distR="0" wp14:anchorId="79E1668F" wp14:editId="57287375">
            <wp:extent cx="5760720" cy="1854504"/>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54504"/>
                    </a:xfrm>
                    <a:prstGeom prst="rect">
                      <a:avLst/>
                    </a:prstGeom>
                    <a:noFill/>
                    <a:ln>
                      <a:noFill/>
                    </a:ln>
                    <a:effectLst/>
                    <a:extLst/>
                  </pic:spPr>
                </pic:pic>
              </a:graphicData>
            </a:graphic>
          </wp:inline>
        </w:drawing>
      </w:r>
    </w:p>
    <w:p w:rsidR="00685C8F" w:rsidRDefault="00685C8F" w:rsidP="00685C8F">
      <w:pPr>
        <w:rPr>
          <w:lang w:val="en-US"/>
        </w:rPr>
      </w:pPr>
      <w:r>
        <w:rPr>
          <w:lang w:val="en-US"/>
        </w:rPr>
        <w:t xml:space="preserve">Findings: </w:t>
      </w:r>
    </w:p>
    <w:p w:rsidR="00685C8F" w:rsidRDefault="00685C8F" w:rsidP="00D97D1E">
      <w:pPr>
        <w:pStyle w:val="ListParagraph"/>
        <w:numPr>
          <w:ilvl w:val="0"/>
          <w:numId w:val="40"/>
        </w:numPr>
        <w:rPr>
          <w:lang w:val="en-US"/>
        </w:rPr>
      </w:pPr>
      <w:r>
        <w:rPr>
          <w:lang w:val="en-US"/>
        </w:rPr>
        <w:t>Some matrix coordinates are significantly sensitive to 1 observation. This leads to high estimation incertitude</w:t>
      </w:r>
    </w:p>
    <w:p w:rsidR="00685C8F" w:rsidRDefault="00685C8F" w:rsidP="00685C8F">
      <w:pPr>
        <w:pStyle w:val="Subtitle"/>
        <w:rPr>
          <w:lang w:val="en-US"/>
        </w:rPr>
      </w:pPr>
      <w:r>
        <w:rPr>
          <w:lang w:val="en-US"/>
        </w:rPr>
        <w:t xml:space="preserve">Default vector example </w:t>
      </w:r>
    </w:p>
    <w:p w:rsidR="00685C8F" w:rsidRDefault="00685C8F" w:rsidP="00685C8F">
      <w:pPr>
        <w:jc w:val="center"/>
        <w:rPr>
          <w:lang w:val="en-US"/>
        </w:rPr>
      </w:pPr>
      <w:r>
        <w:rPr>
          <w:noProof/>
        </w:rPr>
        <w:drawing>
          <wp:inline distT="0" distB="0" distL="0" distR="0" wp14:anchorId="45E244EB" wp14:editId="147AB70D">
            <wp:extent cx="4981575"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6988"/>
                    <a:stretch/>
                  </pic:blipFill>
                  <pic:spPr bwMode="auto">
                    <a:xfrm>
                      <a:off x="0" y="0"/>
                      <a:ext cx="4982375" cy="2448318"/>
                    </a:xfrm>
                    <a:prstGeom prst="rect">
                      <a:avLst/>
                    </a:prstGeom>
                    <a:noFill/>
                    <a:ln>
                      <a:noFill/>
                    </a:ln>
                    <a:extLst>
                      <a:ext uri="{53640926-AAD7-44D8-BBD7-CCE9431645EC}">
                        <a14:shadowObscured xmlns:a14="http://schemas.microsoft.com/office/drawing/2010/main"/>
                      </a:ext>
                    </a:extLst>
                  </pic:spPr>
                </pic:pic>
              </a:graphicData>
            </a:graphic>
          </wp:inline>
        </w:drawing>
      </w:r>
    </w:p>
    <w:p w:rsidR="00891D34" w:rsidRDefault="00891D34" w:rsidP="00891D34">
      <w:pPr>
        <w:rPr>
          <w:lang w:val="en-US"/>
        </w:rPr>
      </w:pPr>
      <w:r>
        <w:rPr>
          <w:lang w:val="en-US"/>
        </w:rPr>
        <w:t xml:space="preserve">The main findings of this graphic are: </w:t>
      </w:r>
    </w:p>
    <w:p w:rsidR="00891D34" w:rsidRDefault="00891D34" w:rsidP="00D97D1E">
      <w:pPr>
        <w:pStyle w:val="ListParagraph"/>
        <w:numPr>
          <w:ilvl w:val="0"/>
          <w:numId w:val="40"/>
        </w:numPr>
        <w:rPr>
          <w:lang w:val="en-US"/>
        </w:rPr>
      </w:pPr>
      <w:r>
        <w:rPr>
          <w:lang w:val="en-US"/>
        </w:rPr>
        <w:t xml:space="preserve">The lack of monotony (illustrated by the flags), are non-significant compared to the confidence intervals, this suggests that estimation incertitude is the main cause of the irregularities. </w:t>
      </w:r>
    </w:p>
    <w:p w:rsidR="00891D34" w:rsidRPr="00891D34" w:rsidRDefault="00891D34" w:rsidP="00D97D1E">
      <w:pPr>
        <w:pStyle w:val="ListParagraph"/>
        <w:numPr>
          <w:ilvl w:val="0"/>
          <w:numId w:val="40"/>
        </w:numPr>
        <w:rPr>
          <w:lang w:val="en-US"/>
        </w:rPr>
      </w:pPr>
      <w:r>
        <w:rPr>
          <w:lang w:val="en-US"/>
        </w:rPr>
        <w:t>One could imagine a</w:t>
      </w:r>
      <w:r w:rsidRPr="0007657C">
        <w:rPr>
          <w:lang w:val="en-US"/>
        </w:rPr>
        <w:t xml:space="preserve"> regular (monotonic) solution within the confidence interval</w:t>
      </w:r>
      <w:r>
        <w:rPr>
          <w:lang w:val="en-US"/>
        </w:rPr>
        <w:t xml:space="preserve">. This </w:t>
      </w:r>
      <w:r w:rsidRPr="0007657C">
        <w:rPr>
          <w:lang w:val="en-US"/>
        </w:rPr>
        <w:t xml:space="preserve">makes a regularization process statistically viable. </w:t>
      </w:r>
    </w:p>
    <w:p w:rsidR="000D6440" w:rsidRDefault="000D6440" w:rsidP="000D6440">
      <w:pPr>
        <w:pStyle w:val="Heading2"/>
        <w:rPr>
          <w:lang w:val="en-US"/>
        </w:rPr>
      </w:pPr>
      <w:bookmarkStart w:id="28" w:name="_Toc508997166"/>
      <w:r>
        <w:rPr>
          <w:lang w:val="en-US"/>
        </w:rPr>
        <w:t>Methodology description</w:t>
      </w:r>
      <w:bookmarkEnd w:id="28"/>
    </w:p>
    <w:p w:rsidR="00891D34" w:rsidRDefault="00891D34" w:rsidP="00254D59">
      <w:pPr>
        <w:keepNext/>
        <w:jc w:val="center"/>
      </w:pPr>
      <w:r>
        <w:rPr>
          <w:noProof/>
        </w:rPr>
        <w:lastRenderedPageBreak/>
        <w:drawing>
          <wp:inline distT="0" distB="0" distL="0" distR="0" wp14:anchorId="42CD32BB" wp14:editId="552014F0">
            <wp:extent cx="6160355" cy="340283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197" cy="3403849"/>
                    </a:xfrm>
                    <a:prstGeom prst="rect">
                      <a:avLst/>
                    </a:prstGeom>
                    <a:noFill/>
                  </pic:spPr>
                </pic:pic>
              </a:graphicData>
            </a:graphic>
          </wp:inline>
        </w:drawing>
      </w:r>
    </w:p>
    <w:p w:rsidR="00891D34" w:rsidRDefault="00891D34" w:rsidP="00891D34">
      <w:pPr>
        <w:pStyle w:val="Caption"/>
      </w:pPr>
      <w:r>
        <w:t xml:space="preserve">Figure </w:t>
      </w:r>
      <w:r>
        <w:fldChar w:fldCharType="begin"/>
      </w:r>
      <w:r>
        <w:instrText xml:space="preserve"> SEQ Figure \* ARABIC </w:instrText>
      </w:r>
      <w:r>
        <w:fldChar w:fldCharType="separate"/>
      </w:r>
      <w:r w:rsidR="009E28F9">
        <w:rPr>
          <w:noProof/>
        </w:rPr>
        <w:t>2</w:t>
      </w:r>
      <w:r>
        <w:fldChar w:fldCharType="end"/>
      </w:r>
      <w:r>
        <w:t>: Overview of the regularization principle</w:t>
      </w:r>
    </w:p>
    <w:p w:rsidR="004B3DD7" w:rsidRDefault="004B3DD7" w:rsidP="004B3DD7">
      <w:pPr>
        <w:pStyle w:val="Subtitle"/>
        <w:rPr>
          <w:lang w:val="en-US"/>
        </w:rPr>
      </w:pPr>
      <w:r>
        <w:rPr>
          <w:lang w:val="en-US"/>
        </w:rPr>
        <w:t>Tested approaches</w:t>
      </w:r>
    </w:p>
    <w:p w:rsidR="004B3DD7" w:rsidRDefault="004B3DD7" w:rsidP="004B3DD7">
      <w:pPr>
        <w:pStyle w:val="ListParagraph"/>
        <w:numPr>
          <w:ilvl w:val="0"/>
          <w:numId w:val="26"/>
        </w:numPr>
        <w:rPr>
          <w:lang w:val="en-US"/>
        </w:rPr>
      </w:pPr>
      <w:r w:rsidRPr="00CD0E8B">
        <w:rPr>
          <w:lang w:val="en-US"/>
        </w:rPr>
        <w:t xml:space="preserve">A local smoothing approach was tested. The principle is to spot the lack of monotony, for example between B+ and D+, and exponentially smooth between these two points. </w:t>
      </w:r>
    </w:p>
    <w:p w:rsidR="004B3DD7" w:rsidRDefault="004B3DD7" w:rsidP="004B3DD7">
      <w:pPr>
        <w:pStyle w:val="ListParagraph"/>
        <w:rPr>
          <w:lang w:val="en-US"/>
        </w:rPr>
      </w:pPr>
      <w:r>
        <w:rPr>
          <w:lang w:val="en-US"/>
        </w:rPr>
        <w:t xml:space="preserve">Pros: </w:t>
      </w:r>
    </w:p>
    <w:p w:rsidR="004B3DD7" w:rsidRDefault="004B3DD7" w:rsidP="00D97D1E">
      <w:pPr>
        <w:pStyle w:val="ListParagraph"/>
        <w:numPr>
          <w:ilvl w:val="1"/>
          <w:numId w:val="40"/>
        </w:numPr>
        <w:rPr>
          <w:lang w:val="en-US"/>
        </w:rPr>
      </w:pPr>
      <w:r>
        <w:rPr>
          <w:lang w:val="en-US"/>
        </w:rPr>
        <w:t xml:space="preserve">Part of the observations remain unchanged from the observation </w:t>
      </w:r>
    </w:p>
    <w:p w:rsidR="004B3DD7" w:rsidRDefault="004B3DD7" w:rsidP="00D97D1E">
      <w:pPr>
        <w:pStyle w:val="ListParagraph"/>
        <w:numPr>
          <w:ilvl w:val="1"/>
          <w:numId w:val="40"/>
        </w:numPr>
        <w:rPr>
          <w:lang w:val="en-US"/>
        </w:rPr>
      </w:pPr>
      <w:r>
        <w:rPr>
          <w:lang w:val="en-US"/>
        </w:rPr>
        <w:t>Simplicity</w:t>
      </w:r>
    </w:p>
    <w:p w:rsidR="004B3DD7" w:rsidRPr="00CD0E8B" w:rsidRDefault="004B3DD7" w:rsidP="004B3DD7">
      <w:pPr>
        <w:pStyle w:val="ListParagraph"/>
        <w:rPr>
          <w:lang w:val="en-US"/>
        </w:rPr>
      </w:pPr>
      <w:r>
        <w:rPr>
          <w:lang w:val="en-US"/>
        </w:rPr>
        <w:t>Cons:</w:t>
      </w:r>
    </w:p>
    <w:p w:rsidR="004B3DD7" w:rsidRDefault="004B3DD7" w:rsidP="00D97D1E">
      <w:pPr>
        <w:pStyle w:val="ListParagraph"/>
        <w:numPr>
          <w:ilvl w:val="1"/>
          <w:numId w:val="40"/>
        </w:numPr>
        <w:rPr>
          <w:lang w:val="en-US"/>
        </w:rPr>
      </w:pPr>
      <w:r>
        <w:rPr>
          <w:lang w:val="en-US"/>
        </w:rPr>
        <w:t>It is subject to a judgment: which are the legitimate points and which are regular points? The graphic below shows that the impact of this judgment is significant</w:t>
      </w:r>
    </w:p>
    <w:p w:rsidR="004B3DD7" w:rsidRDefault="004B3DD7" w:rsidP="00D97D1E">
      <w:pPr>
        <w:pStyle w:val="ListParagraph"/>
        <w:numPr>
          <w:ilvl w:val="1"/>
          <w:numId w:val="40"/>
        </w:numPr>
        <w:rPr>
          <w:lang w:val="en-US"/>
        </w:rPr>
      </w:pPr>
      <w:r>
        <w:rPr>
          <w:lang w:val="en-US"/>
        </w:rPr>
        <w:t xml:space="preserve">The method force to ignore observations considered as not legitimate. Note that each point is an aggregation of numerous observations of survival and defaults. </w:t>
      </w:r>
    </w:p>
    <w:p w:rsidR="004B3DD7" w:rsidRDefault="004B3DD7" w:rsidP="00D97D1E">
      <w:pPr>
        <w:pStyle w:val="ListParagraph"/>
        <w:numPr>
          <w:ilvl w:val="1"/>
          <w:numId w:val="40"/>
        </w:numPr>
        <w:rPr>
          <w:lang w:val="en-US"/>
        </w:rPr>
      </w:pPr>
      <w:r>
        <w:rPr>
          <w:lang w:val="en-US"/>
        </w:rPr>
        <w:t>The method cannot be automated</w:t>
      </w:r>
    </w:p>
    <w:p w:rsidR="004B3DD7" w:rsidRDefault="004B3DD7" w:rsidP="004B3DD7">
      <w:pPr>
        <w:pStyle w:val="ListParagraph"/>
        <w:numPr>
          <w:ilvl w:val="0"/>
          <w:numId w:val="26"/>
        </w:numPr>
        <w:rPr>
          <w:lang w:val="en-US"/>
        </w:rPr>
      </w:pPr>
      <w:r>
        <w:rPr>
          <w:lang w:val="en-US"/>
        </w:rPr>
        <w:t xml:space="preserve">Global exponential smoothing on the whole vector. </w:t>
      </w:r>
    </w:p>
    <w:p w:rsidR="004B3DD7" w:rsidRDefault="004B3DD7" w:rsidP="004B3DD7">
      <w:pPr>
        <w:ind w:left="360" w:firstLine="348"/>
        <w:rPr>
          <w:lang w:val="en-US"/>
        </w:rPr>
      </w:pPr>
      <w:r>
        <w:rPr>
          <w:lang w:val="en-US"/>
        </w:rPr>
        <w:t>Pros:</w:t>
      </w:r>
    </w:p>
    <w:p w:rsidR="004B3DD7" w:rsidRDefault="004B3DD7" w:rsidP="00D97D1E">
      <w:pPr>
        <w:pStyle w:val="ListParagraph"/>
        <w:numPr>
          <w:ilvl w:val="1"/>
          <w:numId w:val="40"/>
        </w:numPr>
        <w:rPr>
          <w:lang w:val="en-US"/>
        </w:rPr>
      </w:pPr>
      <w:r>
        <w:rPr>
          <w:lang w:val="en-US"/>
        </w:rPr>
        <w:t xml:space="preserve">It </w:t>
      </w:r>
      <w:r w:rsidRPr="007E2BB6">
        <w:rPr>
          <w:lang w:val="en-US"/>
        </w:rPr>
        <w:t>is not subject to any judgment</w:t>
      </w:r>
    </w:p>
    <w:p w:rsidR="004B3DD7" w:rsidRDefault="004B3DD7" w:rsidP="00D97D1E">
      <w:pPr>
        <w:pStyle w:val="ListParagraph"/>
        <w:numPr>
          <w:ilvl w:val="1"/>
          <w:numId w:val="40"/>
        </w:numPr>
        <w:rPr>
          <w:lang w:val="en-US"/>
        </w:rPr>
      </w:pPr>
      <w:r>
        <w:rPr>
          <w:lang w:val="en-US"/>
        </w:rPr>
        <w:t>Can be automated</w:t>
      </w:r>
    </w:p>
    <w:p w:rsidR="004B3DD7" w:rsidRDefault="004B3DD7" w:rsidP="004B3DD7">
      <w:pPr>
        <w:ind w:left="360" w:firstLine="348"/>
        <w:rPr>
          <w:lang w:val="en-US"/>
        </w:rPr>
      </w:pPr>
      <w:r>
        <w:rPr>
          <w:lang w:val="en-US"/>
        </w:rPr>
        <w:t xml:space="preserve">Cons: </w:t>
      </w:r>
    </w:p>
    <w:p w:rsidR="004B3DD7" w:rsidRPr="007E2BB6" w:rsidRDefault="004B3DD7" w:rsidP="00D97D1E">
      <w:pPr>
        <w:pStyle w:val="ListParagraph"/>
        <w:numPr>
          <w:ilvl w:val="1"/>
          <w:numId w:val="40"/>
        </w:numPr>
        <w:rPr>
          <w:lang w:val="en-US"/>
        </w:rPr>
      </w:pPr>
      <w:r>
        <w:rPr>
          <w:lang w:val="en-US"/>
        </w:rPr>
        <w:t>It does not take into account the number of observations on each point and is sensitive to adding 1 observation to a migration</w:t>
      </w:r>
    </w:p>
    <w:p w:rsidR="004B3DD7" w:rsidRPr="007E2BB6" w:rsidRDefault="004B3DD7" w:rsidP="004B3DD7">
      <w:pPr>
        <w:rPr>
          <w:lang w:val="en-US"/>
        </w:rPr>
      </w:pPr>
    </w:p>
    <w:p w:rsidR="004B3DD7" w:rsidRDefault="004B3DD7" w:rsidP="004B3DD7">
      <w:pPr>
        <w:rPr>
          <w:lang w:val="en-US"/>
        </w:rPr>
      </w:pPr>
      <w:r w:rsidRPr="00CD0E8B">
        <w:rPr>
          <w:noProof/>
        </w:rPr>
        <w:lastRenderedPageBreak/>
        <w:drawing>
          <wp:inline distT="0" distB="0" distL="0" distR="0" wp14:anchorId="4AD00F55" wp14:editId="2AE9090C">
            <wp:extent cx="5760720" cy="3528946"/>
            <wp:effectExtent l="0" t="0" r="0" b="0"/>
            <wp:docPr id="24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28946"/>
                    </a:xfrm>
                    <a:prstGeom prst="rect">
                      <a:avLst/>
                    </a:prstGeom>
                    <a:noFill/>
                    <a:ln>
                      <a:noFill/>
                    </a:ln>
                    <a:effectLst/>
                    <a:extLst/>
                  </pic:spPr>
                </pic:pic>
              </a:graphicData>
            </a:graphic>
          </wp:inline>
        </w:drawing>
      </w:r>
    </w:p>
    <w:p w:rsidR="004B3DD7" w:rsidRPr="004B3DD7" w:rsidRDefault="004B3DD7" w:rsidP="004B3DD7">
      <w:pPr>
        <w:rPr>
          <w:lang w:val="en-US"/>
        </w:rPr>
      </w:pPr>
    </w:p>
    <w:p w:rsidR="00891D34" w:rsidRDefault="00CD0E8B" w:rsidP="00CD0E8B">
      <w:pPr>
        <w:pStyle w:val="Heading3"/>
      </w:pPr>
      <w:bookmarkStart w:id="29" w:name="_Toc508997167"/>
      <w:r>
        <w:t>Default vector regularization</w:t>
      </w:r>
      <w:bookmarkEnd w:id="29"/>
      <w:r>
        <w:t xml:space="preserve"> </w:t>
      </w:r>
    </w:p>
    <w:p w:rsidR="00CD0E8B" w:rsidRDefault="007E2BB6" w:rsidP="007E2BB6">
      <w:pPr>
        <w:pStyle w:val="Subtitle"/>
        <w:rPr>
          <w:lang w:val="en-US"/>
        </w:rPr>
      </w:pPr>
      <w:r>
        <w:rPr>
          <w:lang w:val="en-US"/>
        </w:rPr>
        <w:t>Used approach</w:t>
      </w:r>
    </w:p>
    <w:p w:rsidR="007E2BB6" w:rsidRDefault="004D49B0" w:rsidP="007E2BB6">
      <w:pPr>
        <w:rPr>
          <w:lang w:val="en-US"/>
        </w:rPr>
      </w:pPr>
      <w:r>
        <w:rPr>
          <w:lang w:val="en-US"/>
        </w:rPr>
        <w:t xml:space="preserve">One could model </w:t>
      </w:r>
      <w:r w:rsidR="007E2BB6">
        <w:rPr>
          <w:lang w:val="en-US"/>
        </w:rPr>
        <w:t>each observation of {Default / Survival}</w:t>
      </w:r>
      <w:r>
        <w:rPr>
          <w:lang w:val="en-US"/>
        </w:rPr>
        <w:t xml:space="preserve"> as</w:t>
      </w:r>
      <w:r w:rsidR="007E2BB6">
        <w:rPr>
          <w:lang w:val="en-US"/>
        </w:rPr>
        <w:t xml:space="preserve"> a Bernoulli distribution</w:t>
      </w:r>
      <w:r>
        <w:rPr>
          <w:lang w:val="en-US"/>
        </w:rPr>
        <w:t>, by assuming that the issuers are independent and identically distributed</w:t>
      </w:r>
      <w:r w:rsidR="007E2BB6">
        <w:rPr>
          <w:lang w:val="en-US"/>
        </w:rPr>
        <w:t xml:space="preserve">. </w:t>
      </w:r>
      <w:r>
        <w:rPr>
          <w:lang w:val="en-US"/>
        </w:rPr>
        <w:t xml:space="preserve">The rating </w:t>
      </w:r>
      <m:oMath>
        <m:r>
          <w:rPr>
            <w:rFonts w:ascii="Cambria Math" w:hAnsi="Cambria Math"/>
            <w:lang w:val="en-US"/>
          </w:rPr>
          <m:t>i</m:t>
        </m:r>
      </m:oMath>
      <w:r>
        <w:rPr>
          <w:lang w:val="en-US"/>
        </w:rPr>
        <w:t xml:space="preserve"> Bernoulli parameters are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oMath>
      <w:r>
        <w:rPr>
          <w:lang w:val="en-US"/>
        </w:rPr>
        <w:t>.</w:t>
      </w:r>
    </w:p>
    <w:p w:rsidR="004D49B0" w:rsidRDefault="004D49B0" w:rsidP="007E2BB6">
      <w:pPr>
        <w:rPr>
          <w:lang w:val="en-US"/>
        </w:rPr>
      </w:pPr>
      <w:r>
        <w:rPr>
          <w:lang w:val="en-US"/>
        </w:rPr>
        <w:t xml:space="preserve">Let’s denote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the number of surviving issuers rated </w:t>
      </w:r>
      <m:oMath>
        <m:r>
          <w:rPr>
            <w:rFonts w:ascii="Cambria Math" w:hAnsi="Cambria Math"/>
            <w:lang w:val="en-US"/>
          </w:rPr>
          <m:t>i</m:t>
        </m:r>
      </m:oMath>
      <w:r>
        <w:rPr>
          <w:lang w:val="en-US"/>
        </w:rPr>
        <w:t xml:space="preserve"> on the initial date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Pr>
          <w:lang w:val="en-US"/>
        </w:rPr>
        <w:t xml:space="preserve"> the number of defaulting issuers on the final date. The empirical (or observed) default rate is given by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oMath>
      <w:r>
        <w:rPr>
          <w:lang w:val="en-US"/>
        </w:rPr>
        <w:t xml:space="preserve">. </w:t>
      </w:r>
    </w:p>
    <w:p w:rsidR="004D49B0" w:rsidRDefault="004D49B0" w:rsidP="007E2BB6">
      <w:pPr>
        <w:rPr>
          <w:lang w:val="en-US"/>
        </w:rPr>
      </w:pPr>
      <w:r>
        <w:rPr>
          <w:lang w:val="en-US"/>
        </w:rPr>
        <w:t xml:space="preserve">It follows that for each rating </w:t>
      </w:r>
      <m:oMath>
        <m:r>
          <w:rPr>
            <w:rFonts w:ascii="Cambria Math" w:hAnsi="Cambria Math"/>
            <w:lang w:val="en-US"/>
          </w:rPr>
          <m:t>i</m:t>
        </m:r>
      </m:oMath>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is deterministic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Pr>
          <w:lang w:val="en-US"/>
        </w:rPr>
        <w:t xml:space="preserve"> follows a Binomial distribution </w:t>
      </w:r>
      <m:oMath>
        <m:r>
          <m:rPr>
            <m:scr m:val="script"/>
          </m:rPr>
          <w:rPr>
            <w:rFonts w:ascii="Cambria Math" w:hAnsi="Cambria Math"/>
            <w:lang w:val="en-US"/>
          </w:rPr>
          <m:t>B</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e>
        </m:d>
      </m:oMath>
      <w:r>
        <w:rPr>
          <w:lang w:val="en-US"/>
        </w:rPr>
        <w:t xml:space="preserve">. </w:t>
      </w:r>
    </w:p>
    <w:p w:rsidR="00754E69" w:rsidRDefault="006B5637" w:rsidP="006B5637">
      <w:pPr>
        <w:rPr>
          <w:lang w:val="en-US"/>
        </w:rPr>
      </w:pPr>
      <w:r>
        <w:rPr>
          <w:lang w:val="en-US"/>
        </w:rPr>
        <w:t xml:space="preserve">The methodology is basically a calibration of </w:t>
      </w:r>
      <m:oMath>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e>
            </m:d>
          </m:e>
          <m:sub>
            <m:r>
              <w:rPr>
                <w:rFonts w:ascii="Cambria Math" w:hAnsi="Cambria Math"/>
                <w:lang w:val="en-US"/>
              </w:rPr>
              <m:t>i</m:t>
            </m:r>
          </m:sub>
        </m:sSub>
      </m:oMath>
      <w:r>
        <w:rPr>
          <w:lang w:val="en-US"/>
        </w:rPr>
        <w:t xml:space="preserve"> </w:t>
      </w:r>
      <w:r w:rsidR="00754E69">
        <w:rPr>
          <w:lang w:val="en-US"/>
        </w:rPr>
        <w:t xml:space="preserve">by likelihood maximization </w:t>
      </w:r>
      <w:r>
        <w:rPr>
          <w:lang w:val="en-US"/>
        </w:rPr>
        <w:t xml:space="preserve">subject to </w:t>
      </w:r>
      <w:r w:rsidR="00754E69">
        <w:rPr>
          <w:lang w:val="en-US"/>
        </w:rPr>
        <w:t xml:space="preserve">the constraints: </w:t>
      </w:r>
    </w:p>
    <w:p w:rsidR="00754E69" w:rsidRPr="00754E69" w:rsidRDefault="00754E69" w:rsidP="009F0545">
      <w:pPr>
        <w:pStyle w:val="ListParagraph"/>
        <w:numPr>
          <w:ilvl w:val="0"/>
          <w:numId w:val="28"/>
        </w:numPr>
        <w:rPr>
          <w:lang w:val="en-US"/>
        </w:rPr>
      </w:pPr>
      <w:r>
        <w:rPr>
          <w:lang w:val="en-US"/>
        </w:rPr>
        <w:t xml:space="preserve">Strict positivity: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&gt;0,  for each i</m:t>
        </m:r>
      </m:oMath>
    </w:p>
    <w:p w:rsidR="00754E69" w:rsidRPr="00754E69" w:rsidRDefault="00754E69" w:rsidP="009F0545">
      <w:pPr>
        <w:pStyle w:val="ListParagraph"/>
        <w:numPr>
          <w:ilvl w:val="0"/>
          <w:numId w:val="28"/>
        </w:numPr>
        <w:rPr>
          <w:lang w:val="en-US"/>
        </w:rPr>
      </w:pPr>
      <w:r>
        <w:rPr>
          <w:rFonts w:eastAsiaTheme="minorEastAsia"/>
          <w:lang w:val="en-US"/>
        </w:rPr>
        <w:t xml:space="preserve">Strict increasing: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i,n</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i-1,n</m:t>
            </m:r>
          </m:sub>
        </m:sSub>
        <m:r>
          <w:rPr>
            <w:rFonts w:ascii="Cambria Math" w:eastAsiaTheme="minorEastAsia" w:hAnsi="Cambria Math"/>
            <w:lang w:val="en-US"/>
          </w:rPr>
          <m:t>,  for each i</m:t>
        </m:r>
      </m:oMath>
    </w:p>
    <w:p w:rsidR="009F0545" w:rsidRPr="009F0545" w:rsidRDefault="00754E69" w:rsidP="009F0545">
      <w:pPr>
        <w:pStyle w:val="ListParagraph"/>
        <w:numPr>
          <w:ilvl w:val="0"/>
          <w:numId w:val="28"/>
        </w:numPr>
        <w:rPr>
          <w:lang w:val="en-US"/>
        </w:rPr>
      </w:pPr>
      <w:r>
        <w:rPr>
          <w:rFonts w:eastAsiaTheme="minorEastAsia"/>
          <w:lang w:val="en-US"/>
        </w:rPr>
        <w:t xml:space="preserve">Global DR unchanged: </w:t>
      </w:r>
    </w:p>
    <w:p w:rsidR="00754E69" w:rsidRPr="00754E69" w:rsidRDefault="009F0545" w:rsidP="009F0545">
      <w:pPr>
        <w:pStyle w:val="ListParagraph"/>
        <w:rPr>
          <w:lang w:val="en-US"/>
        </w:rPr>
      </w:pPr>
      <m:oMathPara>
        <m:oMath>
          <m:r>
            <w:rPr>
              <w:rFonts w:ascii="Cambria Math" w:eastAsiaTheme="minorEastAsia" w:hAnsi="Cambria Math"/>
              <w:lang w:val="en-US"/>
            </w:rPr>
            <m:t>DR=</m:t>
          </m:r>
          <m:f>
            <m:fPr>
              <m:ctrlPr>
                <w:rPr>
                  <w:rFonts w:ascii="Cambria Math" w:eastAsiaTheme="minorEastAsia" w:hAnsi="Cambria Math"/>
                  <w:i/>
                  <w:lang w:val="en-US"/>
                </w:rPr>
              </m:ctrlPr>
            </m:fPr>
            <m:num>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e>
              </m:nary>
            </m:num>
            <m:den>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e>
              </m:nary>
            </m:den>
          </m:f>
          <m:r>
            <w:rPr>
              <w:rFonts w:ascii="Cambria Math" w:eastAsiaTheme="minorEastAsia" w:hAnsi="Cambria Math"/>
              <w:lang w:val="en-US"/>
            </w:rPr>
            <m:t>=</m:t>
          </m:r>
          <m:f>
            <m:fPr>
              <m:ctrlPr>
                <w:rPr>
                  <w:rFonts w:ascii="Cambria Math" w:eastAsiaTheme="minorEastAsia" w:hAnsi="Cambria Math"/>
                  <w:i/>
                  <w:lang w:val="en-US"/>
                </w:rPr>
              </m:ctrlPr>
            </m:fPr>
            <m:num>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e>
              </m:nary>
            </m:num>
            <m:den>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e>
              </m:nary>
            </m:den>
          </m:f>
        </m:oMath>
      </m:oMathPara>
    </w:p>
    <w:p w:rsidR="006B5637" w:rsidRDefault="009F0545" w:rsidP="006B5637">
      <w:pPr>
        <w:rPr>
          <w:lang w:val="en-US"/>
        </w:rPr>
      </w:pPr>
      <w:r>
        <w:rPr>
          <w:lang w:val="en-US"/>
        </w:rPr>
        <w:t xml:space="preserve">Note that, when </w:t>
      </w:r>
      <w:r w:rsidR="006B5637">
        <w:rPr>
          <w:lang w:val="en-US"/>
        </w:rPr>
        <w:t xml:space="preserve">constraints </w:t>
      </w:r>
      <w:r>
        <w:rPr>
          <w:lang w:val="en-US"/>
        </w:rPr>
        <w:t xml:space="preserve">1 and 2 </w:t>
      </w:r>
      <w:r w:rsidR="006B5637">
        <w:rPr>
          <w:lang w:val="en-US"/>
        </w:rPr>
        <w:t xml:space="preserve">are met, the empirical default rates are the solution. </w:t>
      </w:r>
    </w:p>
    <w:p w:rsidR="00754E69" w:rsidRDefault="00754E69" w:rsidP="006B5637">
      <w:pPr>
        <w:rPr>
          <w:lang w:val="en-US"/>
        </w:rPr>
      </w:pPr>
      <w:r>
        <w:rPr>
          <w:lang w:val="en-US"/>
        </w:rPr>
        <w:t>In order to model the constraint, an exponential shape</w:t>
      </w:r>
      <w:r w:rsidR="009F0545">
        <w:rPr>
          <w:lang w:val="en-US"/>
        </w:rPr>
        <w:t xml:space="preserve"> (</w:t>
      </w:r>
      <m:oMath>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θ.i</m:t>
                </m:r>
              </m:e>
            </m:d>
          </m:e>
        </m:func>
      </m:oMath>
      <w:r w:rsidR="009F0545">
        <w:rPr>
          <w:lang w:val="en-US"/>
        </w:rPr>
        <w:t>)</w:t>
      </w:r>
      <w:r>
        <w:rPr>
          <w:lang w:val="en-US"/>
        </w:rPr>
        <w:t xml:space="preserve"> is used because it fits both constraints and the likelihood function is concave, allowing for global unique maxima. </w:t>
      </w:r>
    </w:p>
    <w:p w:rsidR="00754E69" w:rsidRDefault="00754E69" w:rsidP="006B5637">
      <w:pPr>
        <w:rPr>
          <w:lang w:val="en-US"/>
        </w:rPr>
      </w:pPr>
      <w:r>
        <w:rPr>
          <w:lang w:val="en-US"/>
        </w:rPr>
        <w:t xml:space="preserve">Let’s shape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oMath>
      <w:r>
        <w:rPr>
          <w:lang w:val="en-US"/>
        </w:rPr>
        <w:t xml:space="preserve"> as the following: </w:t>
      </w:r>
    </w:p>
    <w:p w:rsidR="00754E69" w:rsidRDefault="00120881" w:rsidP="006B5637">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d>
            <m:dPr>
              <m:ctrlPr>
                <w:rPr>
                  <w:rFonts w:ascii="Cambria Math" w:hAnsi="Cambria Math"/>
                  <w:i/>
                  <w:lang w:val="en-US"/>
                </w:rPr>
              </m:ctrlPr>
            </m:dPr>
            <m:e>
              <m:r>
                <w:rPr>
                  <w:rFonts w:ascii="Cambria Math" w:hAnsi="Cambria Math"/>
                  <w:lang w:val="en-US"/>
                </w:rPr>
                <m:t>A, θ</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r>
                    <w:rPr>
                      <w:rFonts w:ascii="Cambria Math" w:hAnsi="Cambria Math"/>
                      <w:lang w:val="en-US"/>
                    </w:rPr>
                    <m:t>,  if constraints 1 and 2 are met</m:t>
                  </m:r>
                </m:e>
                <m:e>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θ.i</m:t>
                          </m:r>
                        </m:e>
                      </m:d>
                    </m:e>
                  </m:func>
                  <m:r>
                    <w:rPr>
                      <w:rFonts w:ascii="Cambria Math" w:hAnsi="Cambria Math"/>
                      <w:lang w:val="en-US"/>
                    </w:rPr>
                    <m:t>,  otherwise</m:t>
                  </m:r>
                </m:e>
              </m:eqArr>
            </m:e>
          </m:d>
        </m:oMath>
      </m:oMathPara>
    </w:p>
    <w:p w:rsidR="00754E69" w:rsidRDefault="009F0545" w:rsidP="006B5637">
      <w:pPr>
        <w:rPr>
          <w:lang w:val="en-US"/>
        </w:rPr>
      </w:pPr>
      <w:r>
        <w:rPr>
          <w:lang w:val="en-US"/>
        </w:rPr>
        <w:t xml:space="preserve">Constraint 3 links directly </w:t>
      </w:r>
      <m:oMath>
        <m:r>
          <w:rPr>
            <w:rFonts w:ascii="Cambria Math" w:hAnsi="Cambria Math"/>
            <w:lang w:val="en-US"/>
          </w:rPr>
          <m:t>A</m:t>
        </m:r>
      </m:oMath>
      <w:r>
        <w:rPr>
          <w:lang w:val="en-US"/>
        </w:rPr>
        <w:t xml:space="preserve"> with </w:t>
      </w:r>
      <m:oMath>
        <m:r>
          <w:rPr>
            <w:rFonts w:ascii="Cambria Math" w:hAnsi="Cambria Math"/>
            <w:lang w:val="en-US"/>
          </w:rPr>
          <m:t>θ</m:t>
        </m:r>
      </m:oMath>
      <w:r>
        <w:rPr>
          <w:lang w:val="en-US"/>
        </w:rPr>
        <w:t xml:space="preserve"> and observed defaults. </w:t>
      </w:r>
    </w:p>
    <w:p w:rsidR="009F0545" w:rsidRPr="009F0545" w:rsidRDefault="009F0545" w:rsidP="006B5637">
      <w:pPr>
        <w:rPr>
          <w:lang w:val="en-US"/>
        </w:rPr>
      </w:pPr>
      <m:oMathPara>
        <m:oMath>
          <m:r>
            <w:rPr>
              <w:rFonts w:ascii="Cambria Math" w:hAnsi="Cambria Math"/>
              <w:lang w:val="en-US"/>
            </w:rPr>
            <w:lastRenderedPageBreak/>
            <m:t>A=</m:t>
          </m:r>
          <m:f>
            <m:fPr>
              <m:ctrlPr>
                <w:rPr>
                  <w:rFonts w:ascii="Cambria Math" w:hAnsi="Cambria Math"/>
                  <w:i/>
                  <w:lang w:val="en-US"/>
                </w:rPr>
              </m:ctrlPr>
            </m:fPr>
            <m:num>
              <m:nary>
                <m:naryPr>
                  <m:chr m:val="∑"/>
                  <m:ctrlPr>
                    <w:rPr>
                      <w:rFonts w:ascii="Cambria Math" w:hAnsi="Cambria Math"/>
                      <w:i/>
                      <w:lang w:val="en-US"/>
                    </w:rPr>
                  </m:ctrlPr>
                </m:naryPr>
                <m:sub>
                  <m:r>
                    <w:rPr>
                      <w:rFonts w:ascii="Cambria Math" w:hAnsi="Cambria Math"/>
                      <w:lang w:val="en-US"/>
                    </w:rPr>
                    <m:t>j=1</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e>
              </m:nary>
            </m:num>
            <m:den>
              <m:nary>
                <m:naryPr>
                  <m:chr m:val="∑"/>
                  <m:ctrlPr>
                    <w:rPr>
                      <w:rFonts w:ascii="Cambria Math" w:hAnsi="Cambria Math"/>
                      <w:i/>
                      <w:lang w:val="en-US"/>
                    </w:rPr>
                  </m:ctrlPr>
                </m:naryPr>
                <m:sub>
                  <m:r>
                    <w:rPr>
                      <w:rFonts w:ascii="Cambria Math" w:hAnsi="Cambria Math"/>
                      <w:lang w:val="en-US"/>
                    </w:rPr>
                    <m:t>j=1</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θ.j</m:t>
                          </m:r>
                        </m:e>
                      </m:d>
                    </m:e>
                  </m:func>
                </m:e>
              </m:nary>
            </m:den>
          </m:f>
        </m:oMath>
      </m:oMathPara>
    </w:p>
    <w:p w:rsidR="009F0545" w:rsidRPr="009F0545" w:rsidRDefault="009F0545" w:rsidP="006B5637">
      <w:pPr>
        <w:rPr>
          <w:lang w:val="en-US"/>
        </w:rPr>
      </w:pPr>
      <w:r>
        <w:rPr>
          <w:lang w:val="en-US"/>
        </w:rPr>
        <w:t xml:space="preserve">Therefore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oMath>
      <w:r>
        <w:rPr>
          <w:lang w:val="en-US"/>
        </w:rPr>
        <w:t xml:space="preserve"> are given by: </w:t>
      </w:r>
    </w:p>
    <w:p w:rsidR="009F0545" w:rsidRDefault="00120881" w:rsidP="009F0545">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r>
                    <w:rPr>
                      <w:rFonts w:ascii="Cambria Math" w:hAnsi="Cambria Math"/>
                      <w:lang w:val="en-US"/>
                    </w:rPr>
                    <m:t>,  if constraints 1 and 2 are met</m:t>
                  </m:r>
                </m:e>
                <m:e>
                  <m:f>
                    <m:fPr>
                      <m:ctrlPr>
                        <w:rPr>
                          <w:rFonts w:ascii="Cambria Math" w:hAnsi="Cambria Math"/>
                          <w:i/>
                          <w:lang w:val="en-US"/>
                        </w:rPr>
                      </m:ctrlPr>
                    </m:fPr>
                    <m:num>
                      <m:nary>
                        <m:naryPr>
                          <m:chr m:val="∑"/>
                          <m:ctrlPr>
                            <w:rPr>
                              <w:rFonts w:ascii="Cambria Math" w:hAnsi="Cambria Math"/>
                              <w:i/>
                              <w:lang w:val="en-US"/>
                            </w:rPr>
                          </m:ctrlPr>
                        </m:naryPr>
                        <m:sub>
                          <m:r>
                            <w:rPr>
                              <w:rFonts w:ascii="Cambria Math" w:hAnsi="Cambria Math"/>
                              <w:lang w:val="en-US"/>
                            </w:rPr>
                            <m:t>j=1</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e>
                      </m:nary>
                    </m:num>
                    <m:den>
                      <m:nary>
                        <m:naryPr>
                          <m:chr m:val="∑"/>
                          <m:ctrlPr>
                            <w:rPr>
                              <w:rFonts w:ascii="Cambria Math" w:hAnsi="Cambria Math"/>
                              <w:i/>
                              <w:lang w:val="en-US"/>
                            </w:rPr>
                          </m:ctrlPr>
                        </m:naryPr>
                        <m:sub>
                          <m:r>
                            <w:rPr>
                              <w:rFonts w:ascii="Cambria Math" w:hAnsi="Cambria Math"/>
                              <w:lang w:val="en-US"/>
                            </w:rPr>
                            <m:t>j=1</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θ.j</m:t>
                                  </m:r>
                                </m:e>
                              </m:d>
                            </m:e>
                          </m:func>
                        </m:e>
                      </m:nary>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θ.i</m:t>
                          </m:r>
                        </m:e>
                      </m:d>
                    </m:e>
                  </m:func>
                  <m:r>
                    <w:rPr>
                      <w:rFonts w:ascii="Cambria Math" w:hAnsi="Cambria Math"/>
                      <w:lang w:val="en-US"/>
                    </w:rPr>
                    <m:t>,  otherwise</m:t>
                  </m:r>
                </m:e>
              </m:eqArr>
            </m:e>
          </m:d>
        </m:oMath>
      </m:oMathPara>
    </w:p>
    <w:p w:rsidR="009F0545" w:rsidRDefault="009F0545" w:rsidP="006B5637">
      <w:pPr>
        <w:rPr>
          <w:lang w:val="en-US"/>
        </w:rPr>
      </w:pPr>
    </w:p>
    <w:p w:rsidR="00754E69" w:rsidRPr="00AB4A76" w:rsidRDefault="00AB4A76" w:rsidP="006B5637">
      <w:pPr>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sSub>
                <m:sSubPr>
                  <m:ctrlPr>
                    <w:rPr>
                      <w:rFonts w:ascii="Cambria Math" w:hAnsi="Cambria Math"/>
                      <w:i/>
                      <w:lang w:val="en-US"/>
                    </w:rPr>
                  </m:ctrlPr>
                </m:sSubPr>
                <m:e>
                  <m:r>
                    <m:rPr>
                      <m:scr m:val="script"/>
                    </m:rPr>
                    <w:rPr>
                      <w:rFonts w:ascii="Cambria Math" w:hAnsi="Cambria Math"/>
                      <w:lang w:val="en-US"/>
                    </w:rPr>
                    <m:t>L</m:t>
                  </m:r>
                </m:e>
                <m:sub>
                  <m:r>
                    <w:rPr>
                      <w:rFonts w:ascii="Cambria Math" w:hAnsi="Cambria Math"/>
                      <w:lang w:val="en-US"/>
                    </w:rPr>
                    <m:t>i</m:t>
                  </m:r>
                </m:sub>
              </m:sSub>
            </m:e>
          </m:nary>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i,n</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sup>
                  </m:sSubSup>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sup>
                  </m:sSup>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e>
              </m:d>
            </m:e>
          </m:nary>
        </m:oMath>
      </m:oMathPara>
    </w:p>
    <w:p w:rsidR="00AB4A76" w:rsidRPr="001B0B33" w:rsidRDefault="00120881" w:rsidP="006B5637">
      <w:pPr>
        <w:rPr>
          <w:lang w:val="en-US"/>
        </w:rPr>
      </w:pPr>
      <m:oMathPara>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≔argmax</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θ</m:t>
                  </m:r>
                </m:e>
              </m:d>
            </m:e>
          </m:d>
        </m:oMath>
      </m:oMathPara>
    </w:p>
    <w:p w:rsidR="001B0B33" w:rsidRDefault="001B0B33" w:rsidP="001B0B33">
      <w:pPr>
        <w:pStyle w:val="Subtitle"/>
        <w:rPr>
          <w:lang w:val="en-US"/>
        </w:rPr>
      </w:pPr>
      <w:r>
        <w:rPr>
          <w:lang w:val="en-US"/>
        </w:rPr>
        <w:t xml:space="preserve">Result example </w:t>
      </w:r>
    </w:p>
    <w:p w:rsidR="001B0B33" w:rsidRDefault="001B0B33" w:rsidP="001B0B33">
      <w:pPr>
        <w:rPr>
          <w:lang w:val="en-US"/>
        </w:rPr>
      </w:pPr>
      <w:r w:rsidRPr="001B0B33">
        <w:rPr>
          <w:noProof/>
        </w:rPr>
        <w:drawing>
          <wp:inline distT="0" distB="0" distL="0" distR="0" wp14:anchorId="490CCAAE" wp14:editId="0AC84D55">
            <wp:extent cx="5760720" cy="3528946"/>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528946"/>
                    </a:xfrm>
                    <a:prstGeom prst="rect">
                      <a:avLst/>
                    </a:prstGeom>
                    <a:noFill/>
                    <a:ln>
                      <a:noFill/>
                    </a:ln>
                    <a:effectLst/>
                    <a:extLst/>
                  </pic:spPr>
                </pic:pic>
              </a:graphicData>
            </a:graphic>
          </wp:inline>
        </w:drawing>
      </w:r>
    </w:p>
    <w:p w:rsidR="001B0B33" w:rsidRPr="001B0B33" w:rsidRDefault="001B0B33" w:rsidP="001B0B33">
      <w:pPr>
        <w:jc w:val="center"/>
        <w:rPr>
          <w:lang w:val="en-US"/>
        </w:rPr>
      </w:pPr>
      <w:r w:rsidRPr="001B0B33">
        <w:rPr>
          <w:noProof/>
        </w:rPr>
        <w:drawing>
          <wp:inline distT="0" distB="0" distL="0" distR="0" wp14:anchorId="414B5A5F" wp14:editId="02D6B39A">
            <wp:extent cx="2178215" cy="2409758"/>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215" cy="24097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B0B33" w:rsidRDefault="001B0B33" w:rsidP="001B0B33">
      <w:pPr>
        <w:pStyle w:val="Heading3"/>
      </w:pPr>
      <w:bookmarkStart w:id="30" w:name="_Toc508997168"/>
      <w:r>
        <w:lastRenderedPageBreak/>
        <w:t>Migration probability regularization</w:t>
      </w:r>
      <w:bookmarkEnd w:id="30"/>
    </w:p>
    <w:p w:rsidR="001B0B33" w:rsidRDefault="004B3DD7" w:rsidP="004B3DD7">
      <w:pPr>
        <w:pStyle w:val="Subtitle"/>
        <w:rPr>
          <w:lang w:val="en-US"/>
        </w:rPr>
      </w:pPr>
      <w:r>
        <w:rPr>
          <w:lang w:val="en-US"/>
        </w:rPr>
        <w:t>Used approach</w:t>
      </w:r>
    </w:p>
    <w:p w:rsidR="009A4777" w:rsidRPr="009A4777" w:rsidRDefault="009A4777" w:rsidP="009A4777">
      <w:pPr>
        <w:rPr>
          <w:lang w:val="en-US"/>
        </w:rPr>
      </w:pPr>
      <w:r>
        <w:rPr>
          <w:lang w:val="en-US"/>
        </w:rPr>
        <w:t xml:space="preserve">Let’s denote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i,j</m:t>
            </m:r>
          </m:sub>
        </m:sSub>
      </m:oMath>
      <w:r>
        <w:rPr>
          <w:lang w:val="en-US"/>
        </w:rPr>
        <w:t xml:space="preserve"> the number of observed migrations from </w:t>
      </w:r>
      <m:oMath>
        <m:r>
          <w:rPr>
            <w:rFonts w:ascii="Cambria Math" w:hAnsi="Cambria Math"/>
            <w:lang w:val="en-US"/>
          </w:rPr>
          <m:t>i</m:t>
        </m:r>
      </m:oMath>
      <w:r>
        <w:rPr>
          <w:lang w:val="en-US"/>
        </w:rPr>
        <w:t xml:space="preserve"> to </w:t>
      </w:r>
      <m:oMath>
        <m:r>
          <w:rPr>
            <w:rFonts w:ascii="Cambria Math" w:hAnsi="Cambria Math"/>
            <w:lang w:val="en-US"/>
          </w:rPr>
          <m:t>j</m:t>
        </m:r>
      </m:oMath>
      <w:r>
        <w:rPr>
          <w:lang w:val="en-US"/>
        </w:rPr>
        <w:t xml:space="preserve">. Consequently,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j</m:t>
            </m:r>
          </m: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i,j</m:t>
                </m:r>
              </m:sub>
            </m:sSub>
          </m:e>
        </m:nary>
      </m:oMath>
      <w:r>
        <w:rPr>
          <w:lang w:val="en-US"/>
        </w:rPr>
        <w:t xml:space="preserve"> and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Pr>
          <w:lang w:val="en-US"/>
        </w:rPr>
        <w:t xml:space="preserve">. </w:t>
      </w:r>
    </w:p>
    <w:p w:rsidR="004B3DD7" w:rsidRDefault="004B3DD7" w:rsidP="004B3DD7">
      <w:pPr>
        <w:rPr>
          <w:lang w:val="en-US"/>
        </w:rPr>
      </w:pPr>
      <w:r>
        <w:rPr>
          <w:lang w:val="en-US"/>
        </w:rPr>
        <w:t xml:space="preserve">Each row is regularized separately. For each initial rating </w:t>
      </w:r>
      <m:oMath>
        <m:r>
          <w:rPr>
            <w:rFonts w:ascii="Cambria Math" w:hAnsi="Cambria Math"/>
            <w:lang w:val="en-US"/>
          </w:rPr>
          <m:t>i</m:t>
        </m:r>
      </m:oMath>
      <w:r>
        <w:rPr>
          <w:lang w:val="en-US"/>
        </w:rPr>
        <w:t xml:space="preserve">, one could assume that issuers are i.i.d and model the numbers of observed migrations as a multinomial distribution with parameters </w:t>
      </w:r>
      <m:oMath>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e>
            </m:d>
          </m:e>
          <m:sub>
            <m:r>
              <w:rPr>
                <w:rFonts w:ascii="Cambria Math" w:hAnsi="Cambria Math"/>
                <w:lang w:val="en-US"/>
              </w:rPr>
              <m:t>j</m:t>
            </m:r>
          </m:sub>
        </m:sSub>
      </m:oMath>
      <w:r>
        <w:rPr>
          <w:lang w:val="en-US"/>
        </w:rPr>
        <w:t xml:space="preserve">. </w:t>
      </w:r>
    </w:p>
    <w:p w:rsidR="004B3DD7" w:rsidRDefault="004B3DD7" w:rsidP="004B3DD7">
      <w:pPr>
        <w:rPr>
          <w:lang w:val="en-US"/>
        </w:rPr>
      </w:pPr>
      <w:r>
        <w:rPr>
          <w:lang w:val="en-US"/>
        </w:rPr>
        <w:t xml:space="preserve">The method is a parallel calibration of each </w:t>
      </w:r>
      <m:oMath>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e>
            </m:d>
          </m:e>
          <m:sub>
            <m:r>
              <w:rPr>
                <w:rFonts w:ascii="Cambria Math" w:hAnsi="Cambria Math"/>
                <w:lang w:val="en-US"/>
              </w:rPr>
              <m:t>j</m:t>
            </m:r>
          </m:sub>
        </m:sSub>
      </m:oMath>
      <w:r>
        <w:rPr>
          <w:lang w:val="en-US"/>
        </w:rPr>
        <w:t xml:space="preserve"> for each </w:t>
      </w:r>
      <m:oMath>
        <m:r>
          <w:rPr>
            <w:rFonts w:ascii="Cambria Math" w:hAnsi="Cambria Math"/>
            <w:lang w:val="en-US"/>
          </w:rPr>
          <m:t>i</m:t>
        </m:r>
      </m:oMath>
      <w:r>
        <w:rPr>
          <w:lang w:val="en-US"/>
        </w:rPr>
        <w:t xml:space="preserve"> subject to the following constraints: </w:t>
      </w:r>
    </w:p>
    <w:p w:rsidR="004B3DD7" w:rsidRPr="004B3DD7" w:rsidRDefault="004B3DD7" w:rsidP="004B3DD7">
      <w:pPr>
        <w:pStyle w:val="ListParagraph"/>
        <w:numPr>
          <w:ilvl w:val="0"/>
          <w:numId w:val="30"/>
        </w:numPr>
        <w:rPr>
          <w:lang w:val="en-US"/>
        </w:rPr>
      </w:pPr>
      <w:r w:rsidRPr="004B3DD7">
        <w:rPr>
          <w:rFonts w:ascii="Arial" w:eastAsia="Times New Roman" w:hAnsi="Arial" w:cs="Times New Roman"/>
          <w:bCs w:val="0"/>
          <w:sz w:val="20"/>
          <w:lang w:val="en-US" w:eastAsia="fr-FR"/>
        </w:rPr>
        <w:t>Strict</w:t>
      </w:r>
      <w:r w:rsidR="00F22067">
        <w:rPr>
          <w:rFonts w:ascii="Arial" w:eastAsia="Times New Roman" w:hAnsi="Arial" w:cs="Times New Roman"/>
          <w:bCs w:val="0"/>
          <w:sz w:val="20"/>
          <w:lang w:val="en-US" w:eastAsia="fr-FR"/>
        </w:rPr>
        <w:t xml:space="preserve">ly decreasing from the diagonal </w:t>
      </w: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  for each j&gt;i</m:t>
                </m:r>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  for each j&lt;i</m:t>
                </m:r>
              </m:e>
            </m:eqArr>
          </m:e>
        </m:d>
        <m:r>
          <w:rPr>
            <w:rFonts w:ascii="Cambria Math" w:hAnsi="Cambria Math"/>
            <w:lang w:val="en-US"/>
          </w:rPr>
          <m:t>,  for each 1≤i&lt;n</m:t>
        </m:r>
      </m:oMath>
    </w:p>
    <w:p w:rsidR="004B3DD7" w:rsidRPr="00F22067" w:rsidRDefault="00F22067" w:rsidP="004B3DD7">
      <w:pPr>
        <w:pStyle w:val="ListParagraph"/>
        <w:numPr>
          <w:ilvl w:val="0"/>
          <w:numId w:val="30"/>
        </w:numPr>
        <w:rPr>
          <w:lang w:val="en-US"/>
        </w:rPr>
      </w:pPr>
      <w:r>
        <w:rPr>
          <w:lang w:val="en-US"/>
        </w:rPr>
        <w:t xml:space="preserve">Strict positivity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&gt;0</m:t>
        </m:r>
      </m:oMath>
      <w:r>
        <w:rPr>
          <w:rFonts w:eastAsiaTheme="minorEastAsia"/>
          <w:lang w:val="en-US"/>
        </w:rPr>
        <w:t xml:space="preserve">, for each </w:t>
      </w:r>
      <m:oMath>
        <m:r>
          <w:rPr>
            <w:rFonts w:ascii="Cambria Math" w:eastAsiaTheme="minorEastAsia" w:hAnsi="Cambria Math"/>
            <w:lang w:val="en-US"/>
          </w:rPr>
          <m:t xml:space="preserve">i≠n </m:t>
        </m:r>
      </m:oMath>
      <w:r>
        <w:rPr>
          <w:rFonts w:eastAsiaTheme="minorEastAsia"/>
          <w:lang w:val="en-US"/>
        </w:rPr>
        <w:t xml:space="preserve"> and </w:t>
      </w:r>
      <m:oMath>
        <m:r>
          <w:rPr>
            <w:rFonts w:ascii="Cambria Math" w:eastAsiaTheme="minorEastAsia" w:hAnsi="Cambria Math"/>
            <w:lang w:val="en-US"/>
          </w:rPr>
          <m:t>j</m:t>
        </m:r>
      </m:oMath>
    </w:p>
    <w:p w:rsidR="00F22067" w:rsidRPr="007762B0" w:rsidRDefault="007762B0" w:rsidP="004B3DD7">
      <w:pPr>
        <w:pStyle w:val="ListParagraph"/>
        <w:numPr>
          <w:ilvl w:val="0"/>
          <w:numId w:val="30"/>
        </w:numPr>
        <w:rPr>
          <w:lang w:val="en-US"/>
        </w:rPr>
      </w:pPr>
      <w:r>
        <w:rPr>
          <w:lang w:val="en-US"/>
        </w:rPr>
        <w:t xml:space="preserve">Maintaining the probability of default on each rating: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oMath>
      <w:r>
        <w:rPr>
          <w:rFonts w:eastAsiaTheme="minorEastAsia"/>
          <w:lang w:val="en-US"/>
        </w:rPr>
        <w:t xml:space="preserve"> is obtained in step 1</w:t>
      </w:r>
    </w:p>
    <w:p w:rsidR="007762B0" w:rsidRPr="007762B0" w:rsidRDefault="007762B0" w:rsidP="007762B0">
      <w:pPr>
        <w:pStyle w:val="ListParagraph"/>
        <w:numPr>
          <w:ilvl w:val="0"/>
          <w:numId w:val="30"/>
        </w:numPr>
        <w:rPr>
          <w:lang w:val="en-US"/>
        </w:rPr>
      </w:pPr>
      <w:r>
        <w:rPr>
          <w:rFonts w:eastAsiaTheme="minorEastAsia"/>
          <w:lang w:val="en-US"/>
        </w:rPr>
        <w:t>For each rating, maintaining the overall probabilities of upgrade and downgrade. This leads naturally to unchanged diagonal</w:t>
      </w:r>
    </w:p>
    <w:p w:rsidR="004B3DD7" w:rsidRDefault="004B3DD7" w:rsidP="004B3DD7">
      <w:pPr>
        <w:rPr>
          <w:lang w:val="en-US"/>
        </w:rPr>
      </w:pPr>
      <w:r>
        <w:rPr>
          <w:lang w:val="en-US"/>
        </w:rPr>
        <w:t xml:space="preserve">In order to fit the constraints, the following exponential shape is used. </w:t>
      </w:r>
    </w:p>
    <w:p w:rsidR="007762B0" w:rsidRPr="007762B0" w:rsidRDefault="00120881" w:rsidP="004B3DD7">
      <w:pPr>
        <w:rPr>
          <w:iC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i</m:t>
              </m:r>
            </m:sub>
            <m:sup>
              <m:r>
                <w:rPr>
                  <w:rFonts w:ascii="Cambria Math" w:hAnsi="Cambria Math"/>
                  <w:lang w:val="en-US"/>
                </w:rPr>
                <m:t>U</m:t>
              </m:r>
            </m:sup>
          </m:sSubSup>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U</m:t>
                      </m:r>
                    </m:sup>
                  </m:sSubSup>
                  <m:d>
                    <m:dPr>
                      <m:begChr m:val="|"/>
                      <m:endChr m:val="|"/>
                      <m:ctrlPr>
                        <w:rPr>
                          <w:rFonts w:ascii="Cambria Math" w:hAnsi="Cambria Math"/>
                          <w:i/>
                          <w:lang w:val="en-US"/>
                        </w:rPr>
                      </m:ctrlPr>
                    </m:dPr>
                    <m:e>
                      <m:r>
                        <w:rPr>
                          <w:rFonts w:ascii="Cambria Math" w:hAnsi="Cambria Math"/>
                          <w:lang w:val="en-US"/>
                        </w:rPr>
                        <m:t>j-i</m:t>
                      </m:r>
                    </m:e>
                  </m:d>
                </m:e>
              </m:d>
            </m:e>
          </m:func>
          <m:r>
            <w:rPr>
              <w:rFonts w:ascii="Cambria Math" w:hAnsi="Cambria Math"/>
              <w:lang w:val="en-US"/>
            </w:rPr>
            <m:t>.</m:t>
          </m:r>
          <m:sSub>
            <m:sSubPr>
              <m:ctrlPr>
                <w:rPr>
                  <w:rFonts w:ascii="Cambria Math" w:hAnsi="Cambria Math"/>
                  <w:i/>
                  <w:lang w:val="en-US"/>
                </w:rPr>
              </m:ctrlPr>
            </m:sSubPr>
            <m:e>
              <m:r>
                <m:rPr>
                  <m:scr m:val="double-struck"/>
                </m:rPr>
                <w:rPr>
                  <w:rFonts w:ascii="Cambria Math" w:hAnsi="Cambria Math"/>
                  <w:lang w:val="en-US"/>
                </w:rPr>
                <m:t>I</m:t>
              </m:r>
            </m:e>
            <m:sub>
              <m:r>
                <w:rPr>
                  <w:rFonts w:ascii="Cambria Math" w:hAnsi="Cambria Math"/>
                  <w:lang w:val="en-US"/>
                </w:rPr>
                <m:t>i&lt;j</m:t>
              </m:r>
            </m:sub>
          </m:sSub>
          <m:r>
            <w:rPr>
              <w:rFonts w:ascii="Cambria Math" w:hAnsi="Cambria Math"/>
              <w:lang w:val="en-US"/>
            </w:rPr>
            <m:t>+</m:t>
          </m:r>
          <m:func>
            <m:funcPr>
              <m:ctrlPr>
                <w:rPr>
                  <w:rFonts w:ascii="Cambria Math" w:hAnsi="Cambria Math"/>
                  <w:i/>
                  <w:iCs/>
                </w:rPr>
              </m:ctrlPr>
            </m:funcPr>
            <m:fName>
              <m:sSubSup>
                <m:sSubSupPr>
                  <m:ctrlPr>
                    <w:rPr>
                      <w:rFonts w:ascii="Cambria Math" w:hAnsi="Cambria Math"/>
                      <w:i/>
                      <w:iCs/>
                    </w:rPr>
                  </m:ctrlPr>
                </m:sSubSupPr>
                <m:e>
                  <m:r>
                    <w:rPr>
                      <w:rFonts w:ascii="Cambria Math" w:hAnsi="Cambria Math"/>
                    </w:rPr>
                    <m:t>α</m:t>
                  </m:r>
                </m:e>
                <m:sub>
                  <m:r>
                    <w:rPr>
                      <w:rFonts w:ascii="Cambria Math" w:hAnsi="Cambria Math"/>
                    </w:rPr>
                    <m:t>i</m:t>
                  </m:r>
                </m:sub>
                <m:sup>
                  <m:r>
                    <w:rPr>
                      <w:rFonts w:ascii="Cambria Math" w:hAnsi="Cambria Math"/>
                    </w:rPr>
                    <m:t>D</m:t>
                  </m:r>
                </m:sup>
              </m:sSubSup>
              <m:r>
                <w:rPr>
                  <w:rFonts w:ascii="Cambria Math" w:hAnsi="Cambria Math"/>
                  <w:lang w:val="en-US"/>
                </w:rPr>
                <m:t>×</m:t>
              </m:r>
              <m:r>
                <m:rPr>
                  <m:sty m:val="p"/>
                </m:rPr>
                <w:rPr>
                  <w:rFonts w:ascii="Cambria Math" w:hAnsi="Cambria Math"/>
                  <w:lang w:val="en-US"/>
                </w:rPr>
                <m:t>exp</m:t>
              </m:r>
            </m:fName>
            <m:e>
              <m:d>
                <m:dPr>
                  <m:ctrlPr>
                    <w:rPr>
                      <w:rFonts w:ascii="Cambria Math" w:hAnsi="Cambria Math"/>
                      <w:i/>
                      <w:iCs/>
                    </w:rPr>
                  </m:ctrlPr>
                </m:dPr>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D</m:t>
                      </m:r>
                    </m:sup>
                  </m:sSubSup>
                  <m:d>
                    <m:dPr>
                      <m:begChr m:val="|"/>
                      <m:endChr m:val="|"/>
                      <m:ctrlPr>
                        <w:rPr>
                          <w:rFonts w:ascii="Cambria Math" w:hAnsi="Cambria Math"/>
                          <w:i/>
                          <w:iCs/>
                        </w:rPr>
                      </m:ctrlPr>
                    </m:dPr>
                    <m:e>
                      <m:r>
                        <w:rPr>
                          <w:rFonts w:ascii="Cambria Math" w:hAnsi="Cambria Math"/>
                        </w:rPr>
                        <m:t>j</m:t>
                      </m:r>
                      <m:r>
                        <w:rPr>
                          <w:rFonts w:ascii="Cambria Math" w:hAnsi="Cambria Math"/>
                          <w:lang w:val="en-US"/>
                        </w:rPr>
                        <m:t>-</m:t>
                      </m:r>
                      <m:r>
                        <w:rPr>
                          <w:rFonts w:ascii="Cambria Math" w:hAnsi="Cambria Math"/>
                        </w:rPr>
                        <m:t>i</m:t>
                      </m:r>
                    </m:e>
                  </m:d>
                </m:e>
              </m:d>
            </m:e>
          </m:func>
          <m:r>
            <w:rPr>
              <w:rFonts w:ascii="Cambria Math" w:hAnsi="Cambria Math"/>
              <w:lang w:val="en-US"/>
            </w:rPr>
            <m:t>×</m:t>
          </m:r>
          <m:sSub>
            <m:sSubPr>
              <m:ctrlPr>
                <w:rPr>
                  <w:rFonts w:ascii="Cambria Math" w:hAnsi="Cambria Math"/>
                  <w:i/>
                  <w:iCs/>
                </w:rPr>
              </m:ctrlPr>
            </m:sSubPr>
            <m:e>
              <m:r>
                <m:rPr>
                  <m:scr m:val="double-struck"/>
                </m:rPr>
                <w:rPr>
                  <w:rFonts w:ascii="Cambria Math" w:hAnsi="Cambria Math"/>
                </w:rPr>
                <m:t>I</m:t>
              </m:r>
            </m:e>
            <m:sub>
              <m:r>
                <w:rPr>
                  <w:rFonts w:ascii="Cambria Math" w:hAnsi="Cambria Math"/>
                </w:rPr>
                <m:t>i</m:t>
              </m:r>
              <m:r>
                <w:rPr>
                  <w:rFonts w:ascii="Cambria Math" w:hAnsi="Cambria Math"/>
                  <w:lang w:val="en-US"/>
                </w:rPr>
                <m:t>&gt;</m:t>
              </m:r>
              <m:r>
                <w:rPr>
                  <w:rFonts w:ascii="Cambria Math" w:hAnsi="Cambria Math"/>
                </w:rPr>
                <m:t>j</m:t>
              </m:r>
            </m:sub>
          </m:sSub>
          <m:r>
            <w:rPr>
              <w:rFonts w:ascii="Cambria Math" w:hAnsi="Cambria Math"/>
            </w:rPr>
            <m:t>,  for each i≠j, i≠n, j≠n</m:t>
          </m:r>
        </m:oMath>
      </m:oMathPara>
    </w:p>
    <w:p w:rsidR="00CB5B16" w:rsidRPr="009A4777" w:rsidRDefault="00120881" w:rsidP="006B5637">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oMath>
      </m:oMathPara>
    </w:p>
    <w:p w:rsidR="009A4777" w:rsidRDefault="009A4777" w:rsidP="006B5637">
      <w:pPr>
        <w:rPr>
          <w:lang w:val="en-US"/>
        </w:rPr>
      </w:pPr>
      <w:r>
        <w:rPr>
          <w:lang w:val="en-US"/>
        </w:rPr>
        <w:t>The likelihood</w:t>
      </w:r>
      <w:r w:rsidR="005C5B01">
        <w:rPr>
          <w:lang w:val="en-US"/>
        </w:rPr>
        <w:t xml:space="preserve"> of the multinomial distribution</w:t>
      </w:r>
      <w:r>
        <w:rPr>
          <w:lang w:val="en-US"/>
        </w:rPr>
        <w:t xml:space="preserve"> is given by </w:t>
      </w:r>
    </w:p>
    <w:p w:rsidR="009A4777" w:rsidRPr="005C5B01" w:rsidRDefault="009A4777" w:rsidP="006B5637">
      <w:pPr>
        <w:rPr>
          <w:lang w:val="en-US"/>
        </w:rPr>
      </w:pPr>
      <m:oMathPara>
        <m:oMath>
          <m:r>
            <m:rPr>
              <m:scr m:val="script"/>
            </m:rPr>
            <w:rPr>
              <w:rFonts w:ascii="Cambria Math" w:hAnsi="Cambria Math"/>
              <w:lang w:val="en-US"/>
            </w:rPr>
            <m:t>L</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U</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U</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D</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D</m:t>
                  </m:r>
                </m:sup>
              </m:sSup>
              <m:r>
                <w:rPr>
                  <w:rFonts w:ascii="Cambria Math" w:hAnsi="Cambria Math"/>
                  <w:lang w:val="en-US"/>
                </w:rPr>
                <m:t>, K</m:t>
              </m:r>
            </m:e>
          </m:d>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i,j</m:t>
              </m:r>
            </m:sub>
            <m:sup/>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i,j</m:t>
                      </m:r>
                    </m:sub>
                  </m:sSub>
                </m:sup>
              </m:sSubSup>
            </m:e>
          </m:nary>
        </m:oMath>
      </m:oMathPara>
    </w:p>
    <w:p w:rsidR="005C5B01" w:rsidRDefault="005C5B01" w:rsidP="006B5637">
      <w:pPr>
        <w:rPr>
          <w:lang w:val="en-US"/>
        </w:rPr>
      </w:pPr>
      <w:r>
        <w:rPr>
          <w:lang w:val="en-US"/>
        </w:rPr>
        <w:t xml:space="preserve">The parameters are retrieved from likelihood maximization. </w:t>
      </w:r>
    </w:p>
    <w:p w:rsidR="000D6440" w:rsidRDefault="005057D0" w:rsidP="006B5637">
      <w:pPr>
        <w:pStyle w:val="Heading2"/>
        <w:tabs>
          <w:tab w:val="clear" w:pos="1440"/>
        </w:tabs>
        <w:ind w:left="792" w:hanging="432"/>
        <w:rPr>
          <w:lang w:val="en-US"/>
        </w:rPr>
      </w:pPr>
      <w:bookmarkStart w:id="31" w:name="_Toc508997169"/>
      <w:r>
        <w:rPr>
          <w:lang w:val="en-US"/>
        </w:rPr>
        <w:t>Results and Impacts</w:t>
      </w:r>
      <w:bookmarkEnd w:id="31"/>
      <w:r>
        <w:rPr>
          <w:lang w:val="en-US"/>
        </w:rPr>
        <w:t xml:space="preserve"> </w:t>
      </w:r>
    </w:p>
    <w:p w:rsidR="005C5B01" w:rsidRDefault="005C5B01" w:rsidP="005C5B01">
      <w:pPr>
        <w:pStyle w:val="Subtitle"/>
        <w:rPr>
          <w:lang w:val="en-US"/>
        </w:rPr>
      </w:pPr>
      <w:r>
        <w:rPr>
          <w:lang w:val="en-US"/>
        </w:rPr>
        <w:t xml:space="preserve">Results illustration </w:t>
      </w:r>
    </w:p>
    <w:p w:rsidR="0032090C" w:rsidRPr="0032090C" w:rsidRDefault="0032090C" w:rsidP="0032090C">
      <w:pPr>
        <w:rPr>
          <w:lang w:val="en-US"/>
        </w:rPr>
      </w:pPr>
      <w:r>
        <w:rPr>
          <w:lang w:val="en-US"/>
        </w:rPr>
        <w:t xml:space="preserve">The graphics below illustrate example of regular solutions. Note the proximity with the observed rates and the statistical viability of the solutions continuously limited by the confidence intervals. </w:t>
      </w:r>
    </w:p>
    <w:p w:rsidR="005C5B01" w:rsidRPr="005C5B01" w:rsidRDefault="005C5B01" w:rsidP="005C5B01">
      <w:pPr>
        <w:rPr>
          <w:lang w:val="en-US"/>
        </w:rPr>
      </w:pPr>
      <w:r w:rsidRPr="005C5B01">
        <w:rPr>
          <w:noProof/>
        </w:rPr>
        <w:lastRenderedPageBreak/>
        <w:drawing>
          <wp:inline distT="0" distB="0" distL="0" distR="0" wp14:anchorId="01B4BA32" wp14:editId="0D57B9D4">
            <wp:extent cx="5760720" cy="3437079"/>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437079"/>
                    </a:xfrm>
                    <a:prstGeom prst="rect">
                      <a:avLst/>
                    </a:prstGeom>
                    <a:noFill/>
                    <a:ln>
                      <a:noFill/>
                    </a:ln>
                    <a:effectLst/>
                    <a:extLst/>
                  </pic:spPr>
                </pic:pic>
              </a:graphicData>
            </a:graphic>
          </wp:inline>
        </w:drawing>
      </w:r>
    </w:p>
    <w:p w:rsidR="005C5B01" w:rsidRDefault="005C5B01">
      <w:pPr>
        <w:spacing w:after="0" w:line="240" w:lineRule="auto"/>
        <w:rPr>
          <w:lang w:val="en-US"/>
        </w:rPr>
      </w:pPr>
    </w:p>
    <w:p w:rsidR="005C5B01" w:rsidRDefault="005C5B01">
      <w:pPr>
        <w:spacing w:after="0" w:line="240" w:lineRule="auto"/>
        <w:rPr>
          <w:lang w:val="en-US"/>
        </w:rPr>
      </w:pPr>
      <w:r w:rsidRPr="005C5B01">
        <w:rPr>
          <w:noProof/>
        </w:rPr>
        <w:drawing>
          <wp:inline distT="0" distB="0" distL="0" distR="0" wp14:anchorId="7980C430" wp14:editId="5BF35745">
            <wp:extent cx="5605145" cy="3344286"/>
            <wp:effectExtent l="0" t="0" r="0" b="889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6645" cy="3351147"/>
                    </a:xfrm>
                    <a:prstGeom prst="rect">
                      <a:avLst/>
                    </a:prstGeom>
                    <a:noFill/>
                    <a:ln>
                      <a:noFill/>
                    </a:ln>
                    <a:effectLst/>
                    <a:extLst/>
                  </pic:spPr>
                </pic:pic>
              </a:graphicData>
            </a:graphic>
          </wp:inline>
        </w:drawing>
      </w:r>
    </w:p>
    <w:p w:rsidR="005C5B01" w:rsidRDefault="005C5B01">
      <w:pPr>
        <w:spacing w:after="0" w:line="240" w:lineRule="auto"/>
        <w:rPr>
          <w:lang w:val="en-US"/>
        </w:rPr>
      </w:pPr>
    </w:p>
    <w:p w:rsidR="005C5B01" w:rsidRDefault="005C5B01">
      <w:pPr>
        <w:spacing w:after="0" w:line="240" w:lineRule="auto"/>
        <w:rPr>
          <w:lang w:val="en-US"/>
        </w:rPr>
      </w:pPr>
      <w:r>
        <w:rPr>
          <w:noProof/>
        </w:rPr>
        <w:lastRenderedPageBreak/>
        <w:drawing>
          <wp:inline distT="0" distB="0" distL="0" distR="0" wp14:anchorId="2167E708" wp14:editId="2A16E624">
            <wp:extent cx="5836983" cy="3576320"/>
            <wp:effectExtent l="0" t="0" r="0" b="5080"/>
            <wp:docPr id="21507" name="Picture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3870" cy="3574413"/>
                    </a:xfrm>
                    <a:prstGeom prst="rect">
                      <a:avLst/>
                    </a:prstGeom>
                    <a:noFill/>
                  </pic:spPr>
                </pic:pic>
              </a:graphicData>
            </a:graphic>
          </wp:inline>
        </w:drawing>
      </w:r>
    </w:p>
    <w:p w:rsidR="005C5B01" w:rsidRDefault="005C5B01">
      <w:pPr>
        <w:spacing w:after="0" w:line="240" w:lineRule="auto"/>
        <w:rPr>
          <w:lang w:val="en-US"/>
        </w:rPr>
      </w:pPr>
    </w:p>
    <w:p w:rsidR="005C5B01" w:rsidRDefault="005C5B01">
      <w:pPr>
        <w:spacing w:after="0" w:line="240" w:lineRule="auto"/>
        <w:rPr>
          <w:lang w:val="en-US"/>
        </w:rPr>
      </w:pPr>
    </w:p>
    <w:p w:rsidR="005C5B01" w:rsidRDefault="005C5B01">
      <w:pPr>
        <w:spacing w:after="0" w:line="240" w:lineRule="auto"/>
        <w:rPr>
          <w:lang w:val="en-US"/>
        </w:rPr>
      </w:pPr>
      <w:r w:rsidRPr="005C5B01">
        <w:rPr>
          <w:noProof/>
        </w:rPr>
        <w:drawing>
          <wp:inline distT="0" distB="0" distL="0" distR="0" wp14:anchorId="4B87AA73" wp14:editId="2EA2E089">
            <wp:extent cx="5838825" cy="3576865"/>
            <wp:effectExtent l="0" t="0" r="0" b="5080"/>
            <wp:docPr id="19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5933" cy="3581219"/>
                    </a:xfrm>
                    <a:prstGeom prst="rect">
                      <a:avLst/>
                    </a:prstGeom>
                    <a:noFill/>
                    <a:ln>
                      <a:noFill/>
                    </a:ln>
                    <a:effectLst/>
                    <a:extLst/>
                  </pic:spPr>
                </pic:pic>
              </a:graphicData>
            </a:graphic>
          </wp:inline>
        </w:drawing>
      </w:r>
    </w:p>
    <w:p w:rsidR="005C5B01" w:rsidRDefault="005C5B01" w:rsidP="005C5B01">
      <w:pPr>
        <w:pStyle w:val="Subtitle"/>
        <w:rPr>
          <w:lang w:val="en-US"/>
        </w:rPr>
      </w:pPr>
      <w:r>
        <w:rPr>
          <w:lang w:val="en-US"/>
        </w:rPr>
        <w:t>Impact measurement</w:t>
      </w:r>
    </w:p>
    <w:p w:rsidR="00AC72CC" w:rsidRPr="00AC72CC" w:rsidRDefault="00AC72CC" w:rsidP="009A4602">
      <w:pPr>
        <w:rPr>
          <w:lang w:val="en-US"/>
        </w:rPr>
      </w:pPr>
      <w:r>
        <w:rPr>
          <w:lang w:val="en-US"/>
        </w:rPr>
        <w:t xml:space="preserve">The aim of this subsection is to compare how far the regularized matrix goes from the initially observed transition matrix. </w:t>
      </w:r>
      <w:r w:rsidR="00576355">
        <w:rPr>
          <w:lang w:val="en-US"/>
        </w:rPr>
        <w:t>Distance matrix</w:t>
      </w:r>
      <w:r w:rsidR="002F3089">
        <w:rPr>
          <w:lang w:val="en-US"/>
        </w:rPr>
        <w:t xml:space="preserve"> and</w:t>
      </w:r>
      <w:r w:rsidR="00576355">
        <w:rPr>
          <w:lang w:val="en-US"/>
        </w:rPr>
        <w:t xml:space="preserve"> eigenvalues based indicators are been used to measure the impact of the regularization. </w:t>
      </w:r>
    </w:p>
    <w:p w:rsidR="00576355" w:rsidRDefault="00576355" w:rsidP="005C5B01">
      <w:pPr>
        <w:rPr>
          <w:lang w:val="en-US"/>
        </w:rPr>
      </w:pPr>
    </w:p>
    <w:p w:rsidR="00545FCE" w:rsidRDefault="00545FCE" w:rsidP="005C5B01">
      <w:pPr>
        <w:rPr>
          <w:lang w:val="en-US"/>
        </w:rPr>
      </w:pPr>
      <w:r>
        <w:rPr>
          <w:lang w:val="en-US"/>
        </w:rPr>
        <w:lastRenderedPageBreak/>
        <w:t>The following</w:t>
      </w:r>
      <w:r w:rsidR="005C5B01">
        <w:rPr>
          <w:lang w:val="en-US"/>
        </w:rPr>
        <w:t xml:space="preserve"> distance formulas are found in the literature</w:t>
      </w:r>
      <w:r w:rsidR="0078378C">
        <w:rPr>
          <w:lang w:val="en-US"/>
        </w:rPr>
        <w:t xml:space="preserve">, see </w:t>
      </w:r>
      <w:sdt>
        <w:sdtPr>
          <w:rPr>
            <w:lang w:val="en-US"/>
          </w:rPr>
          <w:id w:val="-885795126"/>
          <w:citation/>
        </w:sdtPr>
        <w:sdtContent>
          <w:r w:rsidR="0078378C">
            <w:rPr>
              <w:lang w:val="en-US"/>
            </w:rPr>
            <w:fldChar w:fldCharType="begin"/>
          </w:r>
          <w:r w:rsidR="0078378C" w:rsidRPr="0078378C">
            <w:rPr>
              <w:lang w:val="en-US"/>
            </w:rPr>
            <w:instrText xml:space="preserve"> CITATION Yus04 \l 1036 </w:instrText>
          </w:r>
          <w:r w:rsidR="0078378C">
            <w:rPr>
              <w:lang w:val="en-US"/>
            </w:rPr>
            <w:fldChar w:fldCharType="separate"/>
          </w:r>
          <w:r w:rsidR="007A2F35" w:rsidRPr="007A2F35">
            <w:rPr>
              <w:noProof/>
              <w:lang w:val="en-US"/>
            </w:rPr>
            <w:t>[2]</w:t>
          </w:r>
          <w:r w:rsidR="0078378C">
            <w:rPr>
              <w:lang w:val="en-US"/>
            </w:rPr>
            <w:fldChar w:fldCharType="end"/>
          </w:r>
        </w:sdtContent>
      </w:sdt>
      <w:r w:rsidR="0078378C">
        <w:rPr>
          <w:lang w:val="en-US"/>
        </w:rPr>
        <w:t xml:space="preserve"> and </w:t>
      </w:r>
      <w:sdt>
        <w:sdtPr>
          <w:rPr>
            <w:lang w:val="en-US"/>
          </w:rPr>
          <w:id w:val="34856763"/>
          <w:citation/>
        </w:sdtPr>
        <w:sdtContent>
          <w:r w:rsidR="0078378C">
            <w:rPr>
              <w:lang w:val="en-US"/>
            </w:rPr>
            <w:fldChar w:fldCharType="begin"/>
          </w:r>
          <w:r w:rsidR="0078378C" w:rsidRPr="0078378C">
            <w:rPr>
              <w:lang w:val="en-US"/>
            </w:rPr>
            <w:instrText xml:space="preserve"> CITATION Yus03 \l 1036 </w:instrText>
          </w:r>
          <w:r w:rsidR="0078378C">
            <w:rPr>
              <w:lang w:val="en-US"/>
            </w:rPr>
            <w:fldChar w:fldCharType="separate"/>
          </w:r>
          <w:r w:rsidR="007A2F35" w:rsidRPr="007A2F35">
            <w:rPr>
              <w:noProof/>
              <w:lang w:val="en-US"/>
            </w:rPr>
            <w:t>[3]</w:t>
          </w:r>
          <w:r w:rsidR="0078378C">
            <w:rPr>
              <w:lang w:val="en-US"/>
            </w:rPr>
            <w:fldChar w:fldCharType="end"/>
          </w:r>
        </w:sdtContent>
      </w:sdt>
      <w:r>
        <w:rPr>
          <w:lang w:val="en-US"/>
        </w:rPr>
        <w:t xml:space="preserve">. They represent different interpretations ranging from Euclidian distance, to measures based on the eigenvalues (trace, determinant, sum of eigenvalues, second largest eigenvalue as it has been linked to the economic cycle). </w:t>
      </w:r>
    </w:p>
    <w:p w:rsidR="00545FCE" w:rsidRDefault="00545FCE" w:rsidP="00332A1A">
      <w:pPr>
        <w:rPr>
          <w:lang w:val="en-US"/>
        </w:rPr>
      </w:pPr>
      <w:r w:rsidRPr="00545FCE">
        <w:rPr>
          <w:noProof/>
        </w:rPr>
        <mc:AlternateContent>
          <mc:Choice Requires="wps">
            <w:drawing>
              <wp:anchor distT="0" distB="0" distL="114300" distR="114300" simplePos="0" relativeHeight="251665408" behindDoc="0" locked="0" layoutInCell="1" allowOverlap="1" wp14:anchorId="398CAAAE" wp14:editId="647CB6EA">
                <wp:simplePos x="0" y="0"/>
                <wp:positionH relativeFrom="column">
                  <wp:posOffset>3548380</wp:posOffset>
                </wp:positionH>
                <wp:positionV relativeFrom="paragraph">
                  <wp:posOffset>3073400</wp:posOffset>
                </wp:positionV>
                <wp:extent cx="2110105" cy="452120"/>
                <wp:effectExtent l="0" t="0" r="4445" b="5080"/>
                <wp:wrapNone/>
                <wp:docPr id="21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452120"/>
                        </a:xfrm>
                        <a:prstGeom prst="rect">
                          <a:avLst/>
                        </a:prstGeom>
                        <a:solidFill>
                          <a:srgbClr val="FFFFFF"/>
                        </a:solidFill>
                        <a:ln w="9525">
                          <a:noFill/>
                          <a:miter lim="800000"/>
                          <a:headEnd/>
                          <a:tailEnd/>
                        </a:ln>
                      </wps:spPr>
                      <wps:txbx>
                        <w:txbxContent>
                          <w:p w:rsidR="00120881" w:rsidRPr="00545FCE" w:rsidRDefault="00120881" w:rsidP="00545FCE">
                            <w:pPr>
                              <w:rPr>
                                <w:lang w:val="en-US"/>
                              </w:rPr>
                            </w:pPr>
                            <w:r>
                              <w:rPr>
                                <w:lang w:val="en-US"/>
                              </w:rPr>
                              <w:t>Measures based on matrix eigenvalues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279.4pt;margin-top:242pt;width:166.15pt;height:3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" stroked="f">
                <v:textbox>
                  <w:txbxContent>
                    <w:p w:rsidR="00120881" w:rsidRPr="00545FCE" w:rsidRDefault="00120881" w:rsidP="00545FCE">
                      <w:pPr>
                        <w:rPr>
                          <w:lang w:val="en-US"/>
                        </w:rPr>
                      </w:pPr>
                      <w:r>
                        <w:rPr>
                          <w:lang w:val="en-US"/>
                        </w:rPr>
                        <w:t>Measures based on matrix eigenvalues</w:t>
                      </w:r>
                    </w:p>
                  </w:txbxContent>
                </v:textbox>
              </v:shape>
            </w:pict>
          </mc:Fallback>
        </mc:AlternateContent>
      </w:r>
      <w:r w:rsidRPr="00545FCE">
        <w:rPr>
          <w:noProof/>
        </w:rPr>
        <mc:AlternateContent>
          <mc:Choice Requires="wps">
            <w:drawing>
              <wp:anchor distT="0" distB="0" distL="114300" distR="114300" simplePos="0" relativeHeight="251663360" behindDoc="0" locked="0" layoutInCell="1" allowOverlap="1" wp14:anchorId="1F8229D1" wp14:editId="5F8B0599">
                <wp:simplePos x="0" y="0"/>
                <wp:positionH relativeFrom="column">
                  <wp:posOffset>3567430</wp:posOffset>
                </wp:positionH>
                <wp:positionV relativeFrom="paragraph">
                  <wp:posOffset>877570</wp:posOffset>
                </wp:positionV>
                <wp:extent cx="2110105" cy="23304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3045"/>
                        </a:xfrm>
                        <a:prstGeom prst="rect">
                          <a:avLst/>
                        </a:prstGeom>
                        <a:solidFill>
                          <a:srgbClr val="FFFFFF"/>
                        </a:solidFill>
                        <a:ln w="9525">
                          <a:noFill/>
                          <a:miter lim="800000"/>
                          <a:headEnd/>
                          <a:tailEnd/>
                        </a:ln>
                      </wps:spPr>
                      <wps:txbx>
                        <w:txbxContent>
                          <w:p w:rsidR="00120881" w:rsidRPr="00545FCE" w:rsidRDefault="00120881">
                            <w:pPr>
                              <w:rPr>
                                <w:lang w:val="en-US"/>
                              </w:rPr>
                            </w:pPr>
                            <w:r w:rsidRPr="00545FCE">
                              <w:rPr>
                                <w:lang w:val="en-US"/>
                              </w:rPr>
                              <w:t>Distances between 2 matrices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0.9pt;margin-top:69.1pt;width:166.15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XfIwIAACQ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" stroked="f">
                <v:textbox>
                  <w:txbxContent>
                    <w:p w:rsidR="00120881" w:rsidRPr="00545FCE" w:rsidRDefault="00120881">
                      <w:pPr>
                        <w:rPr>
                          <w:lang w:val="en-US"/>
                        </w:rPr>
                      </w:pPr>
                      <w:r w:rsidRPr="00545FCE">
                        <w:rPr>
                          <w:lang w:val="en-US"/>
                        </w:rPr>
                        <w:t>Distances between 2 matrices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362B424" wp14:editId="2CA5C90F">
                <wp:simplePos x="0" y="0"/>
                <wp:positionH relativeFrom="column">
                  <wp:posOffset>3401839</wp:posOffset>
                </wp:positionH>
                <wp:positionV relativeFrom="paragraph">
                  <wp:posOffset>2054225</wp:posOffset>
                </wp:positionV>
                <wp:extent cx="129886" cy="2433320"/>
                <wp:effectExtent l="0" t="0" r="22860" b="24130"/>
                <wp:wrapNone/>
                <wp:docPr id="21521" name="Right Brace 21521"/>
                <wp:cNvGraphicFramePr/>
                <a:graphic xmlns:a="http://schemas.openxmlformats.org/drawingml/2006/main">
                  <a:graphicData uri="http://schemas.microsoft.com/office/word/2010/wordprocessingShape">
                    <wps:wsp>
                      <wps:cNvSpPr/>
                      <wps:spPr>
                        <a:xfrm>
                          <a:off x="0" y="0"/>
                          <a:ext cx="129886" cy="24333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521" o:spid="_x0000_s1026" type="#_x0000_t88" style="position:absolute;margin-left:267.85pt;margin-top:161.75pt;width:10.25pt;height:19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" adj="96" strokecolor="#4579b8 [3044]"/>
            </w:pict>
          </mc:Fallback>
        </mc:AlternateContent>
      </w:r>
      <w:r>
        <w:rPr>
          <w:noProof/>
        </w:rPr>
        <mc:AlternateContent>
          <mc:Choice Requires="wps">
            <w:drawing>
              <wp:anchor distT="0" distB="0" distL="114300" distR="114300" simplePos="0" relativeHeight="251659264" behindDoc="0" locked="0" layoutInCell="1" allowOverlap="1" wp14:anchorId="6F1F0137" wp14:editId="137E80BC">
                <wp:simplePos x="0" y="0"/>
                <wp:positionH relativeFrom="column">
                  <wp:posOffset>3429000</wp:posOffset>
                </wp:positionH>
                <wp:positionV relativeFrom="paragraph">
                  <wp:posOffset>144145</wp:posOffset>
                </wp:positionV>
                <wp:extent cx="114300" cy="1714500"/>
                <wp:effectExtent l="0" t="0" r="19050" b="19050"/>
                <wp:wrapNone/>
                <wp:docPr id="21520" name="Right Brace 21520"/>
                <wp:cNvGraphicFramePr/>
                <a:graphic xmlns:a="http://schemas.openxmlformats.org/drawingml/2006/main">
                  <a:graphicData uri="http://schemas.microsoft.com/office/word/2010/wordprocessingShape">
                    <wps:wsp>
                      <wps:cNvSpPr/>
                      <wps:spPr>
                        <a:xfrm>
                          <a:off x="0" y="0"/>
                          <a:ext cx="114300" cy="1714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21520" o:spid="_x0000_s1026" type="#_x0000_t88" style="position:absolute;margin-left:270pt;margin-top:11.35pt;width:9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" adj="120" strokecolor="#4579b8 [3044]"/>
            </w:pict>
          </mc:Fallback>
        </mc:AlternateContent>
      </w:r>
      <w:r>
        <w:rPr>
          <w:noProof/>
        </w:rPr>
        <w:drawing>
          <wp:inline distT="0" distB="0" distL="0" distR="0" wp14:anchorId="771D7965" wp14:editId="40C7145F">
            <wp:extent cx="3401695" cy="4669790"/>
            <wp:effectExtent l="0" t="0" r="8255" b="0"/>
            <wp:docPr id="21519" name="Picture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1695" cy="4669790"/>
                    </a:xfrm>
                    <a:prstGeom prst="rect">
                      <a:avLst/>
                    </a:prstGeom>
                    <a:noFill/>
                  </pic:spPr>
                </pic:pic>
              </a:graphicData>
            </a:graphic>
          </wp:inline>
        </w:drawing>
      </w:r>
    </w:p>
    <w:p w:rsidR="00AC72CC" w:rsidRDefault="00332A1A" w:rsidP="003870D5">
      <w:pPr>
        <w:rPr>
          <w:lang w:val="en-US"/>
        </w:rPr>
      </w:pPr>
      <w:r>
        <w:rPr>
          <w:lang w:val="en-US"/>
        </w:rPr>
        <w:t xml:space="preserve">Interpreting the closeness of the regularized matrix to the observed matrix is not straightforward since the absolute levels given by these indicators do not allow for direct interpretations. However, </w:t>
      </w:r>
      <w:r w:rsidR="00AC72CC">
        <w:rPr>
          <w:lang w:val="en-US"/>
        </w:rPr>
        <w:t xml:space="preserve">it relevant to </w:t>
      </w:r>
      <w:r>
        <w:rPr>
          <w:lang w:val="en-US"/>
        </w:rPr>
        <w:t>c</w:t>
      </w:r>
      <w:r w:rsidR="00AC72CC">
        <w:rPr>
          <w:lang w:val="en-US"/>
        </w:rPr>
        <w:t xml:space="preserve">ompare </w:t>
      </w:r>
      <w:r w:rsidR="00AC72CC" w:rsidRPr="00AC72CC">
        <w:rPr>
          <w:lang w:val="en-US"/>
        </w:rPr>
        <w:t>the distance between the TTC regularized matrix and the TTC observed matrix with</w:t>
      </w:r>
      <w:r w:rsidR="00AC72CC">
        <w:rPr>
          <w:lang w:val="en-US"/>
        </w:rPr>
        <w:t>:</w:t>
      </w:r>
    </w:p>
    <w:p w:rsidR="003870D5" w:rsidRDefault="00AC72CC" w:rsidP="00AC72CC">
      <w:pPr>
        <w:pStyle w:val="ListParagraph"/>
        <w:numPr>
          <w:ilvl w:val="0"/>
          <w:numId w:val="30"/>
        </w:numPr>
        <w:rPr>
          <w:lang w:val="en-US"/>
        </w:rPr>
      </w:pPr>
      <w:r w:rsidRPr="00AC72CC">
        <w:rPr>
          <w:lang w:val="en-US"/>
        </w:rPr>
        <w:t xml:space="preserve">the distance between the TTC observed matrix and each PIT </w:t>
      </w:r>
      <w:r>
        <w:rPr>
          <w:lang w:val="en-US"/>
        </w:rPr>
        <w:t>observed matrix</w:t>
      </w:r>
    </w:p>
    <w:p w:rsidR="006324CF" w:rsidRDefault="00AC72CC" w:rsidP="005C5B01">
      <w:pPr>
        <w:pStyle w:val="ListParagraph"/>
        <w:numPr>
          <w:ilvl w:val="0"/>
          <w:numId w:val="30"/>
        </w:numPr>
        <w:rPr>
          <w:lang w:val="en-US"/>
        </w:rPr>
      </w:pPr>
      <w:r w:rsidRPr="00AC72CC">
        <w:rPr>
          <w:lang w:val="en-US"/>
        </w:rPr>
        <w:t xml:space="preserve">the distance between the TTC observed matrix and each </w:t>
      </w:r>
      <w:r>
        <w:rPr>
          <w:lang w:val="en-US"/>
        </w:rPr>
        <w:t>TTC</w:t>
      </w:r>
      <w:r w:rsidRPr="00AC72CC">
        <w:rPr>
          <w:lang w:val="en-US"/>
        </w:rPr>
        <w:t xml:space="preserve"> </w:t>
      </w:r>
      <w:r>
        <w:rPr>
          <w:lang w:val="en-US"/>
        </w:rPr>
        <w:t>observed matrix calibrated on the whole historical depth minus 1 year</w:t>
      </w:r>
    </w:p>
    <w:p w:rsidR="00786E60" w:rsidRDefault="005532DF" w:rsidP="005532DF">
      <w:pPr>
        <w:rPr>
          <w:lang w:val="en-US"/>
        </w:rPr>
      </w:pPr>
      <w:r>
        <w:rPr>
          <w:lang w:val="en-US"/>
        </w:rPr>
        <w:t xml:space="preserve">The table below shows the distance indicators (ML1, ML2, MDEX, MTRU) between the TTCini (initially observed matrix) and the other matrices (2010 means the 2010 PiT matrix and TTCreg means the regularized TTC matrix); along with </w:t>
      </w:r>
      <w:r w:rsidR="00786E60">
        <w:rPr>
          <w:lang w:val="en-US"/>
        </w:rPr>
        <w:t xml:space="preserve">the eigenvalues based indicators. The graphics below represent the same. </w:t>
      </w:r>
      <w:r w:rsidR="003A7E2C">
        <w:rPr>
          <w:lang w:val="en-US"/>
        </w:rPr>
        <w:t xml:space="preserve">Other graphics on IF / Corp and S&amp;P are shown in the appendix; they lead to the same conclusion. </w:t>
      </w:r>
    </w:p>
    <w:p w:rsidR="006324CF" w:rsidRDefault="006324CF" w:rsidP="006324CF">
      <w:pPr>
        <w:rPr>
          <w:lang w:val="en-US"/>
        </w:rPr>
      </w:pPr>
      <w:r w:rsidRPr="006324CF">
        <w:rPr>
          <w:noProof/>
        </w:rPr>
        <w:lastRenderedPageBreak/>
        <w:drawing>
          <wp:inline distT="0" distB="0" distL="0" distR="0" wp14:anchorId="306563F1" wp14:editId="3CB7EFD0">
            <wp:extent cx="5972810" cy="1946275"/>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810" cy="1946275"/>
                    </a:xfrm>
                    <a:prstGeom prst="rect">
                      <a:avLst/>
                    </a:prstGeom>
                    <a:noFill/>
                    <a:ln>
                      <a:noFill/>
                    </a:ln>
                    <a:effectLst/>
                    <a:extLst/>
                  </pic:spPr>
                </pic:pic>
              </a:graphicData>
            </a:graphic>
          </wp:inline>
        </w:drawing>
      </w:r>
    </w:p>
    <w:p w:rsidR="00576355" w:rsidRDefault="006324CF" w:rsidP="006324CF">
      <w:pPr>
        <w:rPr>
          <w:lang w:val="en-US"/>
        </w:rPr>
      </w:pPr>
      <w:r w:rsidRPr="006324CF">
        <w:rPr>
          <w:noProof/>
        </w:rPr>
        <w:drawing>
          <wp:inline distT="0" distB="0" distL="0" distR="0" wp14:anchorId="7777E18A" wp14:editId="4D146950">
            <wp:extent cx="5972810" cy="3007995"/>
            <wp:effectExtent l="0" t="0" r="8890" b="1905"/>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2810" cy="3007995"/>
                    </a:xfrm>
                    <a:prstGeom prst="rect">
                      <a:avLst/>
                    </a:prstGeom>
                    <a:noFill/>
                    <a:ln>
                      <a:noFill/>
                    </a:ln>
                    <a:effectLst/>
                    <a:extLst/>
                  </pic:spPr>
                </pic:pic>
              </a:graphicData>
            </a:graphic>
          </wp:inline>
        </w:drawing>
      </w:r>
      <w:r w:rsidRPr="006324CF">
        <w:rPr>
          <w:lang w:val="en-US"/>
        </w:rPr>
        <w:t xml:space="preserve"> </w:t>
      </w:r>
      <w:r w:rsidRPr="006324CF">
        <w:rPr>
          <w:noProof/>
        </w:rPr>
        <w:drawing>
          <wp:inline distT="0" distB="0" distL="0" distR="0" wp14:anchorId="2318F768" wp14:editId="0FD8265A">
            <wp:extent cx="5972810" cy="3007995"/>
            <wp:effectExtent l="0" t="0" r="8890" b="190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2810" cy="3007995"/>
                    </a:xfrm>
                    <a:prstGeom prst="rect">
                      <a:avLst/>
                    </a:prstGeom>
                    <a:noFill/>
                    <a:ln>
                      <a:noFill/>
                    </a:ln>
                    <a:effectLst/>
                    <a:extLst/>
                  </pic:spPr>
                </pic:pic>
              </a:graphicData>
            </a:graphic>
          </wp:inline>
        </w:drawing>
      </w:r>
    </w:p>
    <w:p w:rsidR="003A7E2C" w:rsidRPr="002F3089" w:rsidRDefault="00786E60" w:rsidP="00786E60">
      <w:pPr>
        <w:rPr>
          <w:b/>
          <w:lang w:val="en-US"/>
        </w:rPr>
      </w:pPr>
      <w:r w:rsidRPr="003A7E2C">
        <w:rPr>
          <w:b/>
          <w:lang w:val="en-US"/>
        </w:rPr>
        <w:t>The metrics prove that the TTC observed matrix is closer to the regularized matrix than any PIT matrix.</w:t>
      </w:r>
    </w:p>
    <w:p w:rsidR="00E34B4E" w:rsidRDefault="003A7E2C" w:rsidP="002F3089">
      <w:pPr>
        <w:pBdr>
          <w:top w:val="single" w:sz="4" w:space="1" w:color="auto"/>
          <w:left w:val="single" w:sz="4" w:space="4" w:color="auto"/>
          <w:bottom w:val="single" w:sz="4" w:space="1" w:color="auto"/>
          <w:right w:val="single" w:sz="4" w:space="4" w:color="auto"/>
        </w:pBdr>
        <w:rPr>
          <w:lang w:val="en-US"/>
        </w:rPr>
      </w:pPr>
      <w:r w:rsidRPr="003A7E2C">
        <w:rPr>
          <w:b/>
          <w:lang w:val="en-US"/>
        </w:rPr>
        <w:lastRenderedPageBreak/>
        <w:t xml:space="preserve">Conclusion: </w:t>
      </w:r>
      <w:r>
        <w:rPr>
          <w:lang w:val="en-US"/>
        </w:rPr>
        <w:t xml:space="preserve">The overall regularization process is an alternative calibration of the transition matrix. The solution is regular, statistically viable and the impacts are non-significant. </w:t>
      </w:r>
    </w:p>
    <w:p w:rsidR="00E34B4E" w:rsidRDefault="00E34B4E">
      <w:pPr>
        <w:spacing w:after="0" w:line="240" w:lineRule="auto"/>
        <w:rPr>
          <w:lang w:val="en-US"/>
        </w:rPr>
      </w:pPr>
      <w:r>
        <w:rPr>
          <w:lang w:val="en-US"/>
        </w:rPr>
        <w:br w:type="page"/>
      </w:r>
    </w:p>
    <w:p w:rsidR="00E34B4E" w:rsidRPr="00E34B4E" w:rsidRDefault="00E34B4E" w:rsidP="00E34B4E">
      <w:pPr>
        <w:pStyle w:val="Heading1"/>
        <w:rPr>
          <w:lang w:val="en-US"/>
        </w:rPr>
      </w:pPr>
      <w:bookmarkStart w:id="32" w:name="_Toc505015623"/>
      <w:bookmarkStart w:id="33" w:name="_Toc508997170"/>
      <w:r w:rsidRPr="00E34B4E">
        <w:rPr>
          <w:lang w:val="en-US"/>
        </w:rPr>
        <w:lastRenderedPageBreak/>
        <w:t>Term structure default probability</w:t>
      </w:r>
      <w:bookmarkEnd w:id="32"/>
      <w:bookmarkEnd w:id="33"/>
    </w:p>
    <w:p w:rsidR="008F60C2" w:rsidRDefault="008F60C2" w:rsidP="008F60C2">
      <w:pPr>
        <w:rPr>
          <w:lang w:val="en-US"/>
        </w:rPr>
      </w:pPr>
      <w:r w:rsidRPr="00010830">
        <w:rPr>
          <w:lang w:val="en-US"/>
        </w:rPr>
        <w:t xml:space="preserve">The process above describes the way to retrieve </w:t>
      </w:r>
      <w:r>
        <w:rPr>
          <w:lang w:val="en-US"/>
        </w:rPr>
        <w:t xml:space="preserve">a regular TTC 1Y migration matrix. The 1Y </w:t>
      </w:r>
      <w:r w:rsidR="007D3638">
        <w:rPr>
          <w:lang w:val="en-US"/>
        </w:rPr>
        <w:t xml:space="preserve">cumulated </w:t>
      </w:r>
      <w:r>
        <w:rPr>
          <w:lang w:val="en-US"/>
        </w:rPr>
        <w:t>default probability</w:t>
      </w:r>
      <w:r w:rsidR="007D3638">
        <w:rPr>
          <w:lang w:val="en-US"/>
        </w:rPr>
        <w:t xml:space="preserve"> </w:t>
      </w:r>
      <w:r>
        <w:rPr>
          <w:lang w:val="en-US"/>
        </w:rPr>
        <w:t xml:space="preserve">for each rating </w:t>
      </w:r>
      <m:oMath>
        <m:r>
          <w:rPr>
            <w:rFonts w:ascii="Cambria Math" w:hAnsi="Cambria Math"/>
            <w:lang w:val="en-US"/>
          </w:rPr>
          <m:t>r</m:t>
        </m:r>
      </m:oMath>
      <w:r w:rsidR="007D3638">
        <w:rPr>
          <w:lang w:val="en-US"/>
        </w:rPr>
        <w:t xml:space="preserve"> denoted </w:t>
      </w:r>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TTC</m:t>
            </m:r>
          </m:sub>
        </m:sSub>
        <m:d>
          <m:dPr>
            <m:ctrlPr>
              <w:rPr>
                <w:rFonts w:ascii="Cambria Math" w:hAnsi="Cambria Math"/>
                <w:i/>
                <w:lang w:val="en-US"/>
              </w:rPr>
            </m:ctrlPr>
          </m:dPr>
          <m:e>
            <m:r>
              <w:rPr>
                <w:rFonts w:ascii="Cambria Math" w:hAnsi="Cambria Math"/>
                <w:lang w:val="en-US"/>
              </w:rPr>
              <m:t>r,1</m:t>
            </m:r>
          </m:e>
        </m:d>
      </m:oMath>
      <w:r w:rsidR="007D3638">
        <w:rPr>
          <w:lang w:val="en-US"/>
        </w:rPr>
        <w:t xml:space="preserve"> </w:t>
      </w:r>
      <w:r>
        <w:rPr>
          <w:lang w:val="en-US"/>
        </w:rPr>
        <w:t>is red in the default column of the matrix</w:t>
      </w:r>
      <w:r w:rsidR="007D3638">
        <w:rPr>
          <w:lang w:val="en-US"/>
        </w:rPr>
        <w:t xml:space="preserve"> </w:t>
      </w:r>
      <m:oMath>
        <m:sSub>
          <m:sSubPr>
            <m:ctrlPr>
              <w:rPr>
                <w:rFonts w:ascii="Cambria Math" w:hAnsi="Cambria Math"/>
                <w:i/>
                <w:lang w:val="en-US"/>
              </w:rPr>
            </m:ctrlPr>
          </m:sSub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n</m:t>
                    </m:r>
                  </m:sub>
                  <m:sup>
                    <m:r>
                      <w:rPr>
                        <w:rFonts w:ascii="Cambria Math" w:hAnsi="Cambria Math"/>
                        <w:lang w:val="en-US"/>
                      </w:rPr>
                      <m:t>TTC</m:t>
                    </m:r>
                  </m:sup>
                </m:sSubSup>
              </m:e>
            </m:d>
          </m:e>
          <m:sub>
            <m:r>
              <w:rPr>
                <w:rFonts w:ascii="Cambria Math" w:hAnsi="Cambria Math"/>
                <w:lang w:val="en-US"/>
              </w:rPr>
              <m:t>r, défault</m:t>
            </m:r>
          </m:sub>
        </m:sSub>
      </m:oMath>
      <w:r>
        <w:rPr>
          <w:lang w:val="en-US"/>
        </w:rPr>
        <w:t xml:space="preserve">. </w:t>
      </w:r>
    </w:p>
    <w:p w:rsidR="007D3638" w:rsidRDefault="00842403" w:rsidP="008F60C2">
      <w:pPr>
        <w:rPr>
          <w:lang w:val="en-US"/>
        </w:rPr>
      </w:pPr>
      <m:oMathPara>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TTC</m:t>
              </m:r>
            </m:sub>
          </m:sSub>
          <m:d>
            <m:dPr>
              <m:ctrlPr>
                <w:rPr>
                  <w:rFonts w:ascii="Cambria Math" w:hAnsi="Cambria Math"/>
                  <w:i/>
                  <w:lang w:val="en-US"/>
                </w:rPr>
              </m:ctrlPr>
            </m:dPr>
            <m:e>
              <m:r>
                <w:rPr>
                  <w:rFonts w:ascii="Cambria Math" w:hAnsi="Cambria Math"/>
                  <w:lang w:val="en-US"/>
                </w:rPr>
                <m:t>r,1</m:t>
              </m:r>
            </m:e>
          </m:d>
          <m:r>
            <w:rPr>
              <w:rFonts w:ascii="Cambria Math" w:hAnsi="Cambria Math"/>
              <w:lang w:val="en-US"/>
            </w:rPr>
            <m:t>=</m:t>
          </m:r>
          <m:sSub>
            <m:sSubPr>
              <m:ctrlPr>
                <w:rPr>
                  <w:rFonts w:ascii="Cambria Math" w:hAnsi="Cambria Math"/>
                  <w:i/>
                  <w:lang w:val="en-US"/>
                </w:rPr>
              </m:ctrlPr>
            </m:sSub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n</m:t>
                      </m:r>
                    </m:sub>
                    <m:sup>
                      <m:r>
                        <w:rPr>
                          <w:rFonts w:ascii="Cambria Math" w:hAnsi="Cambria Math"/>
                          <w:lang w:val="en-US"/>
                        </w:rPr>
                        <m:t>TTC</m:t>
                      </m:r>
                    </m:sup>
                  </m:sSubSup>
                </m:e>
              </m:d>
            </m:e>
            <m:sub>
              <m:r>
                <w:rPr>
                  <w:rFonts w:ascii="Cambria Math" w:hAnsi="Cambria Math"/>
                  <w:lang w:val="en-US"/>
                </w:rPr>
                <m:t>r,default</m:t>
              </m:r>
            </m:sub>
          </m:sSub>
        </m:oMath>
      </m:oMathPara>
    </w:p>
    <w:p w:rsidR="008F60C2" w:rsidRDefault="008F60C2" w:rsidP="008F60C2">
      <w:pPr>
        <w:rPr>
          <w:lang w:val="en-US"/>
        </w:rPr>
      </w:pPr>
      <w:r>
        <w:rPr>
          <w:lang w:val="en-US"/>
        </w:rPr>
        <w:t>TTC term structure default pro</w:t>
      </w:r>
      <w:r w:rsidR="009B482C">
        <w:rPr>
          <w:lang w:val="en-US"/>
        </w:rPr>
        <w:t>bability is defined using a homogeneous Markov Chain assumption</w:t>
      </w:r>
      <w:r w:rsidR="0078378C">
        <w:rPr>
          <w:lang w:val="en-US"/>
        </w:rPr>
        <w:t xml:space="preserve">, </w:t>
      </w:r>
      <w:r w:rsidR="00B77CF9">
        <w:rPr>
          <w:lang w:val="en-US"/>
        </w:rPr>
        <w:t>according to the group CASA methodology guidelines</w:t>
      </w:r>
      <w:r w:rsidR="009B482C">
        <w:rPr>
          <w:lang w:val="en-US"/>
        </w:rPr>
        <w:t xml:space="preserve">. Under this assumption, it is demonstrated that the TTC n-years migration matrix is given by raising the TTC 1Y migration matrix to the power n. </w:t>
      </w:r>
    </w:p>
    <w:p w:rsidR="009B482C" w:rsidRPr="00086EEF" w:rsidRDefault="00120881" w:rsidP="008F60C2">
      <w:pPr>
        <w:rPr>
          <w:lang w:val="en-US"/>
        </w:rPr>
      </w:pPr>
      <m:oMathPara>
        <m:oMath>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n</m:t>
              </m:r>
            </m:sub>
            <m:sup>
              <m:r>
                <w:rPr>
                  <w:rFonts w:ascii="Cambria Math" w:hAnsi="Cambria Math"/>
                  <w:lang w:val="en-US"/>
                </w:rPr>
                <m:t>TTC</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TTC</m:t>
                      </m:r>
                    </m:sup>
                  </m:sSubSup>
                </m:e>
              </m:d>
            </m:e>
            <m:sup>
              <m:r>
                <w:rPr>
                  <w:rFonts w:ascii="Cambria Math" w:hAnsi="Cambria Math"/>
                  <w:lang w:val="en-US"/>
                </w:rPr>
                <m:t>n</m:t>
              </m:r>
            </m:sup>
          </m:sSup>
        </m:oMath>
      </m:oMathPara>
    </w:p>
    <w:p w:rsidR="009B482C" w:rsidRDefault="00562DF8" w:rsidP="008F60C2">
      <w:pPr>
        <w:rPr>
          <w:lang w:val="en-US"/>
        </w:rPr>
      </w:pPr>
      <w:r>
        <w:rPr>
          <w:lang w:val="en-US"/>
        </w:rPr>
        <w:t xml:space="preserve">Again, the n-years cumulated default probability for rating </w:t>
      </w:r>
      <m:oMath>
        <m:r>
          <w:rPr>
            <w:rFonts w:ascii="Cambria Math" w:hAnsi="Cambria Math"/>
            <w:lang w:val="en-US"/>
          </w:rPr>
          <m:t>i</m:t>
        </m:r>
      </m:oMath>
      <w:r>
        <w:rPr>
          <w:lang w:val="en-US"/>
        </w:rPr>
        <w:t xml:space="preserve"> is red in the default column of the n-years matrix. </w:t>
      </w:r>
    </w:p>
    <w:p w:rsidR="00562DF8" w:rsidRDefault="00562DF8" w:rsidP="00562DF8">
      <w:pPr>
        <w:rPr>
          <w:lang w:val="en-US"/>
        </w:rPr>
      </w:pPr>
      <m:oMathPara>
        <m:oMath>
          <m:r>
            <w:rPr>
              <w:rFonts w:ascii="Cambria Math" w:hAnsi="Cambria Math"/>
              <w:lang w:val="en-US"/>
            </w:rPr>
            <m:t>PPD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TTC</m:t>
              </m:r>
            </m:sub>
          </m:sSub>
          <m:d>
            <m:dPr>
              <m:ctrlPr>
                <w:rPr>
                  <w:rFonts w:ascii="Cambria Math" w:hAnsi="Cambria Math"/>
                  <w:i/>
                  <w:lang w:val="en-US"/>
                </w:rPr>
              </m:ctrlPr>
            </m:dPr>
            <m:e>
              <m:r>
                <w:rPr>
                  <w:rFonts w:ascii="Cambria Math" w:hAnsi="Cambria Math"/>
                  <w:lang w:val="en-US"/>
                </w:rPr>
                <m:t>r,1</m:t>
              </m:r>
            </m:e>
          </m:d>
          <m:r>
            <w:rPr>
              <w:rFonts w:ascii="Cambria Math" w:hAnsi="Cambria Math"/>
              <w:lang w:val="en-US"/>
            </w:rPr>
            <m:t>=</m:t>
          </m:r>
          <m:sSub>
            <m:sSubPr>
              <m:ctrlPr>
                <w:rPr>
                  <w:rFonts w:ascii="Cambria Math" w:hAnsi="Cambria Math"/>
                  <w:i/>
                  <w:lang w:val="en-US"/>
                </w:rPr>
              </m:ctrlPr>
            </m:sSub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n</m:t>
                      </m:r>
                    </m:sub>
                    <m:sup>
                      <m:r>
                        <w:rPr>
                          <w:rFonts w:ascii="Cambria Math" w:hAnsi="Cambria Math"/>
                          <w:lang w:val="en-US"/>
                        </w:rPr>
                        <m:t>TTC</m:t>
                      </m:r>
                    </m:sup>
                  </m:sSubSup>
                </m:e>
              </m:d>
            </m:e>
            <m:sub>
              <m:r>
                <w:rPr>
                  <w:rFonts w:ascii="Cambria Math" w:hAnsi="Cambria Math"/>
                  <w:lang w:val="en-US"/>
                </w:rPr>
                <m:t>r, default</m:t>
              </m:r>
            </m:sub>
          </m:sSub>
        </m:oMath>
      </m:oMathPara>
    </w:p>
    <w:p w:rsidR="00086EEF" w:rsidRDefault="00086EEF" w:rsidP="008F60C2">
      <w:pPr>
        <w:rPr>
          <w:lang w:val="en-US"/>
        </w:rPr>
      </w:pPr>
      <w:r>
        <w:rPr>
          <w:lang w:val="en-US"/>
        </w:rPr>
        <w:t xml:space="preserve">Note the following desirable features of the model: </w:t>
      </w:r>
    </w:p>
    <w:p w:rsidR="008F60C2" w:rsidRDefault="00086EEF" w:rsidP="00086EEF">
      <w:pPr>
        <w:pStyle w:val="ListParagraph"/>
        <w:numPr>
          <w:ilvl w:val="0"/>
          <w:numId w:val="30"/>
        </w:numPr>
        <w:rPr>
          <w:lang w:val="en-US"/>
        </w:rPr>
      </w:pPr>
      <w:r>
        <w:rPr>
          <w:lang w:val="en-US"/>
        </w:rPr>
        <w:t>U</w:t>
      </w:r>
      <w:r w:rsidR="00E7320C" w:rsidRPr="00086EEF">
        <w:rPr>
          <w:lang w:val="en-US"/>
        </w:rPr>
        <w:t xml:space="preserve">sing a regular matrix raised to the power leads to a </w:t>
      </w:r>
      <w:r w:rsidR="00842403" w:rsidRPr="00086EEF">
        <w:rPr>
          <w:lang w:val="en-US"/>
        </w:rPr>
        <w:t xml:space="preserve">cumulated </w:t>
      </w:r>
      <w:r w:rsidR="00E7320C" w:rsidRPr="00086EEF">
        <w:rPr>
          <w:lang w:val="en-US"/>
        </w:rPr>
        <w:t xml:space="preserve">default probability surface </w:t>
      </w:r>
      <m:oMath>
        <m:d>
          <m:dPr>
            <m:ctrlPr>
              <w:rPr>
                <w:rFonts w:ascii="Cambria Math" w:hAnsi="Cambria Math"/>
                <w:i/>
                <w:lang w:val="en-US"/>
              </w:rPr>
            </m:ctrlPr>
          </m:dPr>
          <m:e>
            <m:r>
              <w:rPr>
                <w:rFonts w:ascii="Cambria Math" w:hAnsi="Cambria Math"/>
                <w:lang w:val="en-US"/>
              </w:rPr>
              <m:t>Rating×Maturity</m:t>
            </m:r>
          </m:e>
        </m:d>
        <m:r>
          <w:rPr>
            <w:rFonts w:ascii="Cambria Math" w:hAnsi="Cambria Math"/>
            <w:lang w:val="en-US"/>
          </w:rPr>
          <m:t>→PD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TTC</m:t>
            </m:r>
          </m:sub>
        </m:sSub>
        <m:d>
          <m:dPr>
            <m:ctrlPr>
              <w:rPr>
                <w:rFonts w:ascii="Cambria Math" w:hAnsi="Cambria Math"/>
                <w:i/>
                <w:lang w:val="en-US"/>
              </w:rPr>
            </m:ctrlPr>
          </m:dPr>
          <m:e>
            <m:r>
              <w:rPr>
                <w:rFonts w:ascii="Cambria Math" w:hAnsi="Cambria Math"/>
                <w:lang w:val="en-US"/>
              </w:rPr>
              <m:t>Rating,Maturity</m:t>
            </m:r>
          </m:e>
        </m:d>
      </m:oMath>
      <w:r w:rsidR="00842403" w:rsidRPr="00086EEF">
        <w:rPr>
          <w:lang w:val="en-US"/>
        </w:rPr>
        <w:t xml:space="preserve"> strictly increasing on both dimensions: Rating and Maturity. </w:t>
      </w:r>
      <w:r w:rsidRPr="00086EEF">
        <w:rPr>
          <w:lang w:val="en-US"/>
        </w:rPr>
        <w:t xml:space="preserve">This is a desirable feature for a cumulated default probability model. </w:t>
      </w:r>
    </w:p>
    <w:p w:rsidR="00086EEF" w:rsidRPr="00086EEF" w:rsidRDefault="00086EEF" w:rsidP="00086EEF">
      <w:pPr>
        <w:pStyle w:val="ListParagraph"/>
        <w:numPr>
          <w:ilvl w:val="0"/>
          <w:numId w:val="30"/>
        </w:numPr>
        <w:rPr>
          <w:lang w:val="en-US"/>
        </w:rPr>
      </w:pPr>
      <w:r w:rsidRPr="00086EEF">
        <w:rPr>
          <w:lang w:val="en-US"/>
        </w:rPr>
        <w:t>The homogeneous assumption is specific to the fact that the desired matrix is TTC. I</w:t>
      </w:r>
      <w:r>
        <w:rPr>
          <w:lang w:val="en-US"/>
        </w:rPr>
        <w:t>f the model were</w:t>
      </w:r>
      <w:r w:rsidRPr="00086EEF">
        <w:rPr>
          <w:lang w:val="en-US"/>
        </w:rPr>
        <w:t xml:space="preserve"> to be adjusted to the economic cycle </w:t>
      </w:r>
      <w:r>
        <w:rPr>
          <w:lang w:val="en-US"/>
        </w:rPr>
        <w:t xml:space="preserve">in a </w:t>
      </w:r>
      <w:r w:rsidRPr="00086EEF">
        <w:rPr>
          <w:lang w:val="en-US"/>
        </w:rPr>
        <w:t xml:space="preserve">stressed or forward looking </w:t>
      </w:r>
      <w:r>
        <w:rPr>
          <w:lang w:val="en-US"/>
        </w:rPr>
        <w:t xml:space="preserve">context, the 1-year TTC matrices could be replaced by adjusted matrices. A cumulative product will replace the raise to power and would give rise to stressed / forward looking cumulative default probability surface. The homogeneous Markov Chain assumption would then be weakened to a non-homogeneous Markov Chain assumption. </w:t>
      </w:r>
    </w:p>
    <w:p w:rsidR="00203E45" w:rsidRDefault="00203E45" w:rsidP="00203E45">
      <w:pPr>
        <w:keepNext/>
        <w:jc w:val="center"/>
      </w:pPr>
      <w:r>
        <w:rPr>
          <w:noProof/>
        </w:rPr>
        <w:drawing>
          <wp:inline distT="0" distB="0" distL="0" distR="0" wp14:anchorId="5FC16D25" wp14:editId="1A851F7A">
            <wp:extent cx="258127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8760" r="26447" b="22973"/>
                    <a:stretch/>
                  </pic:blipFill>
                  <pic:spPr bwMode="auto">
                    <a:xfrm>
                      <a:off x="0" y="0"/>
                      <a:ext cx="2580422" cy="2742293"/>
                    </a:xfrm>
                    <a:prstGeom prst="rect">
                      <a:avLst/>
                    </a:prstGeom>
                    <a:ln>
                      <a:noFill/>
                    </a:ln>
                    <a:extLst>
                      <a:ext uri="{53640926-AAD7-44D8-BBD7-CCE9431645EC}">
                        <a14:shadowObscured xmlns:a14="http://schemas.microsoft.com/office/drawing/2010/main"/>
                      </a:ext>
                    </a:extLst>
                  </pic:spPr>
                </pic:pic>
              </a:graphicData>
            </a:graphic>
          </wp:inline>
        </w:drawing>
      </w:r>
    </w:p>
    <w:p w:rsidR="00203E45" w:rsidRPr="00203E45" w:rsidRDefault="00203E45" w:rsidP="00203E45">
      <w:pPr>
        <w:pStyle w:val="Caption"/>
      </w:pPr>
      <w:r>
        <w:t xml:space="preserve">Figure </w:t>
      </w:r>
      <w:r>
        <w:fldChar w:fldCharType="begin"/>
      </w:r>
      <w:r>
        <w:instrText xml:space="preserve"> SEQ Figure \* ARABIC </w:instrText>
      </w:r>
      <w:r>
        <w:fldChar w:fldCharType="separate"/>
      </w:r>
      <w:r w:rsidR="009E28F9">
        <w:rPr>
          <w:noProof/>
        </w:rPr>
        <w:t>3</w:t>
      </w:r>
      <w:r>
        <w:fldChar w:fldCharType="end"/>
      </w:r>
      <w:r>
        <w:t>: Corporate TTC term structure default probability. Note strict increasing along with both axes</w:t>
      </w:r>
    </w:p>
    <w:p w:rsidR="00E34B4E" w:rsidRDefault="00E34B4E" w:rsidP="00E34B4E">
      <w:pPr>
        <w:rPr>
          <w:rFonts w:asciiTheme="minorHAnsi" w:eastAsiaTheme="minorEastAsia" w:hAnsiTheme="minorHAnsi" w:cs="Helvetica-Bold"/>
          <w:bCs/>
          <w:sz w:val="22"/>
          <w:lang w:val="en-US" w:eastAsia="en-US"/>
        </w:rPr>
      </w:pPr>
    </w:p>
    <w:p w:rsidR="00E34B4E" w:rsidRDefault="00E34B4E">
      <w:pPr>
        <w:spacing w:after="0" w:line="240" w:lineRule="auto"/>
        <w:rPr>
          <w:rFonts w:asciiTheme="minorHAnsi" w:eastAsiaTheme="minorEastAsia" w:hAnsiTheme="minorHAnsi" w:cs="Helvetica-Bold"/>
          <w:bCs/>
          <w:sz w:val="22"/>
          <w:lang w:val="en-US" w:eastAsia="en-US"/>
        </w:rPr>
      </w:pPr>
      <w:r>
        <w:rPr>
          <w:rFonts w:asciiTheme="minorHAnsi" w:eastAsiaTheme="minorEastAsia" w:hAnsiTheme="minorHAnsi" w:cs="Helvetica-Bold"/>
          <w:bCs/>
          <w:sz w:val="22"/>
          <w:lang w:val="en-US" w:eastAsia="en-US"/>
        </w:rPr>
        <w:br w:type="page"/>
      </w:r>
    </w:p>
    <w:p w:rsidR="00080171" w:rsidRDefault="00080171" w:rsidP="00080171">
      <w:pPr>
        <w:pStyle w:val="Heading1"/>
        <w:rPr>
          <w:lang w:val="en-US"/>
        </w:rPr>
      </w:pPr>
      <w:bookmarkStart w:id="34" w:name="_Toc508997171"/>
      <w:r>
        <w:rPr>
          <w:lang w:val="en-US"/>
        </w:rPr>
        <w:lastRenderedPageBreak/>
        <w:t>Appendix</w:t>
      </w:r>
      <w:bookmarkEnd w:id="34"/>
    </w:p>
    <w:p w:rsidR="00080171" w:rsidRDefault="00C733B0" w:rsidP="00080171">
      <w:pPr>
        <w:pStyle w:val="Heading2"/>
        <w:tabs>
          <w:tab w:val="clear" w:pos="1440"/>
          <w:tab w:val="num" w:pos="1260"/>
        </w:tabs>
        <w:ind w:left="720"/>
        <w:rPr>
          <w:lang w:val="en-US"/>
        </w:rPr>
      </w:pPr>
      <w:bookmarkStart w:id="35" w:name="_Toc508997172"/>
      <w:r>
        <w:rPr>
          <w:lang w:val="en-US"/>
        </w:rPr>
        <w:t>Regularization impacts</w:t>
      </w:r>
      <w:bookmarkEnd w:id="35"/>
    </w:p>
    <w:p w:rsidR="00C733B0" w:rsidRDefault="00C733B0" w:rsidP="00C733B0">
      <w:pPr>
        <w:rPr>
          <w:lang w:val="en-US"/>
        </w:rPr>
      </w:pPr>
      <w:r>
        <w:rPr>
          <w:lang w:val="en-US"/>
        </w:rPr>
        <w:t xml:space="preserve">S&amp;P data base </w:t>
      </w:r>
    </w:p>
    <w:p w:rsidR="00C733B0" w:rsidRDefault="00C733B0" w:rsidP="00920695">
      <w:pPr>
        <w:rPr>
          <w:lang w:val="en-US"/>
        </w:rPr>
      </w:pPr>
      <w:r w:rsidRPr="00C733B0">
        <w:rPr>
          <w:noProof/>
        </w:rPr>
        <w:drawing>
          <wp:inline distT="0" distB="0" distL="0" distR="0" wp14:anchorId="2E6E4DCA" wp14:editId="58AB081C">
            <wp:extent cx="5760720" cy="2901183"/>
            <wp:effectExtent l="0" t="0" r="0" b="0"/>
            <wp:docPr id="38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901183"/>
                    </a:xfrm>
                    <a:prstGeom prst="rect">
                      <a:avLst/>
                    </a:prstGeom>
                    <a:noFill/>
                    <a:ln>
                      <a:noFill/>
                    </a:ln>
                    <a:effectLst/>
                    <a:extLst/>
                  </pic:spPr>
                </pic:pic>
              </a:graphicData>
            </a:graphic>
          </wp:inline>
        </w:drawing>
      </w:r>
    </w:p>
    <w:p w:rsidR="00C733B0" w:rsidRDefault="00C733B0" w:rsidP="00920695">
      <w:pPr>
        <w:rPr>
          <w:lang w:val="en-US"/>
        </w:rPr>
      </w:pPr>
      <w:r w:rsidRPr="00C733B0">
        <w:rPr>
          <w:noProof/>
        </w:rPr>
        <w:drawing>
          <wp:inline distT="0" distB="0" distL="0" distR="0" wp14:anchorId="3463102F" wp14:editId="5770B822">
            <wp:extent cx="5760720" cy="2901183"/>
            <wp:effectExtent l="0" t="0" r="0" b="0"/>
            <wp:docPr id="3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901183"/>
                    </a:xfrm>
                    <a:prstGeom prst="rect">
                      <a:avLst/>
                    </a:prstGeom>
                    <a:noFill/>
                    <a:ln>
                      <a:noFill/>
                    </a:ln>
                    <a:effectLst/>
                    <a:extLst/>
                  </pic:spPr>
                </pic:pic>
              </a:graphicData>
            </a:graphic>
          </wp:inline>
        </w:drawing>
      </w:r>
    </w:p>
    <w:p w:rsidR="00C733B0" w:rsidRDefault="00C733B0" w:rsidP="00920695">
      <w:pPr>
        <w:rPr>
          <w:lang w:val="en-US"/>
        </w:rPr>
      </w:pPr>
      <w:r w:rsidRPr="00C733B0">
        <w:rPr>
          <w:noProof/>
        </w:rPr>
        <w:lastRenderedPageBreak/>
        <w:drawing>
          <wp:inline distT="0" distB="0" distL="0" distR="0" wp14:anchorId="1A54E11F" wp14:editId="454D23E6">
            <wp:extent cx="5760720" cy="2901183"/>
            <wp:effectExtent l="0" t="0" r="0" b="0"/>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901183"/>
                    </a:xfrm>
                    <a:prstGeom prst="rect">
                      <a:avLst/>
                    </a:prstGeom>
                    <a:noFill/>
                    <a:ln>
                      <a:noFill/>
                    </a:ln>
                    <a:effectLst/>
                    <a:extLst/>
                  </pic:spPr>
                </pic:pic>
              </a:graphicData>
            </a:graphic>
          </wp:inline>
        </w:drawing>
      </w:r>
    </w:p>
    <w:p w:rsidR="00C733B0" w:rsidRPr="00C733B0" w:rsidRDefault="00C733B0" w:rsidP="00920695">
      <w:pPr>
        <w:rPr>
          <w:lang w:val="en-US"/>
        </w:rPr>
      </w:pPr>
      <w:r w:rsidRPr="00C733B0">
        <w:rPr>
          <w:noProof/>
        </w:rPr>
        <w:drawing>
          <wp:inline distT="0" distB="0" distL="0" distR="0" wp14:anchorId="3B670CE4" wp14:editId="7B66549A">
            <wp:extent cx="5760720" cy="2901183"/>
            <wp:effectExtent l="0" t="0" r="0" b="0"/>
            <wp:docPr id="4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901183"/>
                    </a:xfrm>
                    <a:prstGeom prst="rect">
                      <a:avLst/>
                    </a:prstGeom>
                    <a:noFill/>
                    <a:ln>
                      <a:noFill/>
                    </a:ln>
                    <a:effectLst/>
                    <a:extLst/>
                  </pic:spPr>
                </pic:pic>
              </a:graphicData>
            </a:graphic>
          </wp:inline>
        </w:drawing>
      </w:r>
    </w:p>
    <w:p w:rsidR="00C733B0" w:rsidRDefault="00C733B0" w:rsidP="00920695">
      <w:pPr>
        <w:rPr>
          <w:lang w:val="en-US"/>
        </w:rPr>
      </w:pPr>
      <w:r w:rsidRPr="00C733B0">
        <w:rPr>
          <w:noProof/>
        </w:rPr>
        <w:lastRenderedPageBreak/>
        <w:drawing>
          <wp:inline distT="0" distB="0" distL="0" distR="0" wp14:anchorId="1FC8869E" wp14:editId="6AE119D0">
            <wp:extent cx="5760720" cy="2901183"/>
            <wp:effectExtent l="0" t="0" r="0" b="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2901183"/>
                    </a:xfrm>
                    <a:prstGeom prst="rect">
                      <a:avLst/>
                    </a:prstGeom>
                    <a:noFill/>
                    <a:ln>
                      <a:noFill/>
                    </a:ln>
                    <a:effectLst/>
                    <a:extLst/>
                  </pic:spPr>
                </pic:pic>
              </a:graphicData>
            </a:graphic>
          </wp:inline>
        </w:drawing>
      </w:r>
    </w:p>
    <w:p w:rsidR="00335B62" w:rsidRDefault="00C733B0" w:rsidP="00920695">
      <w:pPr>
        <w:rPr>
          <w:lang w:val="en-US"/>
        </w:rPr>
      </w:pPr>
      <w:r w:rsidRPr="00C733B0">
        <w:rPr>
          <w:noProof/>
        </w:rPr>
        <w:drawing>
          <wp:inline distT="0" distB="0" distL="0" distR="0" wp14:anchorId="58A8262A" wp14:editId="45CCFEC9">
            <wp:extent cx="5972810" cy="3007995"/>
            <wp:effectExtent l="0" t="0" r="8890" b="1905"/>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2810" cy="3007995"/>
                    </a:xfrm>
                    <a:prstGeom prst="rect">
                      <a:avLst/>
                    </a:prstGeom>
                    <a:noFill/>
                    <a:ln>
                      <a:noFill/>
                    </a:ln>
                    <a:effectLst/>
                    <a:extLst/>
                  </pic:spPr>
                </pic:pic>
              </a:graphicData>
            </a:graphic>
          </wp:inline>
        </w:drawing>
      </w:r>
    </w:p>
    <w:p w:rsidR="00986FE1" w:rsidRPr="006324CF" w:rsidRDefault="00986FE1" w:rsidP="00920695">
      <w:pPr>
        <w:rPr>
          <w:lang w:val="en-US"/>
        </w:rPr>
      </w:pPr>
      <w:r w:rsidRPr="006324CF">
        <w:rPr>
          <w:lang w:val="en-US"/>
        </w:rPr>
        <w:br w:type="page"/>
      </w:r>
    </w:p>
    <w:bookmarkStart w:id="36" w:name="_Toc508997173" w:displacedByCustomXml="next"/>
    <w:sdt>
      <w:sdtPr>
        <w:rPr>
          <w:rFonts w:ascii="Arial" w:hAnsi="Arial" w:cs="Times New Roman"/>
          <w:b w:val="0"/>
          <w:bCs w:val="0"/>
          <w:color w:val="auto"/>
          <w:kern w:val="0"/>
          <w:sz w:val="20"/>
          <w:szCs w:val="22"/>
        </w:rPr>
        <w:id w:val="-689838611"/>
        <w:docPartObj>
          <w:docPartGallery w:val="Bibliographies"/>
          <w:docPartUnique/>
        </w:docPartObj>
      </w:sdtPr>
      <w:sdtContent>
        <w:p w:rsidR="00986FE1" w:rsidRPr="00CD0E8B" w:rsidRDefault="00986FE1">
          <w:pPr>
            <w:pStyle w:val="Heading1"/>
            <w:rPr>
              <w:lang w:val="en-US"/>
            </w:rPr>
          </w:pPr>
          <w:r w:rsidRPr="008D73A1">
            <w:rPr>
              <w:lang w:val="en-US"/>
            </w:rPr>
            <w:t>Bibliogra</w:t>
          </w:r>
          <w:r w:rsidRPr="00685C8F">
            <w:rPr>
              <w:lang w:val="en-US"/>
            </w:rPr>
            <w:t>p</w:t>
          </w:r>
          <w:r w:rsidRPr="00CD0E8B">
            <w:rPr>
              <w:lang w:val="en-US"/>
            </w:rPr>
            <w:t>hy</w:t>
          </w:r>
          <w:bookmarkEnd w:id="36"/>
        </w:p>
        <w:sdt>
          <w:sdtPr>
            <w:id w:val="111145805"/>
            <w:bibliography/>
          </w:sdtPr>
          <w:sdtContent>
            <w:p w:rsidR="007A2F35" w:rsidRDefault="00986FE1" w:rsidP="008F60C2">
              <w:pPr>
                <w:rPr>
                  <w:rFonts w:ascii="Calibri" w:hAnsi="Calibri"/>
                  <w:noProof/>
                  <w:szCs w:val="20"/>
                </w:rPr>
              </w:pPr>
              <w:r>
                <w:fldChar w:fldCharType="begin"/>
              </w:r>
              <w:r w:rsidRPr="00986FE1">
                <w:rPr>
                  <w:lang w:val="en-US"/>
                </w:rPr>
                <w:instrText xml:space="preserve"> BIBLIOGRAPHY </w:instrText>
              </w:r>
              <w:r>
                <w:fldChar w:fldCharType="separate"/>
              </w:r>
              <w:bookmarkStart w:id="37" w:name="_Ref50647955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864"/>
              </w:tblGrid>
              <w:tr w:rsidR="007A2F35" w:rsidRPr="00573C14">
                <w:trPr>
                  <w:tblCellSpacing w:w="15" w:type="dxa"/>
                </w:trPr>
                <w:tc>
                  <w:tcPr>
                    <w:tcW w:w="50" w:type="pct"/>
                    <w:hideMark/>
                  </w:tcPr>
                  <w:p w:rsidR="007A2F35" w:rsidRDefault="007A2F35">
                    <w:pPr>
                      <w:pStyle w:val="Bibliography"/>
                      <w:rPr>
                        <w:rFonts w:eastAsiaTheme="minorEastAsia"/>
                        <w:noProof/>
                        <w:lang w:val="en-US"/>
                      </w:rPr>
                    </w:pPr>
                    <w:r>
                      <w:rPr>
                        <w:noProof/>
                        <w:lang w:val="en-US"/>
                      </w:rPr>
                      <w:t xml:space="preserve">[1] </w:t>
                    </w:r>
                  </w:p>
                </w:tc>
                <w:tc>
                  <w:tcPr>
                    <w:tcW w:w="0" w:type="auto"/>
                    <w:hideMark/>
                  </w:tcPr>
                  <w:p w:rsidR="007A2F35" w:rsidRDefault="007A2F35">
                    <w:pPr>
                      <w:pStyle w:val="Bibliography"/>
                      <w:rPr>
                        <w:rFonts w:eastAsiaTheme="minorEastAsia"/>
                        <w:noProof/>
                        <w:lang w:val="en-US"/>
                      </w:rPr>
                    </w:pPr>
                    <w:r>
                      <w:rPr>
                        <w:noProof/>
                        <w:lang w:val="en-US"/>
                      </w:rPr>
                      <w:t>J. H. a. R. M. Stéphane Dees, "STAMP€: Stress-Test Analytics for Macroprudential Purposes in the euro area," European Central Bank, 2017.</w:t>
                    </w:r>
                  </w:p>
                </w:tc>
              </w:tr>
              <w:tr w:rsidR="007A2F35" w:rsidRPr="00573C14">
                <w:trPr>
                  <w:tblCellSpacing w:w="15" w:type="dxa"/>
                </w:trPr>
                <w:tc>
                  <w:tcPr>
                    <w:tcW w:w="50" w:type="pct"/>
                    <w:hideMark/>
                  </w:tcPr>
                  <w:p w:rsidR="007A2F35" w:rsidRDefault="007A2F35">
                    <w:pPr>
                      <w:pStyle w:val="Bibliography"/>
                      <w:rPr>
                        <w:rFonts w:eastAsiaTheme="minorEastAsia"/>
                        <w:noProof/>
                        <w:lang w:val="en-US"/>
                      </w:rPr>
                    </w:pPr>
                    <w:r>
                      <w:rPr>
                        <w:noProof/>
                        <w:lang w:val="en-US"/>
                      </w:rPr>
                      <w:t xml:space="preserve">[2] </w:t>
                    </w:r>
                  </w:p>
                </w:tc>
                <w:tc>
                  <w:tcPr>
                    <w:tcW w:w="0" w:type="auto"/>
                    <w:hideMark/>
                  </w:tcPr>
                  <w:p w:rsidR="007A2F35" w:rsidRDefault="007A2F35">
                    <w:pPr>
                      <w:pStyle w:val="Bibliography"/>
                      <w:rPr>
                        <w:rFonts w:eastAsiaTheme="minorEastAsia"/>
                        <w:noProof/>
                        <w:lang w:val="en-US"/>
                      </w:rPr>
                    </w:pPr>
                    <w:r>
                      <w:rPr>
                        <w:noProof/>
                        <w:lang w:val="en-US"/>
                      </w:rPr>
                      <w:t xml:space="preserve">T. S. Yusuf Jafry, "Measurement, estimation and comparison of credit migration matrices," </w:t>
                    </w:r>
                    <w:r>
                      <w:rPr>
                        <w:i/>
                        <w:iCs/>
                        <w:noProof/>
                        <w:lang w:val="en-US"/>
                      </w:rPr>
                      <w:t xml:space="preserve">Journal of Banking &amp; Finance, </w:t>
                    </w:r>
                    <w:r>
                      <w:rPr>
                        <w:noProof/>
                        <w:lang w:val="en-US"/>
                      </w:rPr>
                      <w:t xml:space="preserve">pp. 2603-2639, 2004. </w:t>
                    </w:r>
                  </w:p>
                </w:tc>
              </w:tr>
              <w:tr w:rsidR="007A2F35" w:rsidRPr="00573C14">
                <w:trPr>
                  <w:tblCellSpacing w:w="15" w:type="dxa"/>
                </w:trPr>
                <w:tc>
                  <w:tcPr>
                    <w:tcW w:w="50" w:type="pct"/>
                    <w:hideMark/>
                  </w:tcPr>
                  <w:p w:rsidR="007A2F35" w:rsidRDefault="007A2F35">
                    <w:pPr>
                      <w:pStyle w:val="Bibliography"/>
                      <w:rPr>
                        <w:rFonts w:eastAsiaTheme="minorEastAsia"/>
                        <w:noProof/>
                        <w:lang w:val="en-US"/>
                      </w:rPr>
                    </w:pPr>
                    <w:r>
                      <w:rPr>
                        <w:noProof/>
                        <w:lang w:val="en-US"/>
                      </w:rPr>
                      <w:t xml:space="preserve">[3] </w:t>
                    </w:r>
                  </w:p>
                </w:tc>
                <w:tc>
                  <w:tcPr>
                    <w:tcW w:w="0" w:type="auto"/>
                    <w:hideMark/>
                  </w:tcPr>
                  <w:p w:rsidR="007A2F35" w:rsidRDefault="007A2F35">
                    <w:pPr>
                      <w:pStyle w:val="Bibliography"/>
                      <w:rPr>
                        <w:rFonts w:eastAsiaTheme="minorEastAsia"/>
                        <w:noProof/>
                        <w:lang w:val="en-US"/>
                      </w:rPr>
                    </w:pPr>
                    <w:r>
                      <w:rPr>
                        <w:noProof/>
                        <w:lang w:val="en-US"/>
                      </w:rPr>
                      <w:t xml:space="preserve">T. S. Yusuf Jafry, "Metrics for Comparing Credit Migration Matrices," </w:t>
                    </w:r>
                    <w:r>
                      <w:rPr>
                        <w:i/>
                        <w:iCs/>
                        <w:noProof/>
                        <w:lang w:val="en-US"/>
                      </w:rPr>
                      <w:t xml:space="preserve">Wharton Financial Institutions Center Working Paper No. 03-09, </w:t>
                    </w:r>
                    <w:r>
                      <w:rPr>
                        <w:noProof/>
                        <w:lang w:val="en-US"/>
                      </w:rPr>
                      <w:t xml:space="preserve">2003. </w:t>
                    </w:r>
                  </w:p>
                </w:tc>
              </w:tr>
              <w:tr w:rsidR="007A2F35" w:rsidRPr="00573C14">
                <w:trPr>
                  <w:tblCellSpacing w:w="15" w:type="dxa"/>
                </w:trPr>
                <w:tc>
                  <w:tcPr>
                    <w:tcW w:w="50" w:type="pct"/>
                    <w:hideMark/>
                  </w:tcPr>
                  <w:p w:rsidR="007A2F35" w:rsidRDefault="007A2F35">
                    <w:pPr>
                      <w:pStyle w:val="Bibliography"/>
                      <w:rPr>
                        <w:rFonts w:eastAsiaTheme="minorEastAsia"/>
                        <w:noProof/>
                        <w:lang w:val="en-US"/>
                      </w:rPr>
                    </w:pPr>
                    <w:r>
                      <w:rPr>
                        <w:noProof/>
                        <w:lang w:val="en-US"/>
                      </w:rPr>
                      <w:t xml:space="preserve">[4] </w:t>
                    </w:r>
                  </w:p>
                </w:tc>
                <w:tc>
                  <w:tcPr>
                    <w:tcW w:w="0" w:type="auto"/>
                    <w:hideMark/>
                  </w:tcPr>
                  <w:p w:rsidR="007A2F35" w:rsidRDefault="007A2F35">
                    <w:pPr>
                      <w:pStyle w:val="Bibliography"/>
                      <w:rPr>
                        <w:rFonts w:eastAsiaTheme="minorEastAsia"/>
                        <w:noProof/>
                        <w:lang w:val="en-US"/>
                      </w:rPr>
                    </w:pPr>
                    <w:r>
                      <w:rPr>
                        <w:noProof/>
                        <w:lang w:val="en-US"/>
                      </w:rPr>
                      <w:t xml:space="preserve">S. C. I. R. Solutions, "CreditPro Methodology," </w:t>
                    </w:r>
                    <w:r>
                      <w:rPr>
                        <w:i/>
                        <w:iCs/>
                        <w:noProof/>
                        <w:lang w:val="en-US"/>
                      </w:rPr>
                      <w:t xml:space="preserve">McGRAW-HILL FINANCIAL, </w:t>
                    </w:r>
                    <w:r>
                      <w:rPr>
                        <w:noProof/>
                        <w:lang w:val="en-US"/>
                      </w:rPr>
                      <w:t xml:space="preserve">2015. </w:t>
                    </w:r>
                  </w:p>
                </w:tc>
              </w:tr>
            </w:tbl>
            <w:p w:rsidR="007A2F35" w:rsidRPr="00011D62" w:rsidRDefault="007A2F35">
              <w:pPr>
                <w:rPr>
                  <w:noProof/>
                  <w:lang w:val="en-US"/>
                </w:rPr>
              </w:pPr>
            </w:p>
            <w:bookmarkEnd w:id="37"/>
            <w:p w:rsidR="00986FE1" w:rsidRDefault="00986FE1" w:rsidP="008F60C2">
              <w:r>
                <w:rPr>
                  <w:b/>
                  <w:bCs/>
                  <w:noProof/>
                </w:rPr>
                <w:fldChar w:fldCharType="end"/>
              </w:r>
            </w:p>
          </w:sdtContent>
        </w:sdt>
      </w:sdtContent>
    </w:sdt>
    <w:p w:rsidR="005057D0" w:rsidRPr="005057D0" w:rsidRDefault="005057D0" w:rsidP="005057D0">
      <w:pPr>
        <w:rPr>
          <w:lang w:val="en-US"/>
        </w:rPr>
      </w:pPr>
    </w:p>
    <w:sectPr w:rsidR="005057D0" w:rsidRPr="005057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881" w:rsidRDefault="00120881" w:rsidP="006C68ED">
      <w:pPr>
        <w:spacing w:after="0" w:line="240" w:lineRule="auto"/>
      </w:pPr>
      <w:r>
        <w:separator/>
      </w:r>
    </w:p>
  </w:endnote>
  <w:endnote w:type="continuationSeparator" w:id="0">
    <w:p w:rsidR="00120881" w:rsidRDefault="00120881" w:rsidP="006C6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Default="00120881" w:rsidP="00F9353E">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881" w:rsidRDefault="00120881" w:rsidP="00E077F0">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Pr="001760C4" w:rsidRDefault="00120881" w:rsidP="00B71D6E">
    <w:pPr>
      <w:jc w:val="center"/>
      <w:rPr>
        <w:bCs/>
      </w:rPr>
    </w:pPr>
    <w:r w:rsidRPr="001760C4">
      <w:rPr>
        <w:bCs/>
      </w:rPr>
      <w:t>usage interne</w:t>
    </w:r>
  </w:p>
  <w:p w:rsidR="00120881" w:rsidRDefault="00120881" w:rsidP="00E077F0">
    <w:pPr>
      <w:ind w:right="360"/>
    </w:pPr>
    <w:r>
      <w:rPr>
        <w:noProof/>
        <w:color w:val="808080"/>
      </w:rPr>
      <mc:AlternateContent>
        <mc:Choice Requires="wps">
          <w:drawing>
            <wp:anchor distT="0" distB="0" distL="114300" distR="114300" simplePos="0" relativeHeight="251656192" behindDoc="0" locked="0" layoutInCell="1" allowOverlap="1" wp14:anchorId="71EE4CD5" wp14:editId="5E068D33">
              <wp:simplePos x="0" y="0"/>
              <wp:positionH relativeFrom="column">
                <wp:posOffset>0</wp:posOffset>
              </wp:positionH>
              <wp:positionV relativeFrom="paragraph">
                <wp:posOffset>-17145</wp:posOffset>
              </wp:positionV>
              <wp:extent cx="5756275" cy="0"/>
              <wp:effectExtent l="9525" t="11430" r="6350" b="7620"/>
              <wp:wrapNone/>
              <wp:docPr id="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275" cy="0"/>
                      </a:xfrm>
                      <a:prstGeom prst="line">
                        <a:avLst/>
                      </a:prstGeom>
                      <a:noFill/>
                      <a:ln w="635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5pt" to="45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" strokecolor="gray" strokeweight=".5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Default="0012088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Pr="00CE4BDB" w:rsidRDefault="00120881" w:rsidP="0013146B">
    <w:pPr>
      <w:framePr w:wrap="around" w:vAnchor="text" w:hAnchor="page" w:x="10951" w:y="28"/>
      <w:rPr>
        <w:rStyle w:val="PageNumber"/>
        <w:color w:val="808080"/>
      </w:rPr>
    </w:pPr>
    <w:r w:rsidRPr="00CE4BDB">
      <w:rPr>
        <w:rStyle w:val="PageNumber"/>
        <w:color w:val="808080"/>
      </w:rPr>
      <w:fldChar w:fldCharType="begin"/>
    </w:r>
    <w:r w:rsidRPr="00CE4BDB">
      <w:rPr>
        <w:rStyle w:val="PageNumber"/>
        <w:color w:val="808080"/>
      </w:rPr>
      <w:instrText xml:space="preserve"> PAGE </w:instrText>
    </w:r>
    <w:r w:rsidRPr="00CE4BDB">
      <w:rPr>
        <w:rStyle w:val="PageNumber"/>
        <w:color w:val="808080"/>
      </w:rPr>
      <w:fldChar w:fldCharType="separate"/>
    </w:r>
    <w:r w:rsidR="00685B5D">
      <w:rPr>
        <w:rStyle w:val="PageNumber"/>
        <w:noProof/>
        <w:color w:val="808080"/>
      </w:rPr>
      <w:t>11</w:t>
    </w:r>
    <w:r w:rsidRPr="00CE4BDB">
      <w:rPr>
        <w:rStyle w:val="PageNumber"/>
        <w:color w:val="808080"/>
      </w:rPr>
      <w:fldChar w:fldCharType="end"/>
    </w:r>
    <w:r w:rsidRPr="00CE4BDB">
      <w:rPr>
        <w:rStyle w:val="PageNumber"/>
        <w:color w:val="808080"/>
      </w:rPr>
      <w:t xml:space="preserve"> / </w:t>
    </w:r>
    <w:r w:rsidRPr="00CE4BDB">
      <w:rPr>
        <w:rStyle w:val="PageNumber"/>
        <w:color w:val="808080"/>
      </w:rPr>
      <w:fldChar w:fldCharType="begin"/>
    </w:r>
    <w:r w:rsidRPr="00CE4BDB">
      <w:rPr>
        <w:rStyle w:val="PageNumber"/>
        <w:color w:val="808080"/>
      </w:rPr>
      <w:instrText xml:space="preserve"> NUMPAGES </w:instrText>
    </w:r>
    <w:r w:rsidRPr="00CE4BDB">
      <w:rPr>
        <w:rStyle w:val="PageNumber"/>
        <w:color w:val="808080"/>
      </w:rPr>
      <w:fldChar w:fldCharType="separate"/>
    </w:r>
    <w:r w:rsidR="00685B5D">
      <w:rPr>
        <w:rStyle w:val="PageNumber"/>
        <w:noProof/>
        <w:color w:val="808080"/>
      </w:rPr>
      <w:t>28</w:t>
    </w:r>
    <w:r w:rsidRPr="00CE4BDB">
      <w:rPr>
        <w:rStyle w:val="PageNumber"/>
        <w:color w:val="808080"/>
      </w:rPr>
      <w:fldChar w:fldCharType="end"/>
    </w:r>
  </w:p>
  <w:p w:rsidR="00120881" w:rsidRPr="001760C4" w:rsidRDefault="00120881" w:rsidP="0013146B">
    <w:pPr>
      <w:jc w:val="center"/>
      <w:rPr>
        <w:bCs/>
      </w:rPr>
    </w:pPr>
    <w:r>
      <w:rPr>
        <w:bCs/>
      </w:rPr>
      <w:t xml:space="preserve">usage </w:t>
    </w:r>
    <w:r w:rsidRPr="001760C4">
      <w:rPr>
        <w:bCs/>
      </w:rPr>
      <w:t>interne</w:t>
    </w:r>
    <w:r>
      <w:rPr>
        <w:bCs/>
      </w:rPr>
      <w:t xml:space="preserve">    </w:t>
    </w:r>
  </w:p>
  <w:p w:rsidR="00120881" w:rsidRDefault="00120881" w:rsidP="00E077F0">
    <w:pPr>
      <w:ind w:right="360"/>
    </w:pPr>
    <w:r>
      <w:rPr>
        <w:noProof/>
      </w:rPr>
      <mc:AlternateContent>
        <mc:Choice Requires="wps">
          <w:drawing>
            <wp:anchor distT="0" distB="0" distL="114300" distR="114300" simplePos="0" relativeHeight="251657216" behindDoc="0" locked="0" layoutInCell="1" allowOverlap="1" wp14:anchorId="3C63C740" wp14:editId="5ADFC767">
              <wp:simplePos x="0" y="0"/>
              <wp:positionH relativeFrom="column">
                <wp:posOffset>0</wp:posOffset>
              </wp:positionH>
              <wp:positionV relativeFrom="paragraph">
                <wp:posOffset>122555</wp:posOffset>
              </wp:positionV>
              <wp:extent cx="5194300" cy="0"/>
              <wp:effectExtent l="9525" t="8255" r="6350" b="10795"/>
              <wp:wrapNone/>
              <wp:docPr id="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0" cy="0"/>
                      </a:xfrm>
                      <a:prstGeom prst="line">
                        <a:avLst/>
                      </a:prstGeom>
                      <a:noFill/>
                      <a:ln w="6350">
                        <a:solidFill>
                          <a:srgbClr val="A0A4A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6A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5pt" to="40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" strokecolor="#a0a4a7" strokeweight=".5pt">
              <v:shadow color="#006a4e"/>
            </v:line>
          </w:pict>
        </mc:Fallback>
      </mc:AlternateContent>
    </w:r>
    <w:r>
      <w:rPr>
        <w:noProof/>
      </w:rPr>
      <mc:AlternateContent>
        <mc:Choice Requires="wps">
          <w:drawing>
            <wp:anchor distT="0" distB="0" distL="114300" distR="114300" simplePos="0" relativeHeight="251658240" behindDoc="0" locked="0" layoutInCell="1" allowOverlap="1" wp14:anchorId="55F19C80" wp14:editId="310DAB6C">
              <wp:simplePos x="0" y="0"/>
              <wp:positionH relativeFrom="column">
                <wp:posOffset>5194300</wp:posOffset>
              </wp:positionH>
              <wp:positionV relativeFrom="paragraph">
                <wp:posOffset>-238125</wp:posOffset>
              </wp:positionV>
              <wp:extent cx="576580" cy="360680"/>
              <wp:effectExtent l="12700" t="9525" r="10795" b="10795"/>
              <wp:wrapNone/>
              <wp:docPr id="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580" cy="360680"/>
                      </a:xfrm>
                      <a:prstGeom prst="line">
                        <a:avLst/>
                      </a:prstGeom>
                      <a:noFill/>
                      <a:ln w="6350">
                        <a:solidFill>
                          <a:srgbClr val="A0A4A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6A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pt,-18.75pt" to="454.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" strokecolor="#a0a4a7" strokeweight=".5pt">
              <v:shadow color="#006a4e"/>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881" w:rsidRDefault="00120881" w:rsidP="006C68ED">
      <w:pPr>
        <w:spacing w:after="0" w:line="240" w:lineRule="auto"/>
      </w:pPr>
      <w:r>
        <w:separator/>
      </w:r>
    </w:p>
  </w:footnote>
  <w:footnote w:type="continuationSeparator" w:id="0">
    <w:p w:rsidR="00120881" w:rsidRDefault="00120881" w:rsidP="006C68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Default="001208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5967"/>
    </w:tblGrid>
    <w:tr w:rsidR="00120881" w:rsidRPr="002D310E" w:rsidTr="00A6775F">
      <w:trPr>
        <w:trHeight w:val="344"/>
      </w:trPr>
      <w:tc>
        <w:tcPr>
          <w:tcW w:w="3060" w:type="dxa"/>
          <w:shd w:val="clear" w:color="auto" w:fill="auto"/>
          <w:tcMar>
            <w:left w:w="0" w:type="dxa"/>
            <w:right w:w="0" w:type="dxa"/>
          </w:tcMar>
          <w:vAlign w:val="center"/>
        </w:tcPr>
        <w:p w:rsidR="00120881" w:rsidRDefault="00120881" w:rsidP="00A6775F">
          <w:pPr>
            <w:pStyle w:val="Header"/>
            <w:spacing w:after="0"/>
          </w:pPr>
          <w:sdt>
            <w:sdtPr>
              <w:id w:val="210930662"/>
              <w:docPartObj>
                <w:docPartGallery w:val="Watermarks"/>
                <w:docPartUnique/>
              </w:docPartObj>
            </w:sdt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532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sdtContent>
          </w:sdt>
          <w:r>
            <w:rPr>
              <w:noProof/>
            </w:rPr>
            <w:drawing>
              <wp:inline distT="0" distB="0" distL="0" distR="0" wp14:anchorId="624D2278" wp14:editId="44302E29">
                <wp:extent cx="1938020" cy="470535"/>
                <wp:effectExtent l="0" t="0" r="0" b="0"/>
                <wp:docPr id="1" name="Image 1" descr="cac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ib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8020" cy="470535"/>
                        </a:xfrm>
                        <a:prstGeom prst="rect">
                          <a:avLst/>
                        </a:prstGeom>
                        <a:noFill/>
                        <a:ln>
                          <a:noFill/>
                        </a:ln>
                      </pic:spPr>
                    </pic:pic>
                  </a:graphicData>
                </a:graphic>
              </wp:inline>
            </w:drawing>
          </w:r>
        </w:p>
      </w:tc>
      <w:tc>
        <w:tcPr>
          <w:tcW w:w="5967" w:type="dxa"/>
          <w:shd w:val="clear" w:color="auto" w:fill="auto"/>
          <w:vAlign w:val="center"/>
        </w:tcPr>
        <w:p w:rsidR="00120881" w:rsidRPr="00066024" w:rsidRDefault="00120881" w:rsidP="00066024">
          <w:pPr>
            <w:pStyle w:val="Header"/>
            <w:spacing w:after="0"/>
            <w:rPr>
              <w:b/>
              <w:color w:val="5E6A71"/>
              <w:sz w:val="24"/>
              <w:szCs w:val="24"/>
            </w:rPr>
          </w:pPr>
        </w:p>
        <w:p w:rsidR="00120881" w:rsidRPr="00066024" w:rsidRDefault="00120881" w:rsidP="00066024">
          <w:pPr>
            <w:pStyle w:val="Header"/>
            <w:tabs>
              <w:tab w:val="clear" w:pos="4536"/>
            </w:tabs>
            <w:spacing w:after="0"/>
            <w:jc w:val="right"/>
            <w:rPr>
              <w:b/>
              <w:color w:val="5E6A71"/>
              <w:sz w:val="24"/>
              <w:szCs w:val="24"/>
              <w:lang w:val="en-US"/>
            </w:rPr>
          </w:pPr>
          <w:r>
            <w:rPr>
              <w:b/>
              <w:color w:val="5E6A71"/>
              <w:sz w:val="24"/>
              <w:szCs w:val="24"/>
              <w:lang w:val="en-US"/>
            </w:rPr>
            <w:t>IFRS 9 – Impairment</w:t>
          </w:r>
        </w:p>
        <w:p w:rsidR="00120881" w:rsidRPr="00066024" w:rsidRDefault="00120881" w:rsidP="00066024">
          <w:pPr>
            <w:pStyle w:val="Header"/>
            <w:tabs>
              <w:tab w:val="clear" w:pos="4536"/>
            </w:tabs>
            <w:spacing w:after="0"/>
            <w:jc w:val="right"/>
            <w:rPr>
              <w:b/>
              <w:color w:val="5E6A71"/>
              <w:sz w:val="24"/>
              <w:szCs w:val="24"/>
              <w:lang w:val="en-US"/>
            </w:rPr>
          </w:pPr>
        </w:p>
      </w:tc>
    </w:tr>
  </w:tbl>
  <w:p w:rsidR="00120881" w:rsidRPr="00066024" w:rsidRDefault="00120881" w:rsidP="005B23F9">
    <w:pPr>
      <w:pStyle w:val="Header"/>
      <w:spacing w:after="0" w:line="240" w:lineRule="aut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881" w:rsidRDefault="001208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597A"/>
    <w:multiLevelType w:val="hybridMultilevel"/>
    <w:tmpl w:val="0190705E"/>
    <w:lvl w:ilvl="0" w:tplc="040C0013">
      <w:start w:val="1"/>
      <w:numFmt w:val="upperRoman"/>
      <w:lvlText w:val="%1."/>
      <w:lvlJc w:val="right"/>
      <w:pPr>
        <w:tabs>
          <w:tab w:val="num" w:pos="540"/>
        </w:tabs>
        <w:ind w:left="540" w:hanging="180"/>
      </w:pPr>
    </w:lvl>
    <w:lvl w:ilvl="1" w:tplc="040C0019" w:tentative="1">
      <w:start w:val="1"/>
      <w:numFmt w:val="lowerLetter"/>
      <w:lvlText w:val="%2."/>
      <w:lvlJc w:val="left"/>
      <w:pPr>
        <w:tabs>
          <w:tab w:val="num" w:pos="1440"/>
        </w:tabs>
        <w:ind w:left="1440" w:hanging="360"/>
      </w:pPr>
    </w:lvl>
    <w:lvl w:ilvl="2" w:tplc="040C0015">
      <w:start w:val="1"/>
      <w:numFmt w:val="upperLetter"/>
      <w:lvlText w:val="%3."/>
      <w:lvlJc w:val="left"/>
      <w:pPr>
        <w:tabs>
          <w:tab w:val="num" w:pos="2340"/>
        </w:tabs>
        <w:ind w:left="2340" w:hanging="360"/>
      </w:pPr>
    </w:lvl>
    <w:lvl w:ilvl="3" w:tplc="040C000F" w:tentative="1">
      <w:start w:val="1"/>
      <w:numFmt w:val="decimal"/>
      <w:lvlText w:val="%4."/>
      <w:lvlJc w:val="left"/>
      <w:pPr>
        <w:tabs>
          <w:tab w:val="num" w:pos="2880"/>
        </w:tabs>
        <w:ind w:left="2880" w:hanging="360"/>
      </w:pPr>
    </w:lvl>
    <w:lvl w:ilvl="4" w:tplc="040C000F">
      <w:start w:val="1"/>
      <w:numFmt w:val="decimal"/>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19">
      <w:start w:val="1"/>
      <w:numFmt w:val="lowerLetter"/>
      <w:lvlText w:val="%7."/>
      <w:lvlJc w:val="left"/>
      <w:pPr>
        <w:tabs>
          <w:tab w:val="num" w:pos="5040"/>
        </w:tabs>
        <w:ind w:left="5040" w:hanging="360"/>
      </w:pPr>
    </w:lvl>
    <w:lvl w:ilvl="7" w:tplc="55181140">
      <w:start w:val="1"/>
      <w:numFmt w:val="bullet"/>
      <w:pStyle w:val="Heading5"/>
      <w:lvlText w:val=""/>
      <w:lvlJc w:val="left"/>
      <w:pPr>
        <w:tabs>
          <w:tab w:val="num" w:pos="5760"/>
        </w:tabs>
        <w:ind w:left="5760" w:hanging="360"/>
      </w:pPr>
      <w:rPr>
        <w:rFonts w:ascii="Wingdings" w:hAnsi="Wingdings" w:hint="default"/>
      </w:rPr>
    </w:lvl>
    <w:lvl w:ilvl="8" w:tplc="040C001B" w:tentative="1">
      <w:start w:val="1"/>
      <w:numFmt w:val="lowerRoman"/>
      <w:lvlText w:val="%9."/>
      <w:lvlJc w:val="right"/>
      <w:pPr>
        <w:tabs>
          <w:tab w:val="num" w:pos="6480"/>
        </w:tabs>
        <w:ind w:left="6480" w:hanging="180"/>
      </w:pPr>
    </w:lvl>
  </w:abstractNum>
  <w:abstractNum w:abstractNumId="1">
    <w:nsid w:val="05DF687C"/>
    <w:multiLevelType w:val="hybridMultilevel"/>
    <w:tmpl w:val="F80ECEE2"/>
    <w:lvl w:ilvl="0" w:tplc="442A8F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E31F78"/>
    <w:multiLevelType w:val="hybridMultilevel"/>
    <w:tmpl w:val="EBA6CE52"/>
    <w:lvl w:ilvl="0" w:tplc="2BC47F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7A87"/>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376956"/>
    <w:multiLevelType w:val="hybridMultilevel"/>
    <w:tmpl w:val="68D649A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7A6909"/>
    <w:multiLevelType w:val="hybridMultilevel"/>
    <w:tmpl w:val="8D346AE2"/>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687A2D"/>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372777"/>
    <w:multiLevelType w:val="multilevel"/>
    <w:tmpl w:val="9864B4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BF7D29"/>
    <w:multiLevelType w:val="hybridMultilevel"/>
    <w:tmpl w:val="6FC422DA"/>
    <w:lvl w:ilvl="0" w:tplc="98DE039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C8B05C6"/>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B01398"/>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346436"/>
    <w:multiLevelType w:val="hybridMultilevel"/>
    <w:tmpl w:val="95464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4510A9"/>
    <w:multiLevelType w:val="hybridMultilevel"/>
    <w:tmpl w:val="C0D4F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BA4BC8"/>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7676C9"/>
    <w:multiLevelType w:val="hybridMultilevel"/>
    <w:tmpl w:val="51C2FEB6"/>
    <w:lvl w:ilvl="0" w:tplc="589A8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C36FCD"/>
    <w:multiLevelType w:val="hybridMultilevel"/>
    <w:tmpl w:val="C750F9A0"/>
    <w:lvl w:ilvl="0" w:tplc="22905576">
      <w:start w:val="1"/>
      <w:numFmt w:val="bullet"/>
      <w:lvlText w:val=""/>
      <w:lvlJc w:val="left"/>
      <w:pPr>
        <w:tabs>
          <w:tab w:val="num" w:pos="720"/>
        </w:tabs>
        <w:ind w:left="720" w:hanging="360"/>
      </w:pPr>
      <w:rPr>
        <w:rFonts w:ascii="Wingdings" w:hAnsi="Wingdings" w:hint="default"/>
      </w:rPr>
    </w:lvl>
    <w:lvl w:ilvl="1" w:tplc="FEDCC360" w:tentative="1">
      <w:start w:val="1"/>
      <w:numFmt w:val="bullet"/>
      <w:lvlText w:val=""/>
      <w:lvlJc w:val="left"/>
      <w:pPr>
        <w:tabs>
          <w:tab w:val="num" w:pos="1440"/>
        </w:tabs>
        <w:ind w:left="1440" w:hanging="360"/>
      </w:pPr>
      <w:rPr>
        <w:rFonts w:ascii="Wingdings" w:hAnsi="Wingdings" w:hint="default"/>
      </w:rPr>
    </w:lvl>
    <w:lvl w:ilvl="2" w:tplc="D03C4B2C">
      <w:start w:val="1"/>
      <w:numFmt w:val="bullet"/>
      <w:lvlText w:val=""/>
      <w:lvlJc w:val="left"/>
      <w:pPr>
        <w:tabs>
          <w:tab w:val="num" w:pos="2160"/>
        </w:tabs>
        <w:ind w:left="2160" w:hanging="360"/>
      </w:pPr>
      <w:rPr>
        <w:rFonts w:ascii="Wingdings" w:hAnsi="Wingdings" w:hint="default"/>
      </w:rPr>
    </w:lvl>
    <w:lvl w:ilvl="3" w:tplc="268409F4" w:tentative="1">
      <w:start w:val="1"/>
      <w:numFmt w:val="bullet"/>
      <w:lvlText w:val=""/>
      <w:lvlJc w:val="left"/>
      <w:pPr>
        <w:tabs>
          <w:tab w:val="num" w:pos="2880"/>
        </w:tabs>
        <w:ind w:left="2880" w:hanging="360"/>
      </w:pPr>
      <w:rPr>
        <w:rFonts w:ascii="Wingdings" w:hAnsi="Wingdings" w:hint="default"/>
      </w:rPr>
    </w:lvl>
    <w:lvl w:ilvl="4" w:tplc="3A344376" w:tentative="1">
      <w:start w:val="1"/>
      <w:numFmt w:val="bullet"/>
      <w:lvlText w:val=""/>
      <w:lvlJc w:val="left"/>
      <w:pPr>
        <w:tabs>
          <w:tab w:val="num" w:pos="3600"/>
        </w:tabs>
        <w:ind w:left="3600" w:hanging="360"/>
      </w:pPr>
      <w:rPr>
        <w:rFonts w:ascii="Wingdings" w:hAnsi="Wingdings" w:hint="default"/>
      </w:rPr>
    </w:lvl>
    <w:lvl w:ilvl="5" w:tplc="5152346E">
      <w:start w:val="1752"/>
      <w:numFmt w:val="bullet"/>
      <w:lvlText w:val=""/>
      <w:lvlJc w:val="left"/>
      <w:pPr>
        <w:tabs>
          <w:tab w:val="num" w:pos="4320"/>
        </w:tabs>
        <w:ind w:left="4320" w:hanging="360"/>
      </w:pPr>
      <w:rPr>
        <w:rFonts w:ascii="Wingdings" w:hAnsi="Wingdings" w:hint="default"/>
      </w:rPr>
    </w:lvl>
    <w:lvl w:ilvl="6" w:tplc="D7E65418" w:tentative="1">
      <w:start w:val="1"/>
      <w:numFmt w:val="bullet"/>
      <w:lvlText w:val=""/>
      <w:lvlJc w:val="left"/>
      <w:pPr>
        <w:tabs>
          <w:tab w:val="num" w:pos="5040"/>
        </w:tabs>
        <w:ind w:left="5040" w:hanging="360"/>
      </w:pPr>
      <w:rPr>
        <w:rFonts w:ascii="Wingdings" w:hAnsi="Wingdings" w:hint="default"/>
      </w:rPr>
    </w:lvl>
    <w:lvl w:ilvl="7" w:tplc="B3C06234" w:tentative="1">
      <w:start w:val="1"/>
      <w:numFmt w:val="bullet"/>
      <w:lvlText w:val=""/>
      <w:lvlJc w:val="left"/>
      <w:pPr>
        <w:tabs>
          <w:tab w:val="num" w:pos="5760"/>
        </w:tabs>
        <w:ind w:left="5760" w:hanging="360"/>
      </w:pPr>
      <w:rPr>
        <w:rFonts w:ascii="Wingdings" w:hAnsi="Wingdings" w:hint="default"/>
      </w:rPr>
    </w:lvl>
    <w:lvl w:ilvl="8" w:tplc="C4B84BAE" w:tentative="1">
      <w:start w:val="1"/>
      <w:numFmt w:val="bullet"/>
      <w:lvlText w:val=""/>
      <w:lvlJc w:val="left"/>
      <w:pPr>
        <w:tabs>
          <w:tab w:val="num" w:pos="6480"/>
        </w:tabs>
        <w:ind w:left="6480" w:hanging="360"/>
      </w:pPr>
      <w:rPr>
        <w:rFonts w:ascii="Wingdings" w:hAnsi="Wingdings" w:hint="default"/>
      </w:rPr>
    </w:lvl>
  </w:abstractNum>
  <w:abstractNum w:abstractNumId="16">
    <w:nsid w:val="370866C7"/>
    <w:multiLevelType w:val="hybridMultilevel"/>
    <w:tmpl w:val="5A62C768"/>
    <w:lvl w:ilvl="0" w:tplc="0EB0C4D6">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E17328"/>
    <w:multiLevelType w:val="hybridMultilevel"/>
    <w:tmpl w:val="2BDE5A4A"/>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527338"/>
    <w:multiLevelType w:val="hybridMultilevel"/>
    <w:tmpl w:val="3A228AAE"/>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9F5EC0"/>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B5E4DED"/>
    <w:multiLevelType w:val="hybridMultilevel"/>
    <w:tmpl w:val="975E6DAC"/>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D871D1A"/>
    <w:multiLevelType w:val="hybridMultilevel"/>
    <w:tmpl w:val="3C980912"/>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E810BEB"/>
    <w:multiLevelType w:val="hybridMultilevel"/>
    <w:tmpl w:val="81F89DAE"/>
    <w:lvl w:ilvl="0" w:tplc="1F84780A">
      <w:start w:val="1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001321E"/>
    <w:multiLevelType w:val="hybridMultilevel"/>
    <w:tmpl w:val="C552726E"/>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2B1386F"/>
    <w:multiLevelType w:val="hybridMultilevel"/>
    <w:tmpl w:val="8DCE7BEC"/>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5DE0CAC"/>
    <w:multiLevelType w:val="hybridMultilevel"/>
    <w:tmpl w:val="CB2E2354"/>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A327D3"/>
    <w:multiLevelType w:val="hybridMultilevel"/>
    <w:tmpl w:val="D50A5D7A"/>
    <w:lvl w:ilvl="0" w:tplc="0EB0C4D6">
      <w:start w:val="3"/>
      <w:numFmt w:val="bullet"/>
      <w:lvlText w:val="-"/>
      <w:lvlJc w:val="left"/>
      <w:pPr>
        <w:ind w:left="1800" w:hanging="360"/>
      </w:pPr>
      <w:rPr>
        <w:rFonts w:ascii="Calibri" w:eastAsiaTheme="minorEastAsia"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7">
    <w:nsid w:val="510E4594"/>
    <w:multiLevelType w:val="hybridMultilevel"/>
    <w:tmpl w:val="9D72AFC8"/>
    <w:lvl w:ilvl="0" w:tplc="B972C172">
      <w:start w:val="1"/>
      <w:numFmt w:val="upperRoman"/>
      <w:pStyle w:val="Heading1"/>
      <w:lvlText w:val="%1."/>
      <w:lvlJc w:val="right"/>
      <w:pPr>
        <w:tabs>
          <w:tab w:val="num" w:pos="540"/>
        </w:tabs>
        <w:ind w:left="540" w:hanging="180"/>
      </w:pPr>
    </w:lvl>
    <w:lvl w:ilvl="1" w:tplc="18888446">
      <w:start w:val="1"/>
      <w:numFmt w:val="lowerLetter"/>
      <w:pStyle w:val="Heading2"/>
      <w:lvlText w:val="%2."/>
      <w:lvlJc w:val="left"/>
      <w:pPr>
        <w:tabs>
          <w:tab w:val="num" w:pos="1440"/>
        </w:tabs>
        <w:ind w:left="1440" w:hanging="360"/>
      </w:pPr>
    </w:lvl>
    <w:lvl w:ilvl="2" w:tplc="115A10BE">
      <w:start w:val="1"/>
      <w:numFmt w:val="upperLetter"/>
      <w:lvlText w:val="%3."/>
      <w:lvlJc w:val="left"/>
      <w:pPr>
        <w:tabs>
          <w:tab w:val="num" w:pos="2340"/>
        </w:tabs>
        <w:ind w:left="2340" w:hanging="360"/>
      </w:pPr>
    </w:lvl>
    <w:lvl w:ilvl="3" w:tplc="040C000F">
      <w:start w:val="1"/>
      <w:numFmt w:val="decimal"/>
      <w:lvlText w:val="%4."/>
      <w:lvlJc w:val="left"/>
      <w:pPr>
        <w:tabs>
          <w:tab w:val="num" w:pos="2880"/>
        </w:tabs>
        <w:ind w:left="2880" w:hanging="360"/>
      </w:pPr>
    </w:lvl>
    <w:lvl w:ilvl="4" w:tplc="1B68D7EC">
      <w:start w:val="1"/>
      <w:numFmt w:val="decimal"/>
      <w:pStyle w:val="Heading3"/>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A120EE64">
      <w:start w:val="1"/>
      <w:numFmt w:val="lowerLetter"/>
      <w:pStyle w:val="Heading4"/>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58BC6C5B"/>
    <w:multiLevelType w:val="hybridMultilevel"/>
    <w:tmpl w:val="68A4C7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B5921DC"/>
    <w:multiLevelType w:val="hybridMultilevel"/>
    <w:tmpl w:val="3A1E001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C5321A9"/>
    <w:multiLevelType w:val="hybridMultilevel"/>
    <w:tmpl w:val="18E0B2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CED4556"/>
    <w:multiLevelType w:val="multilevel"/>
    <w:tmpl w:val="E40645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06E246A"/>
    <w:multiLevelType w:val="hybridMultilevel"/>
    <w:tmpl w:val="3A228AAE"/>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1D62916"/>
    <w:multiLevelType w:val="hybridMultilevel"/>
    <w:tmpl w:val="DD18652C"/>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98612BF"/>
    <w:multiLevelType w:val="hybridMultilevel"/>
    <w:tmpl w:val="CA5CDD44"/>
    <w:lvl w:ilvl="0" w:tplc="FF4E1BEE">
      <w:start w:val="1"/>
      <w:numFmt w:val="bullet"/>
      <w:lvlText w:val=""/>
      <w:lvlJc w:val="left"/>
      <w:pPr>
        <w:tabs>
          <w:tab w:val="num" w:pos="720"/>
        </w:tabs>
        <w:ind w:left="720" w:hanging="360"/>
      </w:pPr>
      <w:rPr>
        <w:rFonts w:ascii="Wingdings" w:hAnsi="Wingdings" w:hint="default"/>
      </w:rPr>
    </w:lvl>
    <w:lvl w:ilvl="1" w:tplc="EFF2D54E" w:tentative="1">
      <w:start w:val="1"/>
      <w:numFmt w:val="bullet"/>
      <w:lvlText w:val=""/>
      <w:lvlJc w:val="left"/>
      <w:pPr>
        <w:tabs>
          <w:tab w:val="num" w:pos="1440"/>
        </w:tabs>
        <w:ind w:left="1440" w:hanging="360"/>
      </w:pPr>
      <w:rPr>
        <w:rFonts w:ascii="Wingdings" w:hAnsi="Wingdings" w:hint="default"/>
      </w:rPr>
    </w:lvl>
    <w:lvl w:ilvl="2" w:tplc="8A2409D2" w:tentative="1">
      <w:start w:val="1"/>
      <w:numFmt w:val="bullet"/>
      <w:lvlText w:val=""/>
      <w:lvlJc w:val="left"/>
      <w:pPr>
        <w:tabs>
          <w:tab w:val="num" w:pos="2160"/>
        </w:tabs>
        <w:ind w:left="2160" w:hanging="360"/>
      </w:pPr>
      <w:rPr>
        <w:rFonts w:ascii="Wingdings" w:hAnsi="Wingdings" w:hint="default"/>
      </w:rPr>
    </w:lvl>
    <w:lvl w:ilvl="3" w:tplc="0D888146" w:tentative="1">
      <w:start w:val="1"/>
      <w:numFmt w:val="bullet"/>
      <w:lvlText w:val=""/>
      <w:lvlJc w:val="left"/>
      <w:pPr>
        <w:tabs>
          <w:tab w:val="num" w:pos="2880"/>
        </w:tabs>
        <w:ind w:left="2880" w:hanging="360"/>
      </w:pPr>
      <w:rPr>
        <w:rFonts w:ascii="Wingdings" w:hAnsi="Wingdings" w:hint="default"/>
      </w:rPr>
    </w:lvl>
    <w:lvl w:ilvl="4" w:tplc="E3CCAE98" w:tentative="1">
      <w:start w:val="1"/>
      <w:numFmt w:val="bullet"/>
      <w:lvlText w:val=""/>
      <w:lvlJc w:val="left"/>
      <w:pPr>
        <w:tabs>
          <w:tab w:val="num" w:pos="3600"/>
        </w:tabs>
        <w:ind w:left="3600" w:hanging="360"/>
      </w:pPr>
      <w:rPr>
        <w:rFonts w:ascii="Wingdings" w:hAnsi="Wingdings" w:hint="default"/>
      </w:rPr>
    </w:lvl>
    <w:lvl w:ilvl="5" w:tplc="7C22874E">
      <w:start w:val="1752"/>
      <w:numFmt w:val="bullet"/>
      <w:lvlText w:val="•"/>
      <w:lvlJc w:val="left"/>
      <w:pPr>
        <w:tabs>
          <w:tab w:val="num" w:pos="4320"/>
        </w:tabs>
        <w:ind w:left="4320" w:hanging="360"/>
      </w:pPr>
      <w:rPr>
        <w:rFonts w:ascii="Arial" w:hAnsi="Arial" w:hint="default"/>
      </w:rPr>
    </w:lvl>
    <w:lvl w:ilvl="6" w:tplc="1DBE627A" w:tentative="1">
      <w:start w:val="1"/>
      <w:numFmt w:val="bullet"/>
      <w:lvlText w:val=""/>
      <w:lvlJc w:val="left"/>
      <w:pPr>
        <w:tabs>
          <w:tab w:val="num" w:pos="5040"/>
        </w:tabs>
        <w:ind w:left="5040" w:hanging="360"/>
      </w:pPr>
      <w:rPr>
        <w:rFonts w:ascii="Wingdings" w:hAnsi="Wingdings" w:hint="default"/>
      </w:rPr>
    </w:lvl>
    <w:lvl w:ilvl="7" w:tplc="41E67F24" w:tentative="1">
      <w:start w:val="1"/>
      <w:numFmt w:val="bullet"/>
      <w:lvlText w:val=""/>
      <w:lvlJc w:val="left"/>
      <w:pPr>
        <w:tabs>
          <w:tab w:val="num" w:pos="5760"/>
        </w:tabs>
        <w:ind w:left="5760" w:hanging="360"/>
      </w:pPr>
      <w:rPr>
        <w:rFonts w:ascii="Wingdings" w:hAnsi="Wingdings" w:hint="default"/>
      </w:rPr>
    </w:lvl>
    <w:lvl w:ilvl="8" w:tplc="0128A466" w:tentative="1">
      <w:start w:val="1"/>
      <w:numFmt w:val="bullet"/>
      <w:lvlText w:val=""/>
      <w:lvlJc w:val="left"/>
      <w:pPr>
        <w:tabs>
          <w:tab w:val="num" w:pos="6480"/>
        </w:tabs>
        <w:ind w:left="6480" w:hanging="360"/>
      </w:pPr>
      <w:rPr>
        <w:rFonts w:ascii="Wingdings" w:hAnsi="Wingdings" w:hint="default"/>
      </w:rPr>
    </w:lvl>
  </w:abstractNum>
  <w:abstractNum w:abstractNumId="35">
    <w:nsid w:val="6A5C0AF8"/>
    <w:multiLevelType w:val="hybridMultilevel"/>
    <w:tmpl w:val="B0B0FFB0"/>
    <w:lvl w:ilvl="0" w:tplc="643A686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C0A0580"/>
    <w:multiLevelType w:val="hybridMultilevel"/>
    <w:tmpl w:val="4CC6D66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E9D5DB9"/>
    <w:multiLevelType w:val="hybridMultilevel"/>
    <w:tmpl w:val="3A228AAE"/>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A543713"/>
    <w:multiLevelType w:val="hybridMultilevel"/>
    <w:tmpl w:val="43A6C2E4"/>
    <w:lvl w:ilvl="0" w:tplc="15885B52">
      <w:start w:val="1"/>
      <w:numFmt w:val="decimal"/>
      <w:lvlText w:val="%1."/>
      <w:lvlJc w:val="left"/>
      <w:pPr>
        <w:ind w:left="720" w:hanging="360"/>
      </w:pPr>
      <w:rPr>
        <w:rFonts w:hint="default"/>
        <w:strike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B15363A"/>
    <w:multiLevelType w:val="hybridMultilevel"/>
    <w:tmpl w:val="16F8723E"/>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C3B3FB5"/>
    <w:multiLevelType w:val="hybridMultilevel"/>
    <w:tmpl w:val="3A228AAE"/>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D5A4136"/>
    <w:multiLevelType w:val="hybridMultilevel"/>
    <w:tmpl w:val="240E79E4"/>
    <w:lvl w:ilvl="0" w:tplc="AE9897D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0"/>
  </w:num>
  <w:num w:numId="4">
    <w:abstractNumId w:val="31"/>
  </w:num>
  <w:num w:numId="5">
    <w:abstractNumId w:val="5"/>
  </w:num>
  <w:num w:numId="6">
    <w:abstractNumId w:val="8"/>
  </w:num>
  <w:num w:numId="7">
    <w:abstractNumId w:val="24"/>
  </w:num>
  <w:num w:numId="8">
    <w:abstractNumId w:val="12"/>
  </w:num>
  <w:num w:numId="9">
    <w:abstractNumId w:val="7"/>
  </w:num>
  <w:num w:numId="10">
    <w:abstractNumId w:val="36"/>
  </w:num>
  <w:num w:numId="11">
    <w:abstractNumId w:val="23"/>
  </w:num>
  <w:num w:numId="12">
    <w:abstractNumId w:val="17"/>
  </w:num>
  <w:num w:numId="13">
    <w:abstractNumId w:val="29"/>
  </w:num>
  <w:num w:numId="14">
    <w:abstractNumId w:val="21"/>
  </w:num>
  <w:num w:numId="15">
    <w:abstractNumId w:val="33"/>
  </w:num>
  <w:num w:numId="16">
    <w:abstractNumId w:val="4"/>
  </w:num>
  <w:num w:numId="17">
    <w:abstractNumId w:val="39"/>
  </w:num>
  <w:num w:numId="18">
    <w:abstractNumId w:val="25"/>
  </w:num>
  <w:num w:numId="19">
    <w:abstractNumId w:val="11"/>
  </w:num>
  <w:num w:numId="20">
    <w:abstractNumId w:val="28"/>
  </w:num>
  <w:num w:numId="21">
    <w:abstractNumId w:val="9"/>
  </w:num>
  <w:num w:numId="22">
    <w:abstractNumId w:val="27"/>
  </w:num>
  <w:num w:numId="23">
    <w:abstractNumId w:val="34"/>
  </w:num>
  <w:num w:numId="24">
    <w:abstractNumId w:val="15"/>
  </w:num>
  <w:num w:numId="25">
    <w:abstractNumId w:val="27"/>
    <w:lvlOverride w:ilvl="0">
      <w:startOverride w:val="1"/>
    </w:lvlOverride>
  </w:num>
  <w:num w:numId="26">
    <w:abstractNumId w:val="14"/>
  </w:num>
  <w:num w:numId="27">
    <w:abstractNumId w:val="27"/>
  </w:num>
  <w:num w:numId="28">
    <w:abstractNumId w:val="32"/>
  </w:num>
  <w:num w:numId="29">
    <w:abstractNumId w:val="27"/>
    <w:lvlOverride w:ilvl="0">
      <w:startOverride w:val="1"/>
    </w:lvlOverride>
  </w:num>
  <w:num w:numId="30">
    <w:abstractNumId w:val="35"/>
  </w:num>
  <w:num w:numId="31">
    <w:abstractNumId w:val="40"/>
  </w:num>
  <w:num w:numId="32">
    <w:abstractNumId w:val="41"/>
  </w:num>
  <w:num w:numId="33">
    <w:abstractNumId w:val="2"/>
  </w:num>
  <w:num w:numId="34">
    <w:abstractNumId w:val="13"/>
  </w:num>
  <w:num w:numId="35">
    <w:abstractNumId w:val="38"/>
  </w:num>
  <w:num w:numId="36">
    <w:abstractNumId w:val="10"/>
  </w:num>
  <w:num w:numId="37">
    <w:abstractNumId w:val="3"/>
  </w:num>
  <w:num w:numId="38">
    <w:abstractNumId w:val="19"/>
  </w:num>
  <w:num w:numId="39">
    <w:abstractNumId w:val="18"/>
  </w:num>
  <w:num w:numId="40">
    <w:abstractNumId w:val="37"/>
  </w:num>
  <w:num w:numId="41">
    <w:abstractNumId w:val="27"/>
    <w:lvlOverride w:ilvl="0">
      <w:startOverride w:val="1"/>
    </w:lvlOverride>
  </w:num>
  <w:num w:numId="42">
    <w:abstractNumId w:val="27"/>
    <w:lvlOverride w:ilvl="0">
      <w:startOverride w:val="1"/>
    </w:lvlOverride>
  </w:num>
  <w:num w:numId="43">
    <w:abstractNumId w:val="6"/>
  </w:num>
  <w:num w:numId="44">
    <w:abstractNumId w:val="26"/>
  </w:num>
  <w:num w:numId="45">
    <w:abstractNumId w:val="16"/>
  </w:num>
  <w:num w:numId="46">
    <w:abstractNumId w:val="22"/>
  </w:num>
  <w:num w:numId="47">
    <w:abstractNumId w:val="30"/>
  </w:num>
  <w:num w:numId="48">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53250">
      <o:colormru v:ext="edit" colors="#ddd,#a0a4a7,#007d57"/>
    </o:shapedefaults>
    <o:shapelayout v:ext="edit">
      <o:idmap v:ext="edit" data="5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E3D"/>
    <w:rsid w:val="0000079C"/>
    <w:rsid w:val="000019C4"/>
    <w:rsid w:val="0000466A"/>
    <w:rsid w:val="00011D62"/>
    <w:rsid w:val="00015607"/>
    <w:rsid w:val="0001577E"/>
    <w:rsid w:val="000178B3"/>
    <w:rsid w:val="00030371"/>
    <w:rsid w:val="00053C60"/>
    <w:rsid w:val="00061CB4"/>
    <w:rsid w:val="00066024"/>
    <w:rsid w:val="00072F38"/>
    <w:rsid w:val="0007657C"/>
    <w:rsid w:val="00080171"/>
    <w:rsid w:val="00085309"/>
    <w:rsid w:val="000859CF"/>
    <w:rsid w:val="00086EEF"/>
    <w:rsid w:val="00090F16"/>
    <w:rsid w:val="00096393"/>
    <w:rsid w:val="000A5E24"/>
    <w:rsid w:val="000C4286"/>
    <w:rsid w:val="000C73F9"/>
    <w:rsid w:val="000D6440"/>
    <w:rsid w:val="000F161E"/>
    <w:rsid w:val="000F447C"/>
    <w:rsid w:val="000F4AA6"/>
    <w:rsid w:val="000F507E"/>
    <w:rsid w:val="0010030E"/>
    <w:rsid w:val="00100D77"/>
    <w:rsid w:val="00113129"/>
    <w:rsid w:val="00117EE9"/>
    <w:rsid w:val="00120881"/>
    <w:rsid w:val="0013146B"/>
    <w:rsid w:val="00134B49"/>
    <w:rsid w:val="00135439"/>
    <w:rsid w:val="00135503"/>
    <w:rsid w:val="00137018"/>
    <w:rsid w:val="001456B2"/>
    <w:rsid w:val="0016318C"/>
    <w:rsid w:val="00164686"/>
    <w:rsid w:val="00164856"/>
    <w:rsid w:val="00171154"/>
    <w:rsid w:val="00180F5B"/>
    <w:rsid w:val="00182127"/>
    <w:rsid w:val="00183081"/>
    <w:rsid w:val="00187776"/>
    <w:rsid w:val="001A3301"/>
    <w:rsid w:val="001A3414"/>
    <w:rsid w:val="001A3A8F"/>
    <w:rsid w:val="001B0B33"/>
    <w:rsid w:val="001B4904"/>
    <w:rsid w:val="001B68AC"/>
    <w:rsid w:val="001B69AD"/>
    <w:rsid w:val="001E2C7D"/>
    <w:rsid w:val="001E4F5A"/>
    <w:rsid w:val="001F4C0F"/>
    <w:rsid w:val="00200431"/>
    <w:rsid w:val="00203E45"/>
    <w:rsid w:val="0020618D"/>
    <w:rsid w:val="00225A84"/>
    <w:rsid w:val="00231A2F"/>
    <w:rsid w:val="0024465D"/>
    <w:rsid w:val="00254ACC"/>
    <w:rsid w:val="00254D59"/>
    <w:rsid w:val="002606F9"/>
    <w:rsid w:val="00272E79"/>
    <w:rsid w:val="00276A53"/>
    <w:rsid w:val="00281133"/>
    <w:rsid w:val="00291A8E"/>
    <w:rsid w:val="0029419E"/>
    <w:rsid w:val="0029580A"/>
    <w:rsid w:val="002C0E3D"/>
    <w:rsid w:val="002C134C"/>
    <w:rsid w:val="002C43CF"/>
    <w:rsid w:val="002C4BB2"/>
    <w:rsid w:val="002C4FA9"/>
    <w:rsid w:val="002D310E"/>
    <w:rsid w:val="002D76DD"/>
    <w:rsid w:val="002E062A"/>
    <w:rsid w:val="002F3089"/>
    <w:rsid w:val="002F4E94"/>
    <w:rsid w:val="002F73DF"/>
    <w:rsid w:val="003051BE"/>
    <w:rsid w:val="00310CBF"/>
    <w:rsid w:val="00316081"/>
    <w:rsid w:val="0032090C"/>
    <w:rsid w:val="003229DA"/>
    <w:rsid w:val="0032726F"/>
    <w:rsid w:val="00332A1A"/>
    <w:rsid w:val="00333ABC"/>
    <w:rsid w:val="00335B62"/>
    <w:rsid w:val="00353E46"/>
    <w:rsid w:val="0035701E"/>
    <w:rsid w:val="00364464"/>
    <w:rsid w:val="00373380"/>
    <w:rsid w:val="003858CA"/>
    <w:rsid w:val="00386B74"/>
    <w:rsid w:val="003870D5"/>
    <w:rsid w:val="00394540"/>
    <w:rsid w:val="003A06DE"/>
    <w:rsid w:val="003A1A75"/>
    <w:rsid w:val="003A3D27"/>
    <w:rsid w:val="003A7E2C"/>
    <w:rsid w:val="003C19A6"/>
    <w:rsid w:val="003D67CC"/>
    <w:rsid w:val="003E04EC"/>
    <w:rsid w:val="003F7762"/>
    <w:rsid w:val="0041248C"/>
    <w:rsid w:val="00425AAD"/>
    <w:rsid w:val="00426F24"/>
    <w:rsid w:val="00435217"/>
    <w:rsid w:val="00483BC4"/>
    <w:rsid w:val="004921BE"/>
    <w:rsid w:val="00494C27"/>
    <w:rsid w:val="004B3DD7"/>
    <w:rsid w:val="004C6F79"/>
    <w:rsid w:val="004D22C9"/>
    <w:rsid w:val="004D49B0"/>
    <w:rsid w:val="004E055C"/>
    <w:rsid w:val="005057D0"/>
    <w:rsid w:val="00514ED8"/>
    <w:rsid w:val="00533178"/>
    <w:rsid w:val="00545FCE"/>
    <w:rsid w:val="005532DF"/>
    <w:rsid w:val="00557E4B"/>
    <w:rsid w:val="00562DF8"/>
    <w:rsid w:val="00565062"/>
    <w:rsid w:val="00573C14"/>
    <w:rsid w:val="00574437"/>
    <w:rsid w:val="00575FFB"/>
    <w:rsid w:val="00576355"/>
    <w:rsid w:val="0058553E"/>
    <w:rsid w:val="005927FE"/>
    <w:rsid w:val="0059340B"/>
    <w:rsid w:val="005A1E87"/>
    <w:rsid w:val="005A60FA"/>
    <w:rsid w:val="005B23F9"/>
    <w:rsid w:val="005C15E5"/>
    <w:rsid w:val="005C3501"/>
    <w:rsid w:val="005C5B01"/>
    <w:rsid w:val="005D1EB9"/>
    <w:rsid w:val="005D33DD"/>
    <w:rsid w:val="005E32A1"/>
    <w:rsid w:val="005F2925"/>
    <w:rsid w:val="005F45F1"/>
    <w:rsid w:val="005F5162"/>
    <w:rsid w:val="0060015D"/>
    <w:rsid w:val="00601310"/>
    <w:rsid w:val="00605C85"/>
    <w:rsid w:val="00613F89"/>
    <w:rsid w:val="006167FF"/>
    <w:rsid w:val="006247FE"/>
    <w:rsid w:val="006324CF"/>
    <w:rsid w:val="00633116"/>
    <w:rsid w:val="006425CD"/>
    <w:rsid w:val="006428B5"/>
    <w:rsid w:val="00644FB3"/>
    <w:rsid w:val="00653384"/>
    <w:rsid w:val="006666D6"/>
    <w:rsid w:val="00674B60"/>
    <w:rsid w:val="006828DA"/>
    <w:rsid w:val="0068399D"/>
    <w:rsid w:val="00684E74"/>
    <w:rsid w:val="00685B5D"/>
    <w:rsid w:val="00685C8F"/>
    <w:rsid w:val="00691187"/>
    <w:rsid w:val="006A2919"/>
    <w:rsid w:val="006A4C85"/>
    <w:rsid w:val="006B00C1"/>
    <w:rsid w:val="006B5637"/>
    <w:rsid w:val="006C68ED"/>
    <w:rsid w:val="006C6E3D"/>
    <w:rsid w:val="006D4BCC"/>
    <w:rsid w:val="00710DF2"/>
    <w:rsid w:val="00714EC6"/>
    <w:rsid w:val="007158B1"/>
    <w:rsid w:val="007245C6"/>
    <w:rsid w:val="007253D1"/>
    <w:rsid w:val="0073097D"/>
    <w:rsid w:val="00731ED5"/>
    <w:rsid w:val="00732CF5"/>
    <w:rsid w:val="00753653"/>
    <w:rsid w:val="00754E69"/>
    <w:rsid w:val="00762146"/>
    <w:rsid w:val="007762B0"/>
    <w:rsid w:val="00777778"/>
    <w:rsid w:val="00781C10"/>
    <w:rsid w:val="0078348A"/>
    <w:rsid w:val="0078378C"/>
    <w:rsid w:val="00784528"/>
    <w:rsid w:val="00786E60"/>
    <w:rsid w:val="007A2F35"/>
    <w:rsid w:val="007A32CC"/>
    <w:rsid w:val="007B7E5F"/>
    <w:rsid w:val="007C23C8"/>
    <w:rsid w:val="007D3638"/>
    <w:rsid w:val="007E2BB6"/>
    <w:rsid w:val="007E4FB3"/>
    <w:rsid w:val="007F0C70"/>
    <w:rsid w:val="007F180C"/>
    <w:rsid w:val="007F18A4"/>
    <w:rsid w:val="007F4B23"/>
    <w:rsid w:val="00811C9B"/>
    <w:rsid w:val="00824212"/>
    <w:rsid w:val="00833A2E"/>
    <w:rsid w:val="008402F4"/>
    <w:rsid w:val="00840BB7"/>
    <w:rsid w:val="00842403"/>
    <w:rsid w:val="00861A34"/>
    <w:rsid w:val="008645FF"/>
    <w:rsid w:val="00873364"/>
    <w:rsid w:val="008749A6"/>
    <w:rsid w:val="00891D34"/>
    <w:rsid w:val="008942C5"/>
    <w:rsid w:val="008A44CD"/>
    <w:rsid w:val="008B09A6"/>
    <w:rsid w:val="008B6DFF"/>
    <w:rsid w:val="008C10AB"/>
    <w:rsid w:val="008C654E"/>
    <w:rsid w:val="008D73A1"/>
    <w:rsid w:val="008F3C6B"/>
    <w:rsid w:val="008F60C2"/>
    <w:rsid w:val="00900691"/>
    <w:rsid w:val="00905A31"/>
    <w:rsid w:val="00920695"/>
    <w:rsid w:val="009324E5"/>
    <w:rsid w:val="009343F4"/>
    <w:rsid w:val="0094148D"/>
    <w:rsid w:val="009439FE"/>
    <w:rsid w:val="009523DB"/>
    <w:rsid w:val="00953922"/>
    <w:rsid w:val="0095617E"/>
    <w:rsid w:val="0098479B"/>
    <w:rsid w:val="00986FE1"/>
    <w:rsid w:val="009977A6"/>
    <w:rsid w:val="009A0D22"/>
    <w:rsid w:val="009A4602"/>
    <w:rsid w:val="009A4777"/>
    <w:rsid w:val="009A4F83"/>
    <w:rsid w:val="009B482C"/>
    <w:rsid w:val="009B779C"/>
    <w:rsid w:val="009C6AB3"/>
    <w:rsid w:val="009D5943"/>
    <w:rsid w:val="009D7AA0"/>
    <w:rsid w:val="009E2587"/>
    <w:rsid w:val="009E28F9"/>
    <w:rsid w:val="009E58FE"/>
    <w:rsid w:val="009E7A28"/>
    <w:rsid w:val="009F0545"/>
    <w:rsid w:val="009F2B75"/>
    <w:rsid w:val="009F4FC5"/>
    <w:rsid w:val="00A01202"/>
    <w:rsid w:val="00A07D19"/>
    <w:rsid w:val="00A36C30"/>
    <w:rsid w:val="00A42A14"/>
    <w:rsid w:val="00A4669D"/>
    <w:rsid w:val="00A52B1E"/>
    <w:rsid w:val="00A6398E"/>
    <w:rsid w:val="00A6775F"/>
    <w:rsid w:val="00A7150C"/>
    <w:rsid w:val="00A8578E"/>
    <w:rsid w:val="00A908AC"/>
    <w:rsid w:val="00A92BCA"/>
    <w:rsid w:val="00A93BDA"/>
    <w:rsid w:val="00A97DAB"/>
    <w:rsid w:val="00AA0C0F"/>
    <w:rsid w:val="00AB4A76"/>
    <w:rsid w:val="00AC72CC"/>
    <w:rsid w:val="00AE19DB"/>
    <w:rsid w:val="00AE5027"/>
    <w:rsid w:val="00AE6553"/>
    <w:rsid w:val="00B12AC8"/>
    <w:rsid w:val="00B22659"/>
    <w:rsid w:val="00B23F74"/>
    <w:rsid w:val="00B326A1"/>
    <w:rsid w:val="00B45E72"/>
    <w:rsid w:val="00B5455D"/>
    <w:rsid w:val="00B60BED"/>
    <w:rsid w:val="00B712F0"/>
    <w:rsid w:val="00B71D6E"/>
    <w:rsid w:val="00B7257A"/>
    <w:rsid w:val="00B778B2"/>
    <w:rsid w:val="00B77CF9"/>
    <w:rsid w:val="00B83E6B"/>
    <w:rsid w:val="00B93D3F"/>
    <w:rsid w:val="00BA088F"/>
    <w:rsid w:val="00BB4AB9"/>
    <w:rsid w:val="00BC1C53"/>
    <w:rsid w:val="00BD11F2"/>
    <w:rsid w:val="00BD4E34"/>
    <w:rsid w:val="00BE081C"/>
    <w:rsid w:val="00BE1941"/>
    <w:rsid w:val="00BE1D3D"/>
    <w:rsid w:val="00BF00DC"/>
    <w:rsid w:val="00BF06C6"/>
    <w:rsid w:val="00C024D4"/>
    <w:rsid w:val="00C105AC"/>
    <w:rsid w:val="00C14E0F"/>
    <w:rsid w:val="00C25532"/>
    <w:rsid w:val="00C3172B"/>
    <w:rsid w:val="00C446EE"/>
    <w:rsid w:val="00C45878"/>
    <w:rsid w:val="00C45E15"/>
    <w:rsid w:val="00C64A4D"/>
    <w:rsid w:val="00C733B0"/>
    <w:rsid w:val="00C757A5"/>
    <w:rsid w:val="00CB1DDA"/>
    <w:rsid w:val="00CB52E0"/>
    <w:rsid w:val="00CB5B16"/>
    <w:rsid w:val="00CB763D"/>
    <w:rsid w:val="00CB7A6A"/>
    <w:rsid w:val="00CC0484"/>
    <w:rsid w:val="00CC349F"/>
    <w:rsid w:val="00CC554A"/>
    <w:rsid w:val="00CC7E17"/>
    <w:rsid w:val="00CD0E8B"/>
    <w:rsid w:val="00CD7F19"/>
    <w:rsid w:val="00CE4BDB"/>
    <w:rsid w:val="00CE6E65"/>
    <w:rsid w:val="00CF5804"/>
    <w:rsid w:val="00D23F50"/>
    <w:rsid w:val="00D31FF8"/>
    <w:rsid w:val="00D42869"/>
    <w:rsid w:val="00D4693E"/>
    <w:rsid w:val="00D61BBD"/>
    <w:rsid w:val="00D74AC3"/>
    <w:rsid w:val="00D84604"/>
    <w:rsid w:val="00D87A40"/>
    <w:rsid w:val="00D97D1E"/>
    <w:rsid w:val="00DA0BE0"/>
    <w:rsid w:val="00DB4EC0"/>
    <w:rsid w:val="00DB6628"/>
    <w:rsid w:val="00DC381B"/>
    <w:rsid w:val="00DD46C9"/>
    <w:rsid w:val="00DE2693"/>
    <w:rsid w:val="00DE7B5D"/>
    <w:rsid w:val="00DF71AA"/>
    <w:rsid w:val="00E02CC9"/>
    <w:rsid w:val="00E077F0"/>
    <w:rsid w:val="00E10B74"/>
    <w:rsid w:val="00E11876"/>
    <w:rsid w:val="00E16605"/>
    <w:rsid w:val="00E242F9"/>
    <w:rsid w:val="00E30338"/>
    <w:rsid w:val="00E34B4E"/>
    <w:rsid w:val="00E35DFC"/>
    <w:rsid w:val="00E51EAD"/>
    <w:rsid w:val="00E52A3E"/>
    <w:rsid w:val="00E55873"/>
    <w:rsid w:val="00E714B4"/>
    <w:rsid w:val="00E7320C"/>
    <w:rsid w:val="00E7481E"/>
    <w:rsid w:val="00E8247F"/>
    <w:rsid w:val="00E90D7C"/>
    <w:rsid w:val="00E947B9"/>
    <w:rsid w:val="00E9503F"/>
    <w:rsid w:val="00EC5A26"/>
    <w:rsid w:val="00ED1543"/>
    <w:rsid w:val="00ED4019"/>
    <w:rsid w:val="00EF0736"/>
    <w:rsid w:val="00EF1238"/>
    <w:rsid w:val="00F0181A"/>
    <w:rsid w:val="00F03854"/>
    <w:rsid w:val="00F163DD"/>
    <w:rsid w:val="00F17E2E"/>
    <w:rsid w:val="00F22067"/>
    <w:rsid w:val="00F31452"/>
    <w:rsid w:val="00F32F88"/>
    <w:rsid w:val="00F41606"/>
    <w:rsid w:val="00F43F90"/>
    <w:rsid w:val="00F46886"/>
    <w:rsid w:val="00F65873"/>
    <w:rsid w:val="00F66DD8"/>
    <w:rsid w:val="00F71982"/>
    <w:rsid w:val="00F74D85"/>
    <w:rsid w:val="00F75E8D"/>
    <w:rsid w:val="00F83DB2"/>
    <w:rsid w:val="00F877E9"/>
    <w:rsid w:val="00F9353E"/>
    <w:rsid w:val="00FA663B"/>
    <w:rsid w:val="00FA708C"/>
    <w:rsid w:val="00FB0C15"/>
    <w:rsid w:val="00FB1829"/>
    <w:rsid w:val="00FC2D06"/>
    <w:rsid w:val="00FC466D"/>
    <w:rsid w:val="00FC77E2"/>
    <w:rsid w:val="00FF67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3250">
      <o:colormru v:ext="edit" colors="#ddd,#a0a4a7,#007d5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48A"/>
    <w:pPr>
      <w:spacing w:after="60" w:line="276" w:lineRule="auto"/>
    </w:pPr>
    <w:rPr>
      <w:rFonts w:ascii="Arial" w:hAnsi="Arial"/>
      <w:szCs w:val="22"/>
    </w:rPr>
  </w:style>
  <w:style w:type="paragraph" w:styleId="Heading1">
    <w:name w:val="heading 1"/>
    <w:basedOn w:val="Normal"/>
    <w:next w:val="Normal"/>
    <w:link w:val="Heading1Char"/>
    <w:uiPriority w:val="9"/>
    <w:qFormat/>
    <w:rsid w:val="00373380"/>
    <w:pPr>
      <w:numPr>
        <w:numId w:val="1"/>
      </w:numPr>
      <w:autoSpaceDE w:val="0"/>
      <w:autoSpaceDN w:val="0"/>
      <w:adjustRightInd w:val="0"/>
      <w:spacing w:after="240" w:line="240" w:lineRule="auto"/>
      <w:contextualSpacing/>
      <w:jc w:val="both"/>
      <w:outlineLvl w:val="0"/>
    </w:pPr>
    <w:rPr>
      <w:rFonts w:ascii="Arial Narrow" w:hAnsi="Arial Narrow" w:cs="Arial"/>
      <w:b/>
      <w:bCs/>
      <w:color w:val="007D57"/>
      <w:kern w:val="32"/>
      <w:sz w:val="32"/>
      <w:szCs w:val="32"/>
    </w:rPr>
  </w:style>
  <w:style w:type="paragraph" w:styleId="Heading2">
    <w:name w:val="heading 2"/>
    <w:basedOn w:val="Normal"/>
    <w:next w:val="Normal"/>
    <w:link w:val="Heading2Char"/>
    <w:uiPriority w:val="9"/>
    <w:qFormat/>
    <w:rsid w:val="00373380"/>
    <w:pPr>
      <w:numPr>
        <w:ilvl w:val="1"/>
        <w:numId w:val="1"/>
      </w:numPr>
      <w:autoSpaceDE w:val="0"/>
      <w:autoSpaceDN w:val="0"/>
      <w:adjustRightInd w:val="0"/>
      <w:spacing w:after="240" w:line="240" w:lineRule="auto"/>
      <w:contextualSpacing/>
      <w:jc w:val="both"/>
      <w:outlineLvl w:val="1"/>
    </w:pPr>
    <w:rPr>
      <w:rFonts w:ascii="Arial Narrow" w:hAnsi="Arial Narrow" w:cs="Arial"/>
      <w:bCs/>
      <w:iCs/>
      <w:color w:val="808080"/>
      <w:sz w:val="28"/>
      <w:szCs w:val="28"/>
    </w:rPr>
  </w:style>
  <w:style w:type="paragraph" w:styleId="Heading3">
    <w:name w:val="heading 3"/>
    <w:basedOn w:val="Normal"/>
    <w:next w:val="Normal"/>
    <w:link w:val="Heading3Char"/>
    <w:uiPriority w:val="9"/>
    <w:qFormat/>
    <w:rsid w:val="00353E46"/>
    <w:pPr>
      <w:keepNext/>
      <w:numPr>
        <w:ilvl w:val="4"/>
        <w:numId w:val="1"/>
      </w:numPr>
      <w:tabs>
        <w:tab w:val="clear" w:pos="3600"/>
        <w:tab w:val="left" w:pos="0"/>
        <w:tab w:val="num" w:pos="900"/>
      </w:tabs>
      <w:spacing w:before="120" w:after="120"/>
      <w:ind w:left="900"/>
      <w:outlineLvl w:val="2"/>
    </w:pPr>
    <w:rPr>
      <w:rFonts w:ascii="Arial Narrow" w:hAnsi="Arial Narrow" w:cs="Arial"/>
      <w:b/>
      <w:bCs/>
      <w:sz w:val="24"/>
      <w:szCs w:val="26"/>
      <w:lang w:val="en-US"/>
    </w:rPr>
  </w:style>
  <w:style w:type="paragraph" w:styleId="Heading4">
    <w:name w:val="heading 4"/>
    <w:basedOn w:val="Normal"/>
    <w:next w:val="Normal"/>
    <w:qFormat/>
    <w:rsid w:val="0078348A"/>
    <w:pPr>
      <w:keepNext/>
      <w:numPr>
        <w:ilvl w:val="6"/>
        <w:numId w:val="1"/>
      </w:numPr>
      <w:tabs>
        <w:tab w:val="clear" w:pos="5040"/>
        <w:tab w:val="left" w:pos="1620"/>
      </w:tabs>
      <w:spacing w:before="120" w:after="0"/>
      <w:ind w:left="1260" w:firstLine="0"/>
      <w:outlineLvl w:val="3"/>
    </w:pPr>
    <w:rPr>
      <w:rFonts w:ascii="Arial Narrow" w:hAnsi="Arial Narrow"/>
      <w:bCs/>
      <w:sz w:val="24"/>
      <w:szCs w:val="28"/>
    </w:rPr>
  </w:style>
  <w:style w:type="paragraph" w:styleId="Heading5">
    <w:name w:val="heading 5"/>
    <w:basedOn w:val="Normal"/>
    <w:next w:val="Normal"/>
    <w:qFormat/>
    <w:rsid w:val="0078348A"/>
    <w:pPr>
      <w:numPr>
        <w:ilvl w:val="7"/>
        <w:numId w:val="2"/>
      </w:numPr>
      <w:tabs>
        <w:tab w:val="clear" w:pos="5760"/>
        <w:tab w:val="left" w:pos="1980"/>
      </w:tabs>
      <w:spacing w:before="120" w:after="0"/>
      <w:ind w:left="1620" w:firstLine="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42A14"/>
    <w:pPr>
      <w:spacing w:after="120" w:line="240" w:lineRule="auto"/>
      <w:jc w:val="center"/>
    </w:pPr>
    <w:rPr>
      <w:bCs/>
      <w:smallCaps/>
      <w:color w:val="999999"/>
      <w:szCs w:val="20"/>
      <w:lang w:val="en-US"/>
    </w:rPr>
  </w:style>
  <w:style w:type="paragraph" w:customStyle="1" w:styleId="Version">
    <w:name w:val="Version"/>
    <w:basedOn w:val="Normal"/>
    <w:rsid w:val="006828DA"/>
    <w:pPr>
      <w:spacing w:after="0"/>
      <w:ind w:left="709"/>
    </w:pPr>
    <w:rPr>
      <w:rFonts w:ascii="Arial Narrow" w:hAnsi="Arial Narrow"/>
      <w:b/>
      <w:color w:val="007D57"/>
      <w:spacing w:val="40"/>
      <w:sz w:val="16"/>
      <w:szCs w:val="16"/>
    </w:rPr>
  </w:style>
  <w:style w:type="paragraph" w:customStyle="1" w:styleId="sous-titreSommaire">
    <w:name w:val="sous-titre / Sommaire"/>
    <w:basedOn w:val="TITREDUDOC"/>
    <w:rsid w:val="00090F16"/>
    <w:rPr>
      <w:color w:val="auto"/>
    </w:rPr>
  </w:style>
  <w:style w:type="paragraph" w:styleId="TOC4">
    <w:name w:val="toc 4"/>
    <w:basedOn w:val="Normal"/>
    <w:next w:val="Normal"/>
    <w:autoRedefine/>
    <w:semiHidden/>
    <w:rsid w:val="0078348A"/>
    <w:pPr>
      <w:tabs>
        <w:tab w:val="left" w:pos="1260"/>
        <w:tab w:val="right" w:leader="dot" w:pos="9060"/>
      </w:tabs>
      <w:spacing w:after="0"/>
      <w:ind w:left="900"/>
    </w:pPr>
    <w:rPr>
      <w:szCs w:val="20"/>
    </w:rPr>
  </w:style>
  <w:style w:type="paragraph" w:styleId="BalloonText">
    <w:name w:val="Balloon Text"/>
    <w:basedOn w:val="Normal"/>
    <w:link w:val="BalloonTextChar"/>
    <w:uiPriority w:val="99"/>
    <w:semiHidden/>
    <w:unhideWhenUsed/>
    <w:rsid w:val="006C68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68ED"/>
    <w:rPr>
      <w:rFonts w:ascii="Tahoma" w:hAnsi="Tahoma" w:cs="Tahoma"/>
      <w:sz w:val="16"/>
      <w:szCs w:val="16"/>
    </w:rPr>
  </w:style>
  <w:style w:type="character" w:styleId="PlaceholderText">
    <w:name w:val="Placeholder Text"/>
    <w:uiPriority w:val="99"/>
    <w:semiHidden/>
    <w:rsid w:val="006C68ED"/>
    <w:rPr>
      <w:color w:val="808080"/>
    </w:rPr>
  </w:style>
  <w:style w:type="paragraph" w:styleId="TOC5">
    <w:name w:val="toc 5"/>
    <w:basedOn w:val="Normal"/>
    <w:next w:val="Normal"/>
    <w:autoRedefine/>
    <w:semiHidden/>
    <w:rsid w:val="0078348A"/>
    <w:pPr>
      <w:tabs>
        <w:tab w:val="left" w:pos="1620"/>
        <w:tab w:val="right" w:leader="dot" w:pos="9060"/>
      </w:tabs>
      <w:spacing w:after="0"/>
      <w:ind w:left="1260"/>
    </w:pPr>
    <w:rPr>
      <w:szCs w:val="20"/>
    </w:rPr>
  </w:style>
  <w:style w:type="paragraph" w:styleId="Header">
    <w:name w:val="header"/>
    <w:basedOn w:val="Normal"/>
    <w:link w:val="HeaderChar"/>
    <w:uiPriority w:val="99"/>
    <w:rsid w:val="00BC1C53"/>
    <w:pPr>
      <w:tabs>
        <w:tab w:val="center" w:pos="4536"/>
        <w:tab w:val="right" w:pos="9072"/>
      </w:tabs>
    </w:pPr>
  </w:style>
  <w:style w:type="paragraph" w:customStyle="1" w:styleId="TITREDUDOC">
    <w:name w:val="TITRE DU DOC"/>
    <w:basedOn w:val="Normal"/>
    <w:rsid w:val="00090F16"/>
    <w:pPr>
      <w:spacing w:after="0"/>
      <w:ind w:left="1080"/>
    </w:pPr>
    <w:rPr>
      <w:b/>
      <w:color w:val="007D57"/>
      <w:spacing w:val="40"/>
      <w:sz w:val="24"/>
      <w:szCs w:val="44"/>
    </w:rPr>
  </w:style>
  <w:style w:type="paragraph" w:customStyle="1" w:styleId="Tableau">
    <w:name w:val="Tableau"/>
    <w:basedOn w:val="Normal"/>
    <w:rsid w:val="000F447C"/>
    <w:pPr>
      <w:spacing w:after="0" w:line="240" w:lineRule="auto"/>
      <w:jc w:val="center"/>
    </w:pPr>
    <w:rPr>
      <w:rFonts w:cs="Arial"/>
      <w:bCs/>
      <w:color w:val="FFFFFF"/>
      <w:sz w:val="24"/>
      <w:szCs w:val="24"/>
    </w:rPr>
  </w:style>
  <w:style w:type="paragraph" w:customStyle="1" w:styleId="TitreTop">
    <w:name w:val="Titre Top"/>
    <w:basedOn w:val="Normal"/>
    <w:rsid w:val="009E2587"/>
    <w:pPr>
      <w:framePr w:w="5881" w:h="361" w:hSpace="141" w:wrap="around" w:vAnchor="text" w:hAnchor="page" w:x="5408" w:y="-906"/>
      <w:spacing w:line="360" w:lineRule="auto"/>
      <w:jc w:val="right"/>
    </w:pPr>
    <w:rPr>
      <w:b/>
      <w:color w:val="FFFFFF"/>
      <w:sz w:val="26"/>
    </w:rPr>
  </w:style>
  <w:style w:type="character" w:styleId="PageNumber">
    <w:name w:val="page number"/>
    <w:rsid w:val="00861A34"/>
    <w:rPr>
      <w:rFonts w:ascii="Arial" w:hAnsi="Arial"/>
      <w:sz w:val="20"/>
    </w:rPr>
  </w:style>
  <w:style w:type="paragraph" w:styleId="TOC1">
    <w:name w:val="toc 1"/>
    <w:basedOn w:val="Normal"/>
    <w:next w:val="Normal"/>
    <w:autoRedefine/>
    <w:uiPriority w:val="39"/>
    <w:rsid w:val="00A93BDA"/>
    <w:pPr>
      <w:spacing w:before="360" w:after="0"/>
    </w:pPr>
    <w:rPr>
      <w:rFonts w:cs="Arial"/>
      <w:bCs/>
      <w:caps/>
      <w:color w:val="007D57"/>
      <w:szCs w:val="24"/>
    </w:rPr>
  </w:style>
  <w:style w:type="paragraph" w:styleId="TOC2">
    <w:name w:val="toc 2"/>
    <w:basedOn w:val="Normal"/>
    <w:next w:val="Normal"/>
    <w:autoRedefine/>
    <w:uiPriority w:val="39"/>
    <w:rsid w:val="0078348A"/>
    <w:pPr>
      <w:tabs>
        <w:tab w:val="left" w:pos="900"/>
        <w:tab w:val="right" w:leader="dot" w:pos="9060"/>
      </w:tabs>
      <w:spacing w:before="240" w:after="0"/>
      <w:ind w:left="360"/>
    </w:pPr>
    <w:rPr>
      <w:bCs/>
      <w:szCs w:val="20"/>
    </w:rPr>
  </w:style>
  <w:style w:type="paragraph" w:styleId="TOC3">
    <w:name w:val="toc 3"/>
    <w:basedOn w:val="Normal"/>
    <w:next w:val="Normal"/>
    <w:autoRedefine/>
    <w:uiPriority w:val="39"/>
    <w:rsid w:val="0078348A"/>
    <w:pPr>
      <w:tabs>
        <w:tab w:val="left" w:pos="1080"/>
        <w:tab w:val="right" w:leader="dot" w:pos="9060"/>
      </w:tabs>
      <w:spacing w:after="0"/>
      <w:ind w:left="720"/>
    </w:pPr>
    <w:rPr>
      <w:szCs w:val="20"/>
    </w:rPr>
  </w:style>
  <w:style w:type="character" w:styleId="Hyperlink">
    <w:name w:val="Hyperlink"/>
    <w:uiPriority w:val="99"/>
    <w:rsid w:val="00691187"/>
    <w:rPr>
      <w:rFonts w:ascii="Arial" w:hAnsi="Arial"/>
      <w:color w:val="0000FF"/>
      <w:sz w:val="20"/>
      <w:u w:val="single"/>
    </w:rPr>
  </w:style>
  <w:style w:type="paragraph" w:styleId="Footer">
    <w:name w:val="footer"/>
    <w:basedOn w:val="Normal"/>
    <w:link w:val="FooterChar"/>
    <w:uiPriority w:val="99"/>
    <w:rsid w:val="009E2587"/>
    <w:pPr>
      <w:tabs>
        <w:tab w:val="center" w:pos="4536"/>
        <w:tab w:val="right" w:pos="9072"/>
      </w:tabs>
    </w:pPr>
  </w:style>
  <w:style w:type="table" w:styleId="TableGrid">
    <w:name w:val="Table Grid"/>
    <w:basedOn w:val="TableNormal"/>
    <w:uiPriority w:val="59"/>
    <w:rsid w:val="00CE6E6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sous-titreSommaire"/>
    <w:rsid w:val="005B23F9"/>
    <w:pPr>
      <w:ind w:left="0"/>
    </w:pPr>
    <w:rPr>
      <w:bCs/>
      <w:szCs w:val="20"/>
    </w:rPr>
  </w:style>
  <w:style w:type="paragraph" w:customStyle="1" w:styleId="StyleArialNarrow8ptGrasCouleurpersonnaliseRVB0">
    <w:name w:val="Style Arial Narrow 8 pt Gras Couleur personnalisée(RVB(0"/>
    <w:aliases w:val="125,87)..."/>
    <w:basedOn w:val="Normal"/>
    <w:rsid w:val="00D61BBD"/>
    <w:pPr>
      <w:spacing w:after="0"/>
      <w:ind w:left="709" w:firstLine="371"/>
    </w:pPr>
    <w:rPr>
      <w:b/>
      <w:bCs/>
      <w:color w:val="007D57"/>
      <w:spacing w:val="40"/>
      <w:sz w:val="16"/>
      <w:szCs w:val="20"/>
    </w:rPr>
  </w:style>
  <w:style w:type="character" w:styleId="CommentReference">
    <w:name w:val="annotation reference"/>
    <w:uiPriority w:val="99"/>
    <w:semiHidden/>
    <w:rsid w:val="0078348A"/>
    <w:rPr>
      <w:sz w:val="16"/>
      <w:szCs w:val="16"/>
    </w:rPr>
  </w:style>
  <w:style w:type="paragraph" w:styleId="TOC6">
    <w:name w:val="toc 6"/>
    <w:basedOn w:val="Normal"/>
    <w:next w:val="Normal"/>
    <w:autoRedefine/>
    <w:semiHidden/>
    <w:rsid w:val="000F507E"/>
    <w:pPr>
      <w:spacing w:after="0"/>
      <w:ind w:left="800"/>
    </w:pPr>
    <w:rPr>
      <w:rFonts w:ascii="Times New Roman" w:hAnsi="Times New Roman"/>
      <w:szCs w:val="20"/>
    </w:rPr>
  </w:style>
  <w:style w:type="paragraph" w:styleId="TOC7">
    <w:name w:val="toc 7"/>
    <w:basedOn w:val="Normal"/>
    <w:next w:val="Normal"/>
    <w:autoRedefine/>
    <w:semiHidden/>
    <w:rsid w:val="000F507E"/>
    <w:pPr>
      <w:spacing w:after="0"/>
      <w:ind w:left="1000"/>
    </w:pPr>
    <w:rPr>
      <w:rFonts w:ascii="Times New Roman" w:hAnsi="Times New Roman"/>
      <w:szCs w:val="20"/>
    </w:rPr>
  </w:style>
  <w:style w:type="paragraph" w:styleId="TOC8">
    <w:name w:val="toc 8"/>
    <w:basedOn w:val="Normal"/>
    <w:next w:val="Normal"/>
    <w:autoRedefine/>
    <w:semiHidden/>
    <w:rsid w:val="000F507E"/>
    <w:pPr>
      <w:spacing w:after="0"/>
      <w:ind w:left="1200"/>
    </w:pPr>
    <w:rPr>
      <w:rFonts w:ascii="Times New Roman" w:hAnsi="Times New Roman"/>
      <w:szCs w:val="20"/>
    </w:rPr>
  </w:style>
  <w:style w:type="paragraph" w:styleId="TOC9">
    <w:name w:val="toc 9"/>
    <w:basedOn w:val="Normal"/>
    <w:next w:val="Normal"/>
    <w:autoRedefine/>
    <w:semiHidden/>
    <w:rsid w:val="000F507E"/>
    <w:pPr>
      <w:spacing w:after="0"/>
      <w:ind w:left="1400"/>
    </w:pPr>
    <w:rPr>
      <w:rFonts w:ascii="Times New Roman" w:hAnsi="Times New Roman"/>
      <w:szCs w:val="20"/>
    </w:rPr>
  </w:style>
  <w:style w:type="paragraph" w:styleId="CommentText">
    <w:name w:val="annotation text"/>
    <w:basedOn w:val="Normal"/>
    <w:link w:val="CommentTextChar"/>
    <w:uiPriority w:val="99"/>
    <w:semiHidden/>
    <w:rsid w:val="0078348A"/>
    <w:rPr>
      <w:szCs w:val="20"/>
    </w:rPr>
  </w:style>
  <w:style w:type="paragraph" w:styleId="CommentSubject">
    <w:name w:val="annotation subject"/>
    <w:basedOn w:val="CommentText"/>
    <w:next w:val="CommentText"/>
    <w:link w:val="CommentSubjectChar"/>
    <w:uiPriority w:val="99"/>
    <w:semiHidden/>
    <w:rsid w:val="0078348A"/>
    <w:rPr>
      <w:b/>
      <w:bCs/>
    </w:rPr>
  </w:style>
  <w:style w:type="paragraph" w:styleId="ListParagraph">
    <w:name w:val="List Paragraph"/>
    <w:basedOn w:val="Normal"/>
    <w:uiPriority w:val="34"/>
    <w:qFormat/>
    <w:rsid w:val="002C43CF"/>
    <w:pPr>
      <w:spacing w:after="200"/>
      <w:ind w:left="720"/>
      <w:contextualSpacing/>
      <w:jc w:val="both"/>
    </w:pPr>
    <w:rPr>
      <w:rFonts w:asciiTheme="minorHAnsi" w:eastAsiaTheme="minorHAnsi" w:hAnsiTheme="minorHAnsi" w:cs="Helvetica-Bold"/>
      <w:bCs/>
      <w:sz w:val="22"/>
      <w:lang w:eastAsia="en-US"/>
    </w:rPr>
  </w:style>
  <w:style w:type="character" w:customStyle="1" w:styleId="HeaderChar">
    <w:name w:val="Header Char"/>
    <w:basedOn w:val="DefaultParagraphFont"/>
    <w:link w:val="Header"/>
    <w:uiPriority w:val="99"/>
    <w:rsid w:val="002C43CF"/>
    <w:rPr>
      <w:rFonts w:ascii="Arial" w:hAnsi="Arial"/>
      <w:szCs w:val="22"/>
    </w:rPr>
  </w:style>
  <w:style w:type="character" w:customStyle="1" w:styleId="FooterChar">
    <w:name w:val="Footer Char"/>
    <w:basedOn w:val="DefaultParagraphFont"/>
    <w:link w:val="Footer"/>
    <w:uiPriority w:val="99"/>
    <w:rsid w:val="002C43CF"/>
    <w:rPr>
      <w:rFonts w:ascii="Arial" w:hAnsi="Arial"/>
      <w:szCs w:val="22"/>
    </w:rPr>
  </w:style>
  <w:style w:type="character" w:customStyle="1" w:styleId="Heading1Char">
    <w:name w:val="Heading 1 Char"/>
    <w:basedOn w:val="DefaultParagraphFont"/>
    <w:link w:val="Heading1"/>
    <w:uiPriority w:val="9"/>
    <w:rsid w:val="00373380"/>
    <w:rPr>
      <w:rFonts w:ascii="Arial Narrow" w:hAnsi="Arial Narrow" w:cs="Arial"/>
      <w:b/>
      <w:bCs/>
      <w:color w:val="007D57"/>
      <w:kern w:val="32"/>
      <w:sz w:val="32"/>
      <w:szCs w:val="32"/>
    </w:rPr>
  </w:style>
  <w:style w:type="character" w:customStyle="1" w:styleId="Heading2Char">
    <w:name w:val="Heading 2 Char"/>
    <w:basedOn w:val="DefaultParagraphFont"/>
    <w:link w:val="Heading2"/>
    <w:uiPriority w:val="9"/>
    <w:rsid w:val="00373380"/>
    <w:rPr>
      <w:rFonts w:ascii="Arial Narrow" w:hAnsi="Arial Narrow" w:cs="Arial"/>
      <w:bCs/>
      <w:iCs/>
      <w:color w:val="808080"/>
      <w:sz w:val="28"/>
      <w:szCs w:val="28"/>
    </w:rPr>
  </w:style>
  <w:style w:type="character" w:customStyle="1" w:styleId="Heading3Char">
    <w:name w:val="Heading 3 Char"/>
    <w:basedOn w:val="DefaultParagraphFont"/>
    <w:link w:val="Heading3"/>
    <w:uiPriority w:val="9"/>
    <w:rsid w:val="00353E46"/>
    <w:rPr>
      <w:rFonts w:ascii="Arial Narrow" w:hAnsi="Arial Narrow" w:cs="Arial"/>
      <w:b/>
      <w:bCs/>
      <w:sz w:val="24"/>
      <w:szCs w:val="26"/>
      <w:lang w:val="en-US"/>
    </w:rPr>
  </w:style>
  <w:style w:type="character" w:styleId="Strong">
    <w:name w:val="Strong"/>
    <w:basedOn w:val="DefaultParagraphFont"/>
    <w:uiPriority w:val="22"/>
    <w:qFormat/>
    <w:rsid w:val="002C43CF"/>
    <w:rPr>
      <w:b/>
      <w:bCs/>
    </w:rPr>
  </w:style>
  <w:style w:type="paragraph" w:styleId="FootnoteText">
    <w:name w:val="footnote text"/>
    <w:basedOn w:val="Normal"/>
    <w:link w:val="FootnoteTextChar"/>
    <w:uiPriority w:val="99"/>
    <w:semiHidden/>
    <w:unhideWhenUsed/>
    <w:rsid w:val="002C43CF"/>
    <w:pPr>
      <w:spacing w:after="0" w:line="240" w:lineRule="auto"/>
      <w:jc w:val="both"/>
    </w:pPr>
    <w:rPr>
      <w:rFonts w:asciiTheme="minorHAnsi" w:eastAsiaTheme="minorEastAsia" w:hAnsiTheme="minorHAnsi" w:cstheme="minorBidi"/>
      <w:szCs w:val="20"/>
      <w:lang w:eastAsia="en-US"/>
    </w:rPr>
  </w:style>
  <w:style w:type="character" w:customStyle="1" w:styleId="FootnoteTextChar">
    <w:name w:val="Footnote Text Char"/>
    <w:basedOn w:val="DefaultParagraphFont"/>
    <w:link w:val="FootnoteText"/>
    <w:uiPriority w:val="99"/>
    <w:semiHidden/>
    <w:rsid w:val="002C43CF"/>
    <w:rPr>
      <w:rFonts w:asciiTheme="minorHAnsi" w:eastAsiaTheme="minorEastAsia" w:hAnsiTheme="minorHAnsi" w:cstheme="minorBidi"/>
      <w:lang w:eastAsia="en-US"/>
    </w:rPr>
  </w:style>
  <w:style w:type="character" w:styleId="FootnoteReference">
    <w:name w:val="footnote reference"/>
    <w:basedOn w:val="DefaultParagraphFont"/>
    <w:uiPriority w:val="99"/>
    <w:semiHidden/>
    <w:unhideWhenUsed/>
    <w:rsid w:val="002C43CF"/>
    <w:rPr>
      <w:vertAlign w:val="superscript"/>
    </w:rPr>
  </w:style>
  <w:style w:type="character" w:customStyle="1" w:styleId="CommentTextChar">
    <w:name w:val="Comment Text Char"/>
    <w:basedOn w:val="DefaultParagraphFont"/>
    <w:link w:val="CommentText"/>
    <w:uiPriority w:val="99"/>
    <w:semiHidden/>
    <w:rsid w:val="002C43CF"/>
    <w:rPr>
      <w:rFonts w:ascii="Arial" w:hAnsi="Arial"/>
    </w:rPr>
  </w:style>
  <w:style w:type="character" w:customStyle="1" w:styleId="CommentSubjectChar">
    <w:name w:val="Comment Subject Char"/>
    <w:basedOn w:val="CommentTextChar"/>
    <w:link w:val="CommentSubject"/>
    <w:uiPriority w:val="99"/>
    <w:semiHidden/>
    <w:rsid w:val="002C43CF"/>
    <w:rPr>
      <w:rFonts w:ascii="Arial" w:hAnsi="Arial"/>
      <w:b/>
      <w:bCs/>
    </w:rPr>
  </w:style>
  <w:style w:type="paragraph" w:styleId="NormalWeb">
    <w:name w:val="Normal (Web)"/>
    <w:basedOn w:val="Normal"/>
    <w:uiPriority w:val="99"/>
    <w:semiHidden/>
    <w:unhideWhenUsed/>
    <w:rsid w:val="002C43CF"/>
    <w:pPr>
      <w:spacing w:before="100" w:beforeAutospacing="1" w:after="100" w:afterAutospacing="1" w:line="240" w:lineRule="auto"/>
    </w:pPr>
    <w:rPr>
      <w:rFonts w:ascii="Times New Roman" w:eastAsiaTheme="minorEastAsia" w:hAnsi="Times New Roman"/>
      <w:sz w:val="24"/>
      <w:szCs w:val="24"/>
    </w:rPr>
  </w:style>
  <w:style w:type="paragraph" w:styleId="Bibliography">
    <w:name w:val="Bibliography"/>
    <w:basedOn w:val="Normal"/>
    <w:next w:val="Normal"/>
    <w:uiPriority w:val="37"/>
    <w:unhideWhenUsed/>
    <w:rsid w:val="00986FE1"/>
  </w:style>
  <w:style w:type="paragraph" w:styleId="EndnoteText">
    <w:name w:val="endnote text"/>
    <w:basedOn w:val="Normal"/>
    <w:link w:val="EndnoteTextChar"/>
    <w:uiPriority w:val="99"/>
    <w:semiHidden/>
    <w:unhideWhenUsed/>
    <w:rsid w:val="006425CD"/>
    <w:pPr>
      <w:spacing w:after="0" w:line="240" w:lineRule="auto"/>
    </w:pPr>
    <w:rPr>
      <w:szCs w:val="20"/>
    </w:rPr>
  </w:style>
  <w:style w:type="character" w:customStyle="1" w:styleId="EndnoteTextChar">
    <w:name w:val="Endnote Text Char"/>
    <w:basedOn w:val="DefaultParagraphFont"/>
    <w:link w:val="EndnoteText"/>
    <w:uiPriority w:val="99"/>
    <w:semiHidden/>
    <w:rsid w:val="006425CD"/>
    <w:rPr>
      <w:rFonts w:ascii="Arial" w:hAnsi="Arial"/>
    </w:rPr>
  </w:style>
  <w:style w:type="character" w:styleId="EndnoteReference">
    <w:name w:val="endnote reference"/>
    <w:basedOn w:val="DefaultParagraphFont"/>
    <w:uiPriority w:val="99"/>
    <w:semiHidden/>
    <w:unhideWhenUsed/>
    <w:rsid w:val="006425CD"/>
    <w:rPr>
      <w:vertAlign w:val="superscript"/>
    </w:rPr>
  </w:style>
  <w:style w:type="paragraph" w:styleId="Subtitle">
    <w:name w:val="Subtitle"/>
    <w:basedOn w:val="Normal"/>
    <w:next w:val="Normal"/>
    <w:link w:val="SubtitleChar"/>
    <w:uiPriority w:val="11"/>
    <w:qFormat/>
    <w:rsid w:val="00353E4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3E4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80F5B"/>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48A"/>
    <w:pPr>
      <w:spacing w:after="60" w:line="276" w:lineRule="auto"/>
    </w:pPr>
    <w:rPr>
      <w:rFonts w:ascii="Arial" w:hAnsi="Arial"/>
      <w:szCs w:val="22"/>
    </w:rPr>
  </w:style>
  <w:style w:type="paragraph" w:styleId="Heading1">
    <w:name w:val="heading 1"/>
    <w:basedOn w:val="Normal"/>
    <w:next w:val="Normal"/>
    <w:link w:val="Heading1Char"/>
    <w:uiPriority w:val="9"/>
    <w:qFormat/>
    <w:rsid w:val="00373380"/>
    <w:pPr>
      <w:numPr>
        <w:numId w:val="1"/>
      </w:numPr>
      <w:autoSpaceDE w:val="0"/>
      <w:autoSpaceDN w:val="0"/>
      <w:adjustRightInd w:val="0"/>
      <w:spacing w:after="240" w:line="240" w:lineRule="auto"/>
      <w:contextualSpacing/>
      <w:jc w:val="both"/>
      <w:outlineLvl w:val="0"/>
    </w:pPr>
    <w:rPr>
      <w:rFonts w:ascii="Arial Narrow" w:hAnsi="Arial Narrow" w:cs="Arial"/>
      <w:b/>
      <w:bCs/>
      <w:color w:val="007D57"/>
      <w:kern w:val="32"/>
      <w:sz w:val="32"/>
      <w:szCs w:val="32"/>
    </w:rPr>
  </w:style>
  <w:style w:type="paragraph" w:styleId="Heading2">
    <w:name w:val="heading 2"/>
    <w:basedOn w:val="Normal"/>
    <w:next w:val="Normal"/>
    <w:link w:val="Heading2Char"/>
    <w:uiPriority w:val="9"/>
    <w:qFormat/>
    <w:rsid w:val="00373380"/>
    <w:pPr>
      <w:numPr>
        <w:ilvl w:val="1"/>
        <w:numId w:val="1"/>
      </w:numPr>
      <w:autoSpaceDE w:val="0"/>
      <w:autoSpaceDN w:val="0"/>
      <w:adjustRightInd w:val="0"/>
      <w:spacing w:after="240" w:line="240" w:lineRule="auto"/>
      <w:contextualSpacing/>
      <w:jc w:val="both"/>
      <w:outlineLvl w:val="1"/>
    </w:pPr>
    <w:rPr>
      <w:rFonts w:ascii="Arial Narrow" w:hAnsi="Arial Narrow" w:cs="Arial"/>
      <w:bCs/>
      <w:iCs/>
      <w:color w:val="808080"/>
      <w:sz w:val="28"/>
      <w:szCs w:val="28"/>
    </w:rPr>
  </w:style>
  <w:style w:type="paragraph" w:styleId="Heading3">
    <w:name w:val="heading 3"/>
    <w:basedOn w:val="Normal"/>
    <w:next w:val="Normal"/>
    <w:link w:val="Heading3Char"/>
    <w:uiPriority w:val="9"/>
    <w:qFormat/>
    <w:rsid w:val="00353E46"/>
    <w:pPr>
      <w:keepNext/>
      <w:numPr>
        <w:ilvl w:val="4"/>
        <w:numId w:val="1"/>
      </w:numPr>
      <w:tabs>
        <w:tab w:val="clear" w:pos="3600"/>
        <w:tab w:val="left" w:pos="0"/>
        <w:tab w:val="num" w:pos="900"/>
      </w:tabs>
      <w:spacing w:before="120" w:after="120"/>
      <w:ind w:left="900"/>
      <w:outlineLvl w:val="2"/>
    </w:pPr>
    <w:rPr>
      <w:rFonts w:ascii="Arial Narrow" w:hAnsi="Arial Narrow" w:cs="Arial"/>
      <w:b/>
      <w:bCs/>
      <w:sz w:val="24"/>
      <w:szCs w:val="26"/>
      <w:lang w:val="en-US"/>
    </w:rPr>
  </w:style>
  <w:style w:type="paragraph" w:styleId="Heading4">
    <w:name w:val="heading 4"/>
    <w:basedOn w:val="Normal"/>
    <w:next w:val="Normal"/>
    <w:qFormat/>
    <w:rsid w:val="0078348A"/>
    <w:pPr>
      <w:keepNext/>
      <w:numPr>
        <w:ilvl w:val="6"/>
        <w:numId w:val="1"/>
      </w:numPr>
      <w:tabs>
        <w:tab w:val="clear" w:pos="5040"/>
        <w:tab w:val="left" w:pos="1620"/>
      </w:tabs>
      <w:spacing w:before="120" w:after="0"/>
      <w:ind w:left="1260" w:firstLine="0"/>
      <w:outlineLvl w:val="3"/>
    </w:pPr>
    <w:rPr>
      <w:rFonts w:ascii="Arial Narrow" w:hAnsi="Arial Narrow"/>
      <w:bCs/>
      <w:sz w:val="24"/>
      <w:szCs w:val="28"/>
    </w:rPr>
  </w:style>
  <w:style w:type="paragraph" w:styleId="Heading5">
    <w:name w:val="heading 5"/>
    <w:basedOn w:val="Normal"/>
    <w:next w:val="Normal"/>
    <w:qFormat/>
    <w:rsid w:val="0078348A"/>
    <w:pPr>
      <w:numPr>
        <w:ilvl w:val="7"/>
        <w:numId w:val="2"/>
      </w:numPr>
      <w:tabs>
        <w:tab w:val="clear" w:pos="5760"/>
        <w:tab w:val="left" w:pos="1980"/>
      </w:tabs>
      <w:spacing w:before="120" w:after="0"/>
      <w:ind w:left="1620" w:firstLine="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42A14"/>
    <w:pPr>
      <w:spacing w:after="120" w:line="240" w:lineRule="auto"/>
      <w:jc w:val="center"/>
    </w:pPr>
    <w:rPr>
      <w:bCs/>
      <w:smallCaps/>
      <w:color w:val="999999"/>
      <w:szCs w:val="20"/>
      <w:lang w:val="en-US"/>
    </w:rPr>
  </w:style>
  <w:style w:type="paragraph" w:customStyle="1" w:styleId="Version">
    <w:name w:val="Version"/>
    <w:basedOn w:val="Normal"/>
    <w:rsid w:val="006828DA"/>
    <w:pPr>
      <w:spacing w:after="0"/>
      <w:ind w:left="709"/>
    </w:pPr>
    <w:rPr>
      <w:rFonts w:ascii="Arial Narrow" w:hAnsi="Arial Narrow"/>
      <w:b/>
      <w:color w:val="007D57"/>
      <w:spacing w:val="40"/>
      <w:sz w:val="16"/>
      <w:szCs w:val="16"/>
    </w:rPr>
  </w:style>
  <w:style w:type="paragraph" w:customStyle="1" w:styleId="sous-titreSommaire">
    <w:name w:val="sous-titre / Sommaire"/>
    <w:basedOn w:val="TITREDUDOC"/>
    <w:rsid w:val="00090F16"/>
    <w:rPr>
      <w:color w:val="auto"/>
    </w:rPr>
  </w:style>
  <w:style w:type="paragraph" w:styleId="TOC4">
    <w:name w:val="toc 4"/>
    <w:basedOn w:val="Normal"/>
    <w:next w:val="Normal"/>
    <w:autoRedefine/>
    <w:semiHidden/>
    <w:rsid w:val="0078348A"/>
    <w:pPr>
      <w:tabs>
        <w:tab w:val="left" w:pos="1260"/>
        <w:tab w:val="right" w:leader="dot" w:pos="9060"/>
      </w:tabs>
      <w:spacing w:after="0"/>
      <w:ind w:left="900"/>
    </w:pPr>
    <w:rPr>
      <w:szCs w:val="20"/>
    </w:rPr>
  </w:style>
  <w:style w:type="paragraph" w:styleId="BalloonText">
    <w:name w:val="Balloon Text"/>
    <w:basedOn w:val="Normal"/>
    <w:link w:val="BalloonTextChar"/>
    <w:uiPriority w:val="99"/>
    <w:semiHidden/>
    <w:unhideWhenUsed/>
    <w:rsid w:val="006C68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68ED"/>
    <w:rPr>
      <w:rFonts w:ascii="Tahoma" w:hAnsi="Tahoma" w:cs="Tahoma"/>
      <w:sz w:val="16"/>
      <w:szCs w:val="16"/>
    </w:rPr>
  </w:style>
  <w:style w:type="character" w:styleId="PlaceholderText">
    <w:name w:val="Placeholder Text"/>
    <w:uiPriority w:val="99"/>
    <w:semiHidden/>
    <w:rsid w:val="006C68ED"/>
    <w:rPr>
      <w:color w:val="808080"/>
    </w:rPr>
  </w:style>
  <w:style w:type="paragraph" w:styleId="TOC5">
    <w:name w:val="toc 5"/>
    <w:basedOn w:val="Normal"/>
    <w:next w:val="Normal"/>
    <w:autoRedefine/>
    <w:semiHidden/>
    <w:rsid w:val="0078348A"/>
    <w:pPr>
      <w:tabs>
        <w:tab w:val="left" w:pos="1620"/>
        <w:tab w:val="right" w:leader="dot" w:pos="9060"/>
      </w:tabs>
      <w:spacing w:after="0"/>
      <w:ind w:left="1260"/>
    </w:pPr>
    <w:rPr>
      <w:szCs w:val="20"/>
    </w:rPr>
  </w:style>
  <w:style w:type="paragraph" w:styleId="Header">
    <w:name w:val="header"/>
    <w:basedOn w:val="Normal"/>
    <w:link w:val="HeaderChar"/>
    <w:uiPriority w:val="99"/>
    <w:rsid w:val="00BC1C53"/>
    <w:pPr>
      <w:tabs>
        <w:tab w:val="center" w:pos="4536"/>
        <w:tab w:val="right" w:pos="9072"/>
      </w:tabs>
    </w:pPr>
  </w:style>
  <w:style w:type="paragraph" w:customStyle="1" w:styleId="TITREDUDOC">
    <w:name w:val="TITRE DU DOC"/>
    <w:basedOn w:val="Normal"/>
    <w:rsid w:val="00090F16"/>
    <w:pPr>
      <w:spacing w:after="0"/>
      <w:ind w:left="1080"/>
    </w:pPr>
    <w:rPr>
      <w:b/>
      <w:color w:val="007D57"/>
      <w:spacing w:val="40"/>
      <w:sz w:val="24"/>
      <w:szCs w:val="44"/>
    </w:rPr>
  </w:style>
  <w:style w:type="paragraph" w:customStyle="1" w:styleId="Tableau">
    <w:name w:val="Tableau"/>
    <w:basedOn w:val="Normal"/>
    <w:rsid w:val="000F447C"/>
    <w:pPr>
      <w:spacing w:after="0" w:line="240" w:lineRule="auto"/>
      <w:jc w:val="center"/>
    </w:pPr>
    <w:rPr>
      <w:rFonts w:cs="Arial"/>
      <w:bCs/>
      <w:color w:val="FFFFFF"/>
      <w:sz w:val="24"/>
      <w:szCs w:val="24"/>
    </w:rPr>
  </w:style>
  <w:style w:type="paragraph" w:customStyle="1" w:styleId="TitreTop">
    <w:name w:val="Titre Top"/>
    <w:basedOn w:val="Normal"/>
    <w:rsid w:val="009E2587"/>
    <w:pPr>
      <w:framePr w:w="5881" w:h="361" w:hSpace="141" w:wrap="around" w:vAnchor="text" w:hAnchor="page" w:x="5408" w:y="-906"/>
      <w:spacing w:line="360" w:lineRule="auto"/>
      <w:jc w:val="right"/>
    </w:pPr>
    <w:rPr>
      <w:b/>
      <w:color w:val="FFFFFF"/>
      <w:sz w:val="26"/>
    </w:rPr>
  </w:style>
  <w:style w:type="character" w:styleId="PageNumber">
    <w:name w:val="page number"/>
    <w:rsid w:val="00861A34"/>
    <w:rPr>
      <w:rFonts w:ascii="Arial" w:hAnsi="Arial"/>
      <w:sz w:val="20"/>
    </w:rPr>
  </w:style>
  <w:style w:type="paragraph" w:styleId="TOC1">
    <w:name w:val="toc 1"/>
    <w:basedOn w:val="Normal"/>
    <w:next w:val="Normal"/>
    <w:autoRedefine/>
    <w:uiPriority w:val="39"/>
    <w:rsid w:val="00A93BDA"/>
    <w:pPr>
      <w:spacing w:before="360" w:after="0"/>
    </w:pPr>
    <w:rPr>
      <w:rFonts w:cs="Arial"/>
      <w:bCs/>
      <w:caps/>
      <w:color w:val="007D57"/>
      <w:szCs w:val="24"/>
    </w:rPr>
  </w:style>
  <w:style w:type="paragraph" w:styleId="TOC2">
    <w:name w:val="toc 2"/>
    <w:basedOn w:val="Normal"/>
    <w:next w:val="Normal"/>
    <w:autoRedefine/>
    <w:uiPriority w:val="39"/>
    <w:rsid w:val="0078348A"/>
    <w:pPr>
      <w:tabs>
        <w:tab w:val="left" w:pos="900"/>
        <w:tab w:val="right" w:leader="dot" w:pos="9060"/>
      </w:tabs>
      <w:spacing w:before="240" w:after="0"/>
      <w:ind w:left="360"/>
    </w:pPr>
    <w:rPr>
      <w:bCs/>
      <w:szCs w:val="20"/>
    </w:rPr>
  </w:style>
  <w:style w:type="paragraph" w:styleId="TOC3">
    <w:name w:val="toc 3"/>
    <w:basedOn w:val="Normal"/>
    <w:next w:val="Normal"/>
    <w:autoRedefine/>
    <w:uiPriority w:val="39"/>
    <w:rsid w:val="0078348A"/>
    <w:pPr>
      <w:tabs>
        <w:tab w:val="left" w:pos="1080"/>
        <w:tab w:val="right" w:leader="dot" w:pos="9060"/>
      </w:tabs>
      <w:spacing w:after="0"/>
      <w:ind w:left="720"/>
    </w:pPr>
    <w:rPr>
      <w:szCs w:val="20"/>
    </w:rPr>
  </w:style>
  <w:style w:type="character" w:styleId="Hyperlink">
    <w:name w:val="Hyperlink"/>
    <w:uiPriority w:val="99"/>
    <w:rsid w:val="00691187"/>
    <w:rPr>
      <w:rFonts w:ascii="Arial" w:hAnsi="Arial"/>
      <w:color w:val="0000FF"/>
      <w:sz w:val="20"/>
      <w:u w:val="single"/>
    </w:rPr>
  </w:style>
  <w:style w:type="paragraph" w:styleId="Footer">
    <w:name w:val="footer"/>
    <w:basedOn w:val="Normal"/>
    <w:link w:val="FooterChar"/>
    <w:uiPriority w:val="99"/>
    <w:rsid w:val="009E2587"/>
    <w:pPr>
      <w:tabs>
        <w:tab w:val="center" w:pos="4536"/>
        <w:tab w:val="right" w:pos="9072"/>
      </w:tabs>
    </w:pPr>
  </w:style>
  <w:style w:type="table" w:styleId="TableGrid">
    <w:name w:val="Table Grid"/>
    <w:basedOn w:val="TableNormal"/>
    <w:uiPriority w:val="59"/>
    <w:rsid w:val="00CE6E6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sous-titreSommaire"/>
    <w:rsid w:val="005B23F9"/>
    <w:pPr>
      <w:ind w:left="0"/>
    </w:pPr>
    <w:rPr>
      <w:bCs/>
      <w:szCs w:val="20"/>
    </w:rPr>
  </w:style>
  <w:style w:type="paragraph" w:customStyle="1" w:styleId="StyleArialNarrow8ptGrasCouleurpersonnaliseRVB0">
    <w:name w:val="Style Arial Narrow 8 pt Gras Couleur personnalisée(RVB(0"/>
    <w:aliases w:val="125,87)..."/>
    <w:basedOn w:val="Normal"/>
    <w:rsid w:val="00D61BBD"/>
    <w:pPr>
      <w:spacing w:after="0"/>
      <w:ind w:left="709" w:firstLine="371"/>
    </w:pPr>
    <w:rPr>
      <w:b/>
      <w:bCs/>
      <w:color w:val="007D57"/>
      <w:spacing w:val="40"/>
      <w:sz w:val="16"/>
      <w:szCs w:val="20"/>
    </w:rPr>
  </w:style>
  <w:style w:type="character" w:styleId="CommentReference">
    <w:name w:val="annotation reference"/>
    <w:uiPriority w:val="99"/>
    <w:semiHidden/>
    <w:rsid w:val="0078348A"/>
    <w:rPr>
      <w:sz w:val="16"/>
      <w:szCs w:val="16"/>
    </w:rPr>
  </w:style>
  <w:style w:type="paragraph" w:styleId="TOC6">
    <w:name w:val="toc 6"/>
    <w:basedOn w:val="Normal"/>
    <w:next w:val="Normal"/>
    <w:autoRedefine/>
    <w:semiHidden/>
    <w:rsid w:val="000F507E"/>
    <w:pPr>
      <w:spacing w:after="0"/>
      <w:ind w:left="800"/>
    </w:pPr>
    <w:rPr>
      <w:rFonts w:ascii="Times New Roman" w:hAnsi="Times New Roman"/>
      <w:szCs w:val="20"/>
    </w:rPr>
  </w:style>
  <w:style w:type="paragraph" w:styleId="TOC7">
    <w:name w:val="toc 7"/>
    <w:basedOn w:val="Normal"/>
    <w:next w:val="Normal"/>
    <w:autoRedefine/>
    <w:semiHidden/>
    <w:rsid w:val="000F507E"/>
    <w:pPr>
      <w:spacing w:after="0"/>
      <w:ind w:left="1000"/>
    </w:pPr>
    <w:rPr>
      <w:rFonts w:ascii="Times New Roman" w:hAnsi="Times New Roman"/>
      <w:szCs w:val="20"/>
    </w:rPr>
  </w:style>
  <w:style w:type="paragraph" w:styleId="TOC8">
    <w:name w:val="toc 8"/>
    <w:basedOn w:val="Normal"/>
    <w:next w:val="Normal"/>
    <w:autoRedefine/>
    <w:semiHidden/>
    <w:rsid w:val="000F507E"/>
    <w:pPr>
      <w:spacing w:after="0"/>
      <w:ind w:left="1200"/>
    </w:pPr>
    <w:rPr>
      <w:rFonts w:ascii="Times New Roman" w:hAnsi="Times New Roman"/>
      <w:szCs w:val="20"/>
    </w:rPr>
  </w:style>
  <w:style w:type="paragraph" w:styleId="TOC9">
    <w:name w:val="toc 9"/>
    <w:basedOn w:val="Normal"/>
    <w:next w:val="Normal"/>
    <w:autoRedefine/>
    <w:semiHidden/>
    <w:rsid w:val="000F507E"/>
    <w:pPr>
      <w:spacing w:after="0"/>
      <w:ind w:left="1400"/>
    </w:pPr>
    <w:rPr>
      <w:rFonts w:ascii="Times New Roman" w:hAnsi="Times New Roman"/>
      <w:szCs w:val="20"/>
    </w:rPr>
  </w:style>
  <w:style w:type="paragraph" w:styleId="CommentText">
    <w:name w:val="annotation text"/>
    <w:basedOn w:val="Normal"/>
    <w:link w:val="CommentTextChar"/>
    <w:uiPriority w:val="99"/>
    <w:semiHidden/>
    <w:rsid w:val="0078348A"/>
    <w:rPr>
      <w:szCs w:val="20"/>
    </w:rPr>
  </w:style>
  <w:style w:type="paragraph" w:styleId="CommentSubject">
    <w:name w:val="annotation subject"/>
    <w:basedOn w:val="CommentText"/>
    <w:next w:val="CommentText"/>
    <w:link w:val="CommentSubjectChar"/>
    <w:uiPriority w:val="99"/>
    <w:semiHidden/>
    <w:rsid w:val="0078348A"/>
    <w:rPr>
      <w:b/>
      <w:bCs/>
    </w:rPr>
  </w:style>
  <w:style w:type="paragraph" w:styleId="ListParagraph">
    <w:name w:val="List Paragraph"/>
    <w:basedOn w:val="Normal"/>
    <w:uiPriority w:val="34"/>
    <w:qFormat/>
    <w:rsid w:val="002C43CF"/>
    <w:pPr>
      <w:spacing w:after="200"/>
      <w:ind w:left="720"/>
      <w:contextualSpacing/>
      <w:jc w:val="both"/>
    </w:pPr>
    <w:rPr>
      <w:rFonts w:asciiTheme="minorHAnsi" w:eastAsiaTheme="minorHAnsi" w:hAnsiTheme="minorHAnsi" w:cs="Helvetica-Bold"/>
      <w:bCs/>
      <w:sz w:val="22"/>
      <w:lang w:eastAsia="en-US"/>
    </w:rPr>
  </w:style>
  <w:style w:type="character" w:customStyle="1" w:styleId="HeaderChar">
    <w:name w:val="Header Char"/>
    <w:basedOn w:val="DefaultParagraphFont"/>
    <w:link w:val="Header"/>
    <w:uiPriority w:val="99"/>
    <w:rsid w:val="002C43CF"/>
    <w:rPr>
      <w:rFonts w:ascii="Arial" w:hAnsi="Arial"/>
      <w:szCs w:val="22"/>
    </w:rPr>
  </w:style>
  <w:style w:type="character" w:customStyle="1" w:styleId="FooterChar">
    <w:name w:val="Footer Char"/>
    <w:basedOn w:val="DefaultParagraphFont"/>
    <w:link w:val="Footer"/>
    <w:uiPriority w:val="99"/>
    <w:rsid w:val="002C43CF"/>
    <w:rPr>
      <w:rFonts w:ascii="Arial" w:hAnsi="Arial"/>
      <w:szCs w:val="22"/>
    </w:rPr>
  </w:style>
  <w:style w:type="character" w:customStyle="1" w:styleId="Heading1Char">
    <w:name w:val="Heading 1 Char"/>
    <w:basedOn w:val="DefaultParagraphFont"/>
    <w:link w:val="Heading1"/>
    <w:uiPriority w:val="9"/>
    <w:rsid w:val="00373380"/>
    <w:rPr>
      <w:rFonts w:ascii="Arial Narrow" w:hAnsi="Arial Narrow" w:cs="Arial"/>
      <w:b/>
      <w:bCs/>
      <w:color w:val="007D57"/>
      <w:kern w:val="32"/>
      <w:sz w:val="32"/>
      <w:szCs w:val="32"/>
    </w:rPr>
  </w:style>
  <w:style w:type="character" w:customStyle="1" w:styleId="Heading2Char">
    <w:name w:val="Heading 2 Char"/>
    <w:basedOn w:val="DefaultParagraphFont"/>
    <w:link w:val="Heading2"/>
    <w:uiPriority w:val="9"/>
    <w:rsid w:val="00373380"/>
    <w:rPr>
      <w:rFonts w:ascii="Arial Narrow" w:hAnsi="Arial Narrow" w:cs="Arial"/>
      <w:bCs/>
      <w:iCs/>
      <w:color w:val="808080"/>
      <w:sz w:val="28"/>
      <w:szCs w:val="28"/>
    </w:rPr>
  </w:style>
  <w:style w:type="character" w:customStyle="1" w:styleId="Heading3Char">
    <w:name w:val="Heading 3 Char"/>
    <w:basedOn w:val="DefaultParagraphFont"/>
    <w:link w:val="Heading3"/>
    <w:uiPriority w:val="9"/>
    <w:rsid w:val="00353E46"/>
    <w:rPr>
      <w:rFonts w:ascii="Arial Narrow" w:hAnsi="Arial Narrow" w:cs="Arial"/>
      <w:b/>
      <w:bCs/>
      <w:sz w:val="24"/>
      <w:szCs w:val="26"/>
      <w:lang w:val="en-US"/>
    </w:rPr>
  </w:style>
  <w:style w:type="character" w:styleId="Strong">
    <w:name w:val="Strong"/>
    <w:basedOn w:val="DefaultParagraphFont"/>
    <w:uiPriority w:val="22"/>
    <w:qFormat/>
    <w:rsid w:val="002C43CF"/>
    <w:rPr>
      <w:b/>
      <w:bCs/>
    </w:rPr>
  </w:style>
  <w:style w:type="paragraph" w:styleId="FootnoteText">
    <w:name w:val="footnote text"/>
    <w:basedOn w:val="Normal"/>
    <w:link w:val="FootnoteTextChar"/>
    <w:uiPriority w:val="99"/>
    <w:semiHidden/>
    <w:unhideWhenUsed/>
    <w:rsid w:val="002C43CF"/>
    <w:pPr>
      <w:spacing w:after="0" w:line="240" w:lineRule="auto"/>
      <w:jc w:val="both"/>
    </w:pPr>
    <w:rPr>
      <w:rFonts w:asciiTheme="minorHAnsi" w:eastAsiaTheme="minorEastAsia" w:hAnsiTheme="minorHAnsi" w:cstheme="minorBidi"/>
      <w:szCs w:val="20"/>
      <w:lang w:eastAsia="en-US"/>
    </w:rPr>
  </w:style>
  <w:style w:type="character" w:customStyle="1" w:styleId="FootnoteTextChar">
    <w:name w:val="Footnote Text Char"/>
    <w:basedOn w:val="DefaultParagraphFont"/>
    <w:link w:val="FootnoteText"/>
    <w:uiPriority w:val="99"/>
    <w:semiHidden/>
    <w:rsid w:val="002C43CF"/>
    <w:rPr>
      <w:rFonts w:asciiTheme="minorHAnsi" w:eastAsiaTheme="minorEastAsia" w:hAnsiTheme="minorHAnsi" w:cstheme="minorBidi"/>
      <w:lang w:eastAsia="en-US"/>
    </w:rPr>
  </w:style>
  <w:style w:type="character" w:styleId="FootnoteReference">
    <w:name w:val="footnote reference"/>
    <w:basedOn w:val="DefaultParagraphFont"/>
    <w:uiPriority w:val="99"/>
    <w:semiHidden/>
    <w:unhideWhenUsed/>
    <w:rsid w:val="002C43CF"/>
    <w:rPr>
      <w:vertAlign w:val="superscript"/>
    </w:rPr>
  </w:style>
  <w:style w:type="character" w:customStyle="1" w:styleId="CommentTextChar">
    <w:name w:val="Comment Text Char"/>
    <w:basedOn w:val="DefaultParagraphFont"/>
    <w:link w:val="CommentText"/>
    <w:uiPriority w:val="99"/>
    <w:semiHidden/>
    <w:rsid w:val="002C43CF"/>
    <w:rPr>
      <w:rFonts w:ascii="Arial" w:hAnsi="Arial"/>
    </w:rPr>
  </w:style>
  <w:style w:type="character" w:customStyle="1" w:styleId="CommentSubjectChar">
    <w:name w:val="Comment Subject Char"/>
    <w:basedOn w:val="CommentTextChar"/>
    <w:link w:val="CommentSubject"/>
    <w:uiPriority w:val="99"/>
    <w:semiHidden/>
    <w:rsid w:val="002C43CF"/>
    <w:rPr>
      <w:rFonts w:ascii="Arial" w:hAnsi="Arial"/>
      <w:b/>
      <w:bCs/>
    </w:rPr>
  </w:style>
  <w:style w:type="paragraph" w:styleId="NormalWeb">
    <w:name w:val="Normal (Web)"/>
    <w:basedOn w:val="Normal"/>
    <w:uiPriority w:val="99"/>
    <w:semiHidden/>
    <w:unhideWhenUsed/>
    <w:rsid w:val="002C43CF"/>
    <w:pPr>
      <w:spacing w:before="100" w:beforeAutospacing="1" w:after="100" w:afterAutospacing="1" w:line="240" w:lineRule="auto"/>
    </w:pPr>
    <w:rPr>
      <w:rFonts w:ascii="Times New Roman" w:eastAsiaTheme="minorEastAsia" w:hAnsi="Times New Roman"/>
      <w:sz w:val="24"/>
      <w:szCs w:val="24"/>
    </w:rPr>
  </w:style>
  <w:style w:type="paragraph" w:styleId="Bibliography">
    <w:name w:val="Bibliography"/>
    <w:basedOn w:val="Normal"/>
    <w:next w:val="Normal"/>
    <w:uiPriority w:val="37"/>
    <w:unhideWhenUsed/>
    <w:rsid w:val="00986FE1"/>
  </w:style>
  <w:style w:type="paragraph" w:styleId="EndnoteText">
    <w:name w:val="endnote text"/>
    <w:basedOn w:val="Normal"/>
    <w:link w:val="EndnoteTextChar"/>
    <w:uiPriority w:val="99"/>
    <w:semiHidden/>
    <w:unhideWhenUsed/>
    <w:rsid w:val="006425CD"/>
    <w:pPr>
      <w:spacing w:after="0" w:line="240" w:lineRule="auto"/>
    </w:pPr>
    <w:rPr>
      <w:szCs w:val="20"/>
    </w:rPr>
  </w:style>
  <w:style w:type="character" w:customStyle="1" w:styleId="EndnoteTextChar">
    <w:name w:val="Endnote Text Char"/>
    <w:basedOn w:val="DefaultParagraphFont"/>
    <w:link w:val="EndnoteText"/>
    <w:uiPriority w:val="99"/>
    <w:semiHidden/>
    <w:rsid w:val="006425CD"/>
    <w:rPr>
      <w:rFonts w:ascii="Arial" w:hAnsi="Arial"/>
    </w:rPr>
  </w:style>
  <w:style w:type="character" w:styleId="EndnoteReference">
    <w:name w:val="endnote reference"/>
    <w:basedOn w:val="DefaultParagraphFont"/>
    <w:uiPriority w:val="99"/>
    <w:semiHidden/>
    <w:unhideWhenUsed/>
    <w:rsid w:val="006425CD"/>
    <w:rPr>
      <w:vertAlign w:val="superscript"/>
    </w:rPr>
  </w:style>
  <w:style w:type="paragraph" w:styleId="Subtitle">
    <w:name w:val="Subtitle"/>
    <w:basedOn w:val="Normal"/>
    <w:next w:val="Normal"/>
    <w:link w:val="SubtitleChar"/>
    <w:uiPriority w:val="11"/>
    <w:qFormat/>
    <w:rsid w:val="00353E4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3E4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80F5B"/>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022007">
      <w:bodyDiv w:val="1"/>
      <w:marLeft w:val="0"/>
      <w:marRight w:val="0"/>
      <w:marTop w:val="0"/>
      <w:marBottom w:val="0"/>
      <w:divBdr>
        <w:top w:val="none" w:sz="0" w:space="0" w:color="auto"/>
        <w:left w:val="none" w:sz="0" w:space="0" w:color="auto"/>
        <w:bottom w:val="none" w:sz="0" w:space="0" w:color="auto"/>
        <w:right w:val="none" w:sz="0" w:space="0" w:color="auto"/>
      </w:divBdr>
      <w:divsChild>
        <w:div w:id="551622154">
          <w:marLeft w:val="0"/>
          <w:marRight w:val="0"/>
          <w:marTop w:val="100"/>
          <w:marBottom w:val="100"/>
          <w:divBdr>
            <w:top w:val="none" w:sz="0" w:space="0" w:color="auto"/>
            <w:left w:val="single" w:sz="4" w:space="0" w:color="8E8F92"/>
            <w:bottom w:val="none" w:sz="0" w:space="0" w:color="auto"/>
            <w:right w:val="single" w:sz="4" w:space="0" w:color="8E8F92"/>
          </w:divBdr>
          <w:divsChild>
            <w:div w:id="2001619757">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355692397">
      <w:bodyDiv w:val="1"/>
      <w:marLeft w:val="0"/>
      <w:marRight w:val="0"/>
      <w:marTop w:val="0"/>
      <w:marBottom w:val="0"/>
      <w:divBdr>
        <w:top w:val="none" w:sz="0" w:space="0" w:color="auto"/>
        <w:left w:val="none" w:sz="0" w:space="0" w:color="auto"/>
        <w:bottom w:val="none" w:sz="0" w:space="0" w:color="auto"/>
        <w:right w:val="none" w:sz="0" w:space="0" w:color="auto"/>
      </w:divBdr>
      <w:divsChild>
        <w:div w:id="1821311733">
          <w:marLeft w:val="706"/>
          <w:marRight w:val="0"/>
          <w:marTop w:val="120"/>
          <w:marBottom w:val="0"/>
          <w:divBdr>
            <w:top w:val="none" w:sz="0" w:space="0" w:color="auto"/>
            <w:left w:val="none" w:sz="0" w:space="0" w:color="auto"/>
            <w:bottom w:val="none" w:sz="0" w:space="0" w:color="auto"/>
            <w:right w:val="none" w:sz="0" w:space="0" w:color="auto"/>
          </w:divBdr>
        </w:div>
        <w:div w:id="134685201">
          <w:marLeft w:val="706"/>
          <w:marRight w:val="0"/>
          <w:marTop w:val="120"/>
          <w:marBottom w:val="0"/>
          <w:divBdr>
            <w:top w:val="none" w:sz="0" w:space="0" w:color="auto"/>
            <w:left w:val="none" w:sz="0" w:space="0" w:color="auto"/>
            <w:bottom w:val="none" w:sz="0" w:space="0" w:color="auto"/>
            <w:right w:val="none" w:sz="0" w:space="0" w:color="auto"/>
          </w:divBdr>
        </w:div>
        <w:div w:id="1002470241">
          <w:marLeft w:val="706"/>
          <w:marRight w:val="0"/>
          <w:marTop w:val="120"/>
          <w:marBottom w:val="0"/>
          <w:divBdr>
            <w:top w:val="none" w:sz="0" w:space="0" w:color="auto"/>
            <w:left w:val="none" w:sz="0" w:space="0" w:color="auto"/>
            <w:bottom w:val="none" w:sz="0" w:space="0" w:color="auto"/>
            <w:right w:val="none" w:sz="0" w:space="0" w:color="auto"/>
          </w:divBdr>
        </w:div>
        <w:div w:id="1943998329">
          <w:marLeft w:val="1670"/>
          <w:marRight w:val="0"/>
          <w:marTop w:val="63"/>
          <w:marBottom w:val="0"/>
          <w:divBdr>
            <w:top w:val="none" w:sz="0" w:space="0" w:color="auto"/>
            <w:left w:val="none" w:sz="0" w:space="0" w:color="auto"/>
            <w:bottom w:val="none" w:sz="0" w:space="0" w:color="auto"/>
            <w:right w:val="none" w:sz="0" w:space="0" w:color="auto"/>
          </w:divBdr>
        </w:div>
        <w:div w:id="1952931903">
          <w:marLeft w:val="1670"/>
          <w:marRight w:val="0"/>
          <w:marTop w:val="63"/>
          <w:marBottom w:val="0"/>
          <w:divBdr>
            <w:top w:val="none" w:sz="0" w:space="0" w:color="auto"/>
            <w:left w:val="none" w:sz="0" w:space="0" w:color="auto"/>
            <w:bottom w:val="none" w:sz="0" w:space="0" w:color="auto"/>
            <w:right w:val="none" w:sz="0" w:space="0" w:color="auto"/>
          </w:divBdr>
        </w:div>
        <w:div w:id="1636447043">
          <w:marLeft w:val="1670"/>
          <w:marRight w:val="0"/>
          <w:marTop w:val="63"/>
          <w:marBottom w:val="0"/>
          <w:divBdr>
            <w:top w:val="none" w:sz="0" w:space="0" w:color="auto"/>
            <w:left w:val="none" w:sz="0" w:space="0" w:color="auto"/>
            <w:bottom w:val="none" w:sz="0" w:space="0" w:color="auto"/>
            <w:right w:val="none" w:sz="0" w:space="0" w:color="auto"/>
          </w:divBdr>
        </w:div>
        <w:div w:id="486214759">
          <w:marLeft w:val="734"/>
          <w:marRight w:val="0"/>
          <w:marTop w:val="120"/>
          <w:marBottom w:val="0"/>
          <w:divBdr>
            <w:top w:val="none" w:sz="0" w:space="0" w:color="auto"/>
            <w:left w:val="none" w:sz="0" w:space="0" w:color="auto"/>
            <w:bottom w:val="none" w:sz="0" w:space="0" w:color="auto"/>
            <w:right w:val="none" w:sz="0" w:space="0" w:color="auto"/>
          </w:divBdr>
        </w:div>
        <w:div w:id="702706969">
          <w:marLeft w:val="1670"/>
          <w:marRight w:val="0"/>
          <w:marTop w:val="63"/>
          <w:marBottom w:val="0"/>
          <w:divBdr>
            <w:top w:val="none" w:sz="0" w:space="0" w:color="auto"/>
            <w:left w:val="none" w:sz="0" w:space="0" w:color="auto"/>
            <w:bottom w:val="none" w:sz="0" w:space="0" w:color="auto"/>
            <w:right w:val="none" w:sz="0" w:space="0" w:color="auto"/>
          </w:divBdr>
        </w:div>
        <w:div w:id="720246436">
          <w:marLeft w:val="1670"/>
          <w:marRight w:val="0"/>
          <w:marTop w:val="63"/>
          <w:marBottom w:val="0"/>
          <w:divBdr>
            <w:top w:val="none" w:sz="0" w:space="0" w:color="auto"/>
            <w:left w:val="none" w:sz="0" w:space="0" w:color="auto"/>
            <w:bottom w:val="none" w:sz="0" w:space="0" w:color="auto"/>
            <w:right w:val="none" w:sz="0" w:space="0" w:color="auto"/>
          </w:divBdr>
        </w:div>
      </w:divsChild>
    </w:div>
    <w:div w:id="385106370">
      <w:bodyDiv w:val="1"/>
      <w:marLeft w:val="0"/>
      <w:marRight w:val="0"/>
      <w:marTop w:val="0"/>
      <w:marBottom w:val="0"/>
      <w:divBdr>
        <w:top w:val="none" w:sz="0" w:space="0" w:color="auto"/>
        <w:left w:val="none" w:sz="0" w:space="0" w:color="auto"/>
        <w:bottom w:val="none" w:sz="0" w:space="0" w:color="auto"/>
        <w:right w:val="none" w:sz="0" w:space="0" w:color="auto"/>
      </w:divBdr>
    </w:div>
    <w:div w:id="544367559">
      <w:bodyDiv w:val="1"/>
      <w:marLeft w:val="0"/>
      <w:marRight w:val="0"/>
      <w:marTop w:val="0"/>
      <w:marBottom w:val="0"/>
      <w:divBdr>
        <w:top w:val="none" w:sz="0" w:space="0" w:color="auto"/>
        <w:left w:val="none" w:sz="0" w:space="0" w:color="auto"/>
        <w:bottom w:val="none" w:sz="0" w:space="0" w:color="auto"/>
        <w:right w:val="none" w:sz="0" w:space="0" w:color="auto"/>
      </w:divBdr>
      <w:divsChild>
        <w:div w:id="1551962978">
          <w:marLeft w:val="0"/>
          <w:marRight w:val="0"/>
          <w:marTop w:val="100"/>
          <w:marBottom w:val="100"/>
          <w:divBdr>
            <w:top w:val="none" w:sz="0" w:space="0" w:color="auto"/>
            <w:left w:val="single" w:sz="4" w:space="0" w:color="8E8F92"/>
            <w:bottom w:val="none" w:sz="0" w:space="0" w:color="auto"/>
            <w:right w:val="single" w:sz="4" w:space="0" w:color="8E8F92"/>
          </w:divBdr>
          <w:divsChild>
            <w:div w:id="550970096">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771583461">
      <w:bodyDiv w:val="1"/>
      <w:marLeft w:val="0"/>
      <w:marRight w:val="0"/>
      <w:marTop w:val="0"/>
      <w:marBottom w:val="0"/>
      <w:divBdr>
        <w:top w:val="none" w:sz="0" w:space="0" w:color="auto"/>
        <w:left w:val="none" w:sz="0" w:space="0" w:color="auto"/>
        <w:bottom w:val="none" w:sz="0" w:space="0" w:color="auto"/>
        <w:right w:val="none" w:sz="0" w:space="0" w:color="auto"/>
      </w:divBdr>
    </w:div>
    <w:div w:id="1326323247">
      <w:bodyDiv w:val="1"/>
      <w:marLeft w:val="0"/>
      <w:marRight w:val="0"/>
      <w:marTop w:val="0"/>
      <w:marBottom w:val="0"/>
      <w:divBdr>
        <w:top w:val="none" w:sz="0" w:space="0" w:color="auto"/>
        <w:left w:val="none" w:sz="0" w:space="0" w:color="auto"/>
        <w:bottom w:val="none" w:sz="0" w:space="0" w:color="auto"/>
        <w:right w:val="none" w:sz="0" w:space="0" w:color="auto"/>
      </w:divBdr>
    </w:div>
    <w:div w:id="1427845651">
      <w:bodyDiv w:val="1"/>
      <w:marLeft w:val="0"/>
      <w:marRight w:val="0"/>
      <w:marTop w:val="0"/>
      <w:marBottom w:val="0"/>
      <w:divBdr>
        <w:top w:val="none" w:sz="0" w:space="0" w:color="auto"/>
        <w:left w:val="none" w:sz="0" w:space="0" w:color="auto"/>
        <w:bottom w:val="none" w:sz="0" w:space="0" w:color="auto"/>
        <w:right w:val="none" w:sz="0" w:space="0" w:color="auto"/>
      </w:divBdr>
    </w:div>
    <w:div w:id="1477181803">
      <w:bodyDiv w:val="1"/>
      <w:marLeft w:val="0"/>
      <w:marRight w:val="0"/>
      <w:marTop w:val="0"/>
      <w:marBottom w:val="0"/>
      <w:divBdr>
        <w:top w:val="none" w:sz="0" w:space="0" w:color="auto"/>
        <w:left w:val="none" w:sz="0" w:space="0" w:color="auto"/>
        <w:bottom w:val="none" w:sz="0" w:space="0" w:color="auto"/>
        <w:right w:val="none" w:sz="0" w:space="0" w:color="auto"/>
      </w:divBdr>
      <w:divsChild>
        <w:div w:id="395129198">
          <w:marLeft w:val="0"/>
          <w:marRight w:val="0"/>
          <w:marTop w:val="100"/>
          <w:marBottom w:val="100"/>
          <w:divBdr>
            <w:top w:val="none" w:sz="0" w:space="0" w:color="auto"/>
            <w:left w:val="single" w:sz="4" w:space="0" w:color="8E8F92"/>
            <w:bottom w:val="none" w:sz="0" w:space="0" w:color="auto"/>
            <w:right w:val="single" w:sz="4" w:space="0" w:color="8E8F92"/>
          </w:divBdr>
          <w:divsChild>
            <w:div w:id="159779828">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1594124549">
      <w:bodyDiv w:val="1"/>
      <w:marLeft w:val="0"/>
      <w:marRight w:val="0"/>
      <w:marTop w:val="0"/>
      <w:marBottom w:val="0"/>
      <w:divBdr>
        <w:top w:val="none" w:sz="0" w:space="0" w:color="auto"/>
        <w:left w:val="none" w:sz="0" w:space="0" w:color="auto"/>
        <w:bottom w:val="none" w:sz="0" w:space="0" w:color="auto"/>
        <w:right w:val="none" w:sz="0" w:space="0" w:color="auto"/>
      </w:divBdr>
    </w:div>
    <w:div w:id="1630479818">
      <w:bodyDiv w:val="1"/>
      <w:marLeft w:val="0"/>
      <w:marRight w:val="0"/>
      <w:marTop w:val="0"/>
      <w:marBottom w:val="0"/>
      <w:divBdr>
        <w:top w:val="none" w:sz="0" w:space="0" w:color="auto"/>
        <w:left w:val="none" w:sz="0" w:space="0" w:color="auto"/>
        <w:bottom w:val="none" w:sz="0" w:space="0" w:color="auto"/>
        <w:right w:val="none" w:sz="0" w:space="0" w:color="auto"/>
      </w:divBdr>
    </w:div>
    <w:div w:id="1704864869">
      <w:bodyDiv w:val="1"/>
      <w:marLeft w:val="0"/>
      <w:marRight w:val="0"/>
      <w:marTop w:val="0"/>
      <w:marBottom w:val="0"/>
      <w:divBdr>
        <w:top w:val="none" w:sz="0" w:space="0" w:color="auto"/>
        <w:left w:val="none" w:sz="0" w:space="0" w:color="auto"/>
        <w:bottom w:val="none" w:sz="0" w:space="0" w:color="auto"/>
        <w:right w:val="none" w:sz="0" w:space="0" w:color="auto"/>
      </w:divBdr>
      <w:divsChild>
        <w:div w:id="139153796">
          <w:marLeft w:val="0"/>
          <w:marRight w:val="0"/>
          <w:marTop w:val="100"/>
          <w:marBottom w:val="100"/>
          <w:divBdr>
            <w:top w:val="none" w:sz="0" w:space="0" w:color="auto"/>
            <w:left w:val="single" w:sz="4" w:space="0" w:color="8E8F92"/>
            <w:bottom w:val="none" w:sz="0" w:space="0" w:color="auto"/>
            <w:right w:val="single" w:sz="4" w:space="0" w:color="8E8F92"/>
          </w:divBdr>
          <w:divsChild>
            <w:div w:id="1777217416">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package" Target="embeddings/Microsoft_Excel_Worksheet1.xlsx"/><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1F6U\Desktop\Cr&#233;dit%20Agricole%20CIB%20document%20interne%20mod&#232;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SPC151</b:Tag>
    <b:SourceType>JournalArticle</b:SourceType>
    <b:Guid>{A275D6EB-64DF-4DEE-8E48-C8D2E2CC94F7}</b:Guid>
    <b:Title>CreditPro Methodology</b:Title>
    <b:Year>2015</b:Year>
    <b:Author>
      <b:Author>
        <b:NameList>
          <b:Person>
            <b:Last>Solutions</b:Last>
            <b:First>S&amp;P</b:First>
            <b:Middle>Capital IQ Risk</b:Middle>
          </b:Person>
        </b:NameList>
      </b:Author>
    </b:Author>
    <b:JournalName>McGRAW-HILL FINANCIAL</b:JournalName>
    <b:RefOrder>4</b:RefOrder>
  </b:Source>
  <b:Source>
    <b:Tag>Yus03</b:Tag>
    <b:SourceType>JournalArticle</b:SourceType>
    <b:Guid>{B7CDED2E-A5BE-4226-BE5F-07DA26B58C5D}</b:Guid>
    <b:Author>
      <b:Author>
        <b:NameList>
          <b:Person>
            <b:Last>Yusuf Jafry</b:Last>
            <b:First>Til</b:First>
            <b:Middle>Schuermann</b:Middle>
          </b:Person>
        </b:NameList>
      </b:Author>
    </b:Author>
    <b:Title>Metrics for Comparing Credit Migration Matrices</b:Title>
    <b:JournalName>Wharton Financial Institutions Center Working Paper No. 03-09</b:JournalName>
    <b:Year>2003</b:Year>
    <b:RefOrder>3</b:RefOrder>
  </b:Source>
  <b:Source>
    <b:Tag>Yus04</b:Tag>
    <b:SourceType>JournalArticle</b:SourceType>
    <b:Guid>{693EC06E-01F6-4C6E-A202-D3AA5A93D8C4}</b:Guid>
    <b:Author>
      <b:Author>
        <b:NameList>
          <b:Person>
            <b:Last>Yusuf Jafry</b:Last>
            <b:First>Til</b:First>
            <b:Middle>Schuermann</b:Middle>
          </b:Person>
        </b:NameList>
      </b:Author>
    </b:Author>
    <b:Title>Measurement, estimation and comparison of credit migration matrices</b:Title>
    <b:JournalName>Journal of Banking &amp; Finance</b:JournalName>
    <b:Year>2004</b:Year>
    <b:Pages>2603-2639</b:Pages>
    <b:RefOrder>2</b:RefOrder>
  </b:Source>
  <b:Source>
    <b:Tag>Sté17</b:Tag>
    <b:SourceType>Report</b:SourceType>
    <b:Guid>{79A383BF-EC86-4161-A31A-9261A0A16663}</b:Guid>
    <b:Author>
      <b:Author>
        <b:NameList>
          <b:Person>
            <b:Last>Stéphane Dees</b:Last>
            <b:First>Jérôme</b:First>
            <b:Middle>Henry and Reiner Martin</b:Middle>
          </b:Person>
        </b:NameList>
      </b:Author>
    </b:Author>
    <b:Title>STAMP€: Stress-Test Analytics for Macroprudential Purposes in the euro area</b:Title>
    <b:Year>2017</b:Year>
    <b:Publisher>European Central Bank</b:Publisher>
    <b:RefOrder>1</b:RefOrder>
  </b:Source>
</b:Sources>
</file>

<file path=customXml/itemProps1.xml><?xml version="1.0" encoding="utf-8"?>
<ds:datastoreItem xmlns:ds="http://schemas.openxmlformats.org/officeDocument/2006/customXml" ds:itemID="{5C461537-B57D-4A42-8594-1143433A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Crédit Agricole CIB document interne modèle.dot</Template>
  <TotalTime>0</TotalTime>
  <Pages>28</Pages>
  <Words>4485</Words>
  <Characters>24672</Characters>
  <Application>Microsoft Office Word</Application>
  <DocSecurity>0</DocSecurity>
  <Lines>205</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Titre du document - Fichier &gt; Propriétés &gt; Résumé &gt; Titre</vt:lpstr>
      <vt:lpstr>Titre du document - Fichier &gt; Propriétés &gt; Résumé &gt; Titre</vt:lpstr>
    </vt:vector>
  </TitlesOfParts>
  <Company>CA-CIB</Company>
  <LinksUpToDate>false</LinksUpToDate>
  <CharactersWithSpaces>29099</CharactersWithSpaces>
  <SharedDoc>false</SharedDoc>
  <HLinks>
    <vt:vector size="30" baseType="variant">
      <vt:variant>
        <vt:i4>1572921</vt:i4>
      </vt:variant>
      <vt:variant>
        <vt:i4>59</vt:i4>
      </vt:variant>
      <vt:variant>
        <vt:i4>0</vt:i4>
      </vt:variant>
      <vt:variant>
        <vt:i4>5</vt:i4>
      </vt:variant>
      <vt:variant>
        <vt:lpwstr/>
      </vt:variant>
      <vt:variant>
        <vt:lpwstr>_Toc257995565</vt:lpwstr>
      </vt:variant>
      <vt:variant>
        <vt:i4>1572921</vt:i4>
      </vt:variant>
      <vt:variant>
        <vt:i4>53</vt:i4>
      </vt:variant>
      <vt:variant>
        <vt:i4>0</vt:i4>
      </vt:variant>
      <vt:variant>
        <vt:i4>5</vt:i4>
      </vt:variant>
      <vt:variant>
        <vt:lpwstr/>
      </vt:variant>
      <vt:variant>
        <vt:lpwstr>_Toc257995564</vt:lpwstr>
      </vt:variant>
      <vt:variant>
        <vt:i4>1572921</vt:i4>
      </vt:variant>
      <vt:variant>
        <vt:i4>47</vt:i4>
      </vt:variant>
      <vt:variant>
        <vt:i4>0</vt:i4>
      </vt:variant>
      <vt:variant>
        <vt:i4>5</vt:i4>
      </vt:variant>
      <vt:variant>
        <vt:lpwstr/>
      </vt:variant>
      <vt:variant>
        <vt:lpwstr>_Toc257995563</vt:lpwstr>
      </vt:variant>
      <vt:variant>
        <vt:i4>1572921</vt:i4>
      </vt:variant>
      <vt:variant>
        <vt:i4>41</vt:i4>
      </vt:variant>
      <vt:variant>
        <vt:i4>0</vt:i4>
      </vt:variant>
      <vt:variant>
        <vt:i4>5</vt:i4>
      </vt:variant>
      <vt:variant>
        <vt:lpwstr/>
      </vt:variant>
      <vt:variant>
        <vt:lpwstr>_Toc257995562</vt:lpwstr>
      </vt:variant>
      <vt:variant>
        <vt:i4>1572921</vt:i4>
      </vt:variant>
      <vt:variant>
        <vt:i4>35</vt:i4>
      </vt:variant>
      <vt:variant>
        <vt:i4>0</vt:i4>
      </vt:variant>
      <vt:variant>
        <vt:i4>5</vt:i4>
      </vt:variant>
      <vt:variant>
        <vt:lpwstr/>
      </vt:variant>
      <vt:variant>
        <vt:lpwstr>_Toc257995561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document - Fichier &gt; Propriétés &gt; Résumé &gt; Titre</dc:title>
  <dc:subject>Sous-titre du document - Fichier &gt; Propriétés &gt; Résumé &gt; Sujet</dc:subject>
  <dc:creator>BOUTALEB Ismail</dc:creator>
  <cp:lastModifiedBy>BOUTALEB Ismail</cp:lastModifiedBy>
  <cp:revision>25</cp:revision>
  <cp:lastPrinted>2015-12-02T14:42:00Z</cp:lastPrinted>
  <dcterms:created xsi:type="dcterms:W3CDTF">2018-09-19T13:05:00Z</dcterms:created>
  <dcterms:modified xsi:type="dcterms:W3CDTF">2018-10-29T11:27:00Z</dcterms:modified>
</cp:coreProperties>
</file>