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Features explained: </w:t>
      </w:r>
      <w:r w:rsidDel="00000000" w:rsidR="00000000" w:rsidRPr="00000000">
        <w:rPr>
          <w:rtl w:val="0"/>
        </w:rPr>
      </w:r>
    </w:p>
    <w:p w:rsidR="00000000" w:rsidDel="00000000" w:rsidP="00000000" w:rsidRDefault="00000000" w:rsidRPr="00000000" w14:paraId="000000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dataset describes energy generation facilities across different Australian regions, providing details about each site's characteristics, such as technology type, capacity, operational status, and geographical coordinates. Here's an overview of the key columns and what they represent:</w:t>
      </w:r>
    </w:p>
    <w:p w:rsidR="00000000" w:rsidDel="00000000" w:rsidP="00000000" w:rsidRDefault="00000000" w:rsidRPr="00000000" w14:paraId="00000003">
      <w:pPr>
        <w:numPr>
          <w:ilvl w:val="0"/>
          <w:numId w:val="7"/>
        </w:numPr>
        <w:spacing w:after="0" w:afterAutospacing="0" w:befor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Region</w:t>
      </w:r>
      <w:r w:rsidDel="00000000" w:rsidR="00000000" w:rsidRPr="00000000">
        <w:rPr>
          <w:rFonts w:ascii="Times New Roman" w:cs="Times New Roman" w:eastAsia="Times New Roman" w:hAnsi="Times New Roman"/>
          <w:sz w:val="24"/>
          <w:szCs w:val="24"/>
          <w:rtl w:val="0"/>
        </w:rPr>
        <w:t xml:space="preserve">: Specifies the region code where the asset is located.</w:t>
      </w:r>
    </w:p>
    <w:p w:rsidR="00000000" w:rsidDel="00000000" w:rsidP="00000000" w:rsidRDefault="00000000" w:rsidRPr="00000000" w14:paraId="00000004">
      <w:pPr>
        <w:numPr>
          <w:ilvl w:val="0"/>
          <w:numId w:val="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Asset Type</w:t>
      </w:r>
      <w:r w:rsidDel="00000000" w:rsidR="00000000" w:rsidRPr="00000000">
        <w:rPr>
          <w:rFonts w:ascii="Times New Roman" w:cs="Times New Roman" w:eastAsia="Times New Roman" w:hAnsi="Times New Roman"/>
          <w:sz w:val="24"/>
          <w:szCs w:val="24"/>
          <w:rtl w:val="0"/>
        </w:rPr>
        <w:t xml:space="preserve">: Describes whether the asset is an existing plant or a project.</w:t>
      </w:r>
    </w:p>
    <w:p w:rsidR="00000000" w:rsidDel="00000000" w:rsidP="00000000" w:rsidRDefault="00000000" w:rsidRPr="00000000" w14:paraId="00000005">
      <w:pPr>
        <w:numPr>
          <w:ilvl w:val="0"/>
          <w:numId w:val="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Site Name</w:t>
      </w:r>
      <w:r w:rsidDel="00000000" w:rsidR="00000000" w:rsidRPr="00000000">
        <w:rPr>
          <w:rFonts w:ascii="Times New Roman" w:cs="Times New Roman" w:eastAsia="Times New Roman" w:hAnsi="Times New Roman"/>
          <w:sz w:val="24"/>
          <w:szCs w:val="24"/>
          <w:rtl w:val="0"/>
        </w:rPr>
        <w:t xml:space="preserve">: The name of the energy generation site.</w:t>
      </w:r>
    </w:p>
    <w:p w:rsidR="00000000" w:rsidDel="00000000" w:rsidP="00000000" w:rsidRDefault="00000000" w:rsidRPr="00000000" w14:paraId="00000006">
      <w:pPr>
        <w:numPr>
          <w:ilvl w:val="0"/>
          <w:numId w:val="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Owner</w:t>
      </w:r>
      <w:r w:rsidDel="00000000" w:rsidR="00000000" w:rsidRPr="00000000">
        <w:rPr>
          <w:rFonts w:ascii="Times New Roman" w:cs="Times New Roman" w:eastAsia="Times New Roman" w:hAnsi="Times New Roman"/>
          <w:sz w:val="24"/>
          <w:szCs w:val="24"/>
          <w:rtl w:val="0"/>
        </w:rPr>
        <w:t xml:space="preserve">: The entity or company that owns the site.</w:t>
      </w:r>
    </w:p>
    <w:p w:rsidR="00000000" w:rsidDel="00000000" w:rsidP="00000000" w:rsidRDefault="00000000" w:rsidRPr="00000000" w14:paraId="00000007">
      <w:pPr>
        <w:numPr>
          <w:ilvl w:val="0"/>
          <w:numId w:val="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Technology Type</w:t>
      </w:r>
      <w:r w:rsidDel="00000000" w:rsidR="00000000" w:rsidRPr="00000000">
        <w:rPr>
          <w:rFonts w:ascii="Times New Roman" w:cs="Times New Roman" w:eastAsia="Times New Roman" w:hAnsi="Times New Roman"/>
          <w:sz w:val="24"/>
          <w:szCs w:val="24"/>
          <w:rtl w:val="0"/>
        </w:rPr>
        <w:t xml:space="preserve">: Specifies the technology used, such as Solar PV - Fixed or Solar PV - Single axis tracking.</w:t>
      </w:r>
    </w:p>
    <w:p w:rsidR="00000000" w:rsidDel="00000000" w:rsidP="00000000" w:rsidRDefault="00000000" w:rsidRPr="00000000" w14:paraId="00000008">
      <w:pPr>
        <w:numPr>
          <w:ilvl w:val="0"/>
          <w:numId w:val="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Fuel Type</w:t>
      </w:r>
      <w:r w:rsidDel="00000000" w:rsidR="00000000" w:rsidRPr="00000000">
        <w:rPr>
          <w:rFonts w:ascii="Times New Roman" w:cs="Times New Roman" w:eastAsia="Times New Roman" w:hAnsi="Times New Roman"/>
          <w:sz w:val="24"/>
          <w:szCs w:val="24"/>
          <w:rtl w:val="0"/>
        </w:rPr>
        <w:t xml:space="preserve">: The primary energy source the plant uses, e.g., Solar.</w:t>
      </w:r>
    </w:p>
    <w:p w:rsidR="00000000" w:rsidDel="00000000" w:rsidP="00000000" w:rsidRDefault="00000000" w:rsidRPr="00000000" w14:paraId="00000009">
      <w:pPr>
        <w:numPr>
          <w:ilvl w:val="0"/>
          <w:numId w:val="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DUID</w:t>
      </w:r>
      <w:r w:rsidDel="00000000" w:rsidR="00000000" w:rsidRPr="00000000">
        <w:rPr>
          <w:rFonts w:ascii="Times New Roman" w:cs="Times New Roman" w:eastAsia="Times New Roman" w:hAnsi="Times New Roman"/>
          <w:sz w:val="24"/>
          <w:szCs w:val="24"/>
          <w:rtl w:val="0"/>
        </w:rPr>
        <w:t xml:space="preserve">: Dispatchable Unit Identifier, a unique code for the asset.</w:t>
      </w:r>
    </w:p>
    <w:p w:rsidR="00000000" w:rsidDel="00000000" w:rsidP="00000000" w:rsidRDefault="00000000" w:rsidRPr="00000000" w14:paraId="0000000A">
      <w:pPr>
        <w:numPr>
          <w:ilvl w:val="0"/>
          <w:numId w:val="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EPBC Number &amp; Link</w:t>
      </w:r>
      <w:r w:rsidDel="00000000" w:rsidR="00000000" w:rsidRPr="00000000">
        <w:rPr>
          <w:rFonts w:ascii="Times New Roman" w:cs="Times New Roman" w:eastAsia="Times New Roman" w:hAnsi="Times New Roman"/>
          <w:sz w:val="24"/>
          <w:szCs w:val="24"/>
          <w:rtl w:val="0"/>
        </w:rPr>
        <w:t xml:space="preserve">: The reference to environmental assessments indicates if the project was reviewed under the Environment Protection and Biodiversity Conservation Act.</w:t>
      </w:r>
    </w:p>
    <w:p w:rsidR="00000000" w:rsidDel="00000000" w:rsidP="00000000" w:rsidRDefault="00000000" w:rsidRPr="00000000" w14:paraId="0000000B">
      <w:pPr>
        <w:numPr>
          <w:ilvl w:val="0"/>
          <w:numId w:val="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Number of Units</w:t>
      </w:r>
      <w:r w:rsidDel="00000000" w:rsidR="00000000" w:rsidRPr="00000000">
        <w:rPr>
          <w:rFonts w:ascii="Times New Roman" w:cs="Times New Roman" w:eastAsia="Times New Roman" w:hAnsi="Times New Roman"/>
          <w:sz w:val="24"/>
          <w:szCs w:val="24"/>
          <w:rtl w:val="0"/>
        </w:rPr>
        <w:t xml:space="preserve">: The number of generating units within the site.</w:t>
      </w:r>
    </w:p>
    <w:p w:rsidR="00000000" w:rsidDel="00000000" w:rsidP="00000000" w:rsidRDefault="00000000" w:rsidRPr="00000000" w14:paraId="0000000C">
      <w:pPr>
        <w:numPr>
          <w:ilvl w:val="0"/>
          <w:numId w:val="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Capacity Data</w:t>
      </w:r>
      <w:r w:rsidDel="00000000" w:rsidR="00000000" w:rsidRPr="00000000">
        <w:rPr>
          <w:rFonts w:ascii="Times New Roman" w:cs="Times New Roman" w:eastAsia="Times New Roman" w:hAnsi="Times New Roman"/>
          <w:sz w:val="24"/>
          <w:szCs w:val="24"/>
          <w:rtl w:val="0"/>
        </w:rPr>
        <w:t xml:space="preserve">: Includes lower and upper nameplate capacity, aggregated capacity, and storage capacity (in MWh).</w:t>
      </w:r>
    </w:p>
    <w:p w:rsidR="00000000" w:rsidDel="00000000" w:rsidP="00000000" w:rsidRDefault="00000000" w:rsidRPr="00000000" w14:paraId="0000000D">
      <w:pPr>
        <w:numPr>
          <w:ilvl w:val="1"/>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Lower Nameplate Capacity (MW)</w:t>
      </w:r>
      <w:r w:rsidDel="00000000" w:rsidR="00000000" w:rsidRPr="00000000">
        <w:rPr>
          <w:rFonts w:ascii="Times New Roman" w:cs="Times New Roman" w:eastAsia="Times New Roman" w:hAnsi="Times New Roman"/>
          <w:sz w:val="24"/>
          <w:szCs w:val="24"/>
          <w:rtl w:val="0"/>
        </w:rPr>
        <w:t xml:space="preserve">: The minimum capacity rating of the plant, which could reflect the lowest output during less optimal conditions or lower operational thresholds.</w:t>
      </w:r>
    </w:p>
    <w:p w:rsidR="00000000" w:rsidDel="00000000" w:rsidP="00000000" w:rsidRDefault="00000000" w:rsidRPr="00000000" w14:paraId="0000000E">
      <w:pPr>
        <w:numPr>
          <w:ilvl w:val="1"/>
          <w:numId w:val="7"/>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Upper Nameplate Capacity (MW)</w:t>
      </w:r>
      <w:r w:rsidDel="00000000" w:rsidR="00000000" w:rsidRPr="00000000">
        <w:rPr>
          <w:rFonts w:ascii="Times New Roman" w:cs="Times New Roman" w:eastAsia="Times New Roman" w:hAnsi="Times New Roman"/>
          <w:sz w:val="24"/>
          <w:szCs w:val="24"/>
          <w:rtl w:val="0"/>
        </w:rPr>
        <w:t xml:space="preserve">: The maximum capacity rating of the plant, indicating the highest output the plant can achieve under optimal conditions.</w:t>
      </w:r>
    </w:p>
    <w:p w:rsidR="00000000" w:rsidDel="00000000" w:rsidP="00000000" w:rsidRDefault="00000000" w:rsidRPr="00000000" w14:paraId="0000000F">
      <w:pPr>
        <w:numPr>
          <w:ilvl w:val="0"/>
          <w:numId w:val="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Unit Status</w:t>
      </w:r>
      <w:r w:rsidDel="00000000" w:rsidR="00000000" w:rsidRPr="00000000">
        <w:rPr>
          <w:rFonts w:ascii="Times New Roman" w:cs="Times New Roman" w:eastAsia="Times New Roman" w:hAnsi="Times New Roman"/>
          <w:sz w:val="24"/>
          <w:szCs w:val="24"/>
          <w:rtl w:val="0"/>
        </w:rPr>
        <w:t xml:space="preserve">: The current operational status of the unit, such as "In Service" or "Anticipated".</w:t>
      </w:r>
    </w:p>
    <w:p w:rsidR="00000000" w:rsidDel="00000000" w:rsidP="00000000" w:rsidRDefault="00000000" w:rsidRPr="00000000" w14:paraId="00000010">
      <w:pPr>
        <w:numPr>
          <w:ilvl w:val="0"/>
          <w:numId w:val="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Dispatch Type</w:t>
      </w:r>
      <w:r w:rsidDel="00000000" w:rsidR="00000000" w:rsidRPr="00000000">
        <w:rPr>
          <w:rFonts w:ascii="Times New Roman" w:cs="Times New Roman" w:eastAsia="Times New Roman" w:hAnsi="Times New Roman"/>
          <w:sz w:val="24"/>
          <w:szCs w:val="24"/>
          <w:rtl w:val="0"/>
        </w:rPr>
        <w:t xml:space="preserve">: Type of dispatch (e.g., "NS" for non-scheduled, "SS" for semi-scheduled).</w:t>
      </w:r>
    </w:p>
    <w:p w:rsidR="00000000" w:rsidDel="00000000" w:rsidP="00000000" w:rsidRDefault="00000000" w:rsidRPr="00000000" w14:paraId="00000011">
      <w:pPr>
        <w:numPr>
          <w:ilvl w:val="0"/>
          <w:numId w:val="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Dates</w:t>
      </w:r>
      <w:r w:rsidDel="00000000" w:rsidR="00000000" w:rsidRPr="00000000">
        <w:rPr>
          <w:rFonts w:ascii="Times New Roman" w:cs="Times New Roman" w:eastAsia="Times New Roman" w:hAnsi="Times New Roman"/>
          <w:sz w:val="24"/>
          <w:szCs w:val="24"/>
          <w:rtl w:val="0"/>
        </w:rPr>
        <w:t xml:space="preserve">: Includes commercial use date, expected closure year, and actual closure date.</w:t>
      </w:r>
    </w:p>
    <w:p w:rsidR="00000000" w:rsidDel="00000000" w:rsidP="00000000" w:rsidRDefault="00000000" w:rsidRPr="00000000" w14:paraId="00000012">
      <w:pPr>
        <w:numPr>
          <w:ilvl w:val="0"/>
          <w:numId w:val="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Status Summary</w:t>
      </w:r>
      <w:r w:rsidDel="00000000" w:rsidR="00000000" w:rsidRPr="00000000">
        <w:rPr>
          <w:rFonts w:ascii="Times New Roman" w:cs="Times New Roman" w:eastAsia="Times New Roman" w:hAnsi="Times New Roman"/>
          <w:sz w:val="24"/>
          <w:szCs w:val="24"/>
          <w:rtl w:val="0"/>
        </w:rPr>
        <w:t xml:space="preserve">: Provides summaries such as "Existing less Announced Withdrawal" or "Proposed".</w:t>
      </w:r>
    </w:p>
    <w:p w:rsidR="00000000" w:rsidDel="00000000" w:rsidP="00000000" w:rsidRDefault="00000000" w:rsidRPr="00000000" w14:paraId="00000013">
      <w:pPr>
        <w:numPr>
          <w:ilvl w:val="0"/>
          <w:numId w:val="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Coordinates</w:t>
      </w:r>
      <w:r w:rsidDel="00000000" w:rsidR="00000000" w:rsidRPr="00000000">
        <w:rPr>
          <w:rFonts w:ascii="Times New Roman" w:cs="Times New Roman" w:eastAsia="Times New Roman" w:hAnsi="Times New Roman"/>
          <w:sz w:val="24"/>
          <w:szCs w:val="24"/>
          <w:rtl w:val="0"/>
        </w:rPr>
        <w:t xml:space="preserve">: The geographical coordinates of the site, formatted in both dictionary and point forms.</w:t>
      </w:r>
    </w:p>
    <w:p w:rsidR="00000000" w:rsidDel="00000000" w:rsidP="00000000" w:rsidRDefault="00000000" w:rsidRPr="00000000" w14:paraId="00000014">
      <w:pPr>
        <w:numPr>
          <w:ilvl w:val="0"/>
          <w:numId w:val="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Site Address and Location Details</w:t>
      </w:r>
      <w:r w:rsidDel="00000000" w:rsidR="00000000" w:rsidRPr="00000000">
        <w:rPr>
          <w:rFonts w:ascii="Times New Roman" w:cs="Times New Roman" w:eastAsia="Times New Roman" w:hAnsi="Times New Roman"/>
          <w:sz w:val="24"/>
          <w:szCs w:val="24"/>
          <w:rtl w:val="0"/>
        </w:rPr>
        <w:t xml:space="preserve">: Includes specific addresses, postcodes, local government areas, and suburbs.</w:t>
      </w:r>
    </w:p>
    <w:p w:rsidR="00000000" w:rsidDel="00000000" w:rsidP="00000000" w:rsidRDefault="00000000" w:rsidRPr="00000000" w14:paraId="00000015">
      <w:pPr>
        <w:numPr>
          <w:ilvl w:val="0"/>
          <w:numId w:val="7"/>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Project URL</w:t>
      </w:r>
      <w:r w:rsidDel="00000000" w:rsidR="00000000" w:rsidRPr="00000000">
        <w:rPr>
          <w:rFonts w:ascii="Times New Roman" w:cs="Times New Roman" w:eastAsia="Times New Roman" w:hAnsi="Times New Roman"/>
          <w:sz w:val="24"/>
          <w:szCs w:val="24"/>
          <w:rtl w:val="0"/>
        </w:rPr>
        <w:t xml:space="preserve">: Links to more information about the specific site or project.</w:t>
      </w:r>
    </w:p>
    <w:p w:rsidR="00000000" w:rsidDel="00000000" w:rsidP="00000000" w:rsidRDefault="00000000" w:rsidRPr="00000000" w14:paraId="00000016">
      <w:pPr>
        <w:numPr>
          <w:ilvl w:val="0"/>
          <w:numId w:val="7"/>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Geometry and Coordinates</w:t>
      </w:r>
      <w:r w:rsidDel="00000000" w:rsidR="00000000" w:rsidRPr="00000000">
        <w:rPr>
          <w:rFonts w:ascii="Times New Roman" w:cs="Times New Roman" w:eastAsia="Times New Roman" w:hAnsi="Times New Roman"/>
          <w:sz w:val="24"/>
          <w:szCs w:val="24"/>
          <w:rtl w:val="0"/>
        </w:rPr>
        <w:t xml:space="preserve">: Reiterates the location with latitude and longitude data.</w:t>
      </w:r>
    </w:p>
    <w:p w:rsidR="00000000" w:rsidDel="00000000" w:rsidP="00000000" w:rsidRDefault="00000000" w:rsidRPr="00000000" w14:paraId="00000017">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aad9vipy05t2" w:id="0"/>
      <w:bookmarkEnd w:id="0"/>
      <w:r w:rsidDel="00000000" w:rsidR="00000000" w:rsidRPr="00000000">
        <w:rPr>
          <w:rFonts w:ascii="Times New Roman" w:cs="Times New Roman" w:eastAsia="Times New Roman" w:hAnsi="Times New Roman"/>
          <w:b w:val="1"/>
          <w:color w:val="000000"/>
          <w:sz w:val="26"/>
          <w:szCs w:val="26"/>
          <w:rtl w:val="0"/>
        </w:rPr>
        <w:t xml:space="preserve">1. Geographical and Environmental Suitability:</w:t>
      </w:r>
    </w:p>
    <w:p w:rsidR="00000000" w:rsidDel="00000000" w:rsidP="00000000" w:rsidRDefault="00000000" w:rsidRPr="00000000" w14:paraId="00000019">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the geographical location (coordinates) of energy generation sites correlate with their operational efficiency (based on Upper Nameplate Capacity)?</w:t>
      </w:r>
    </w:p>
    <w:p w:rsidR="00000000" w:rsidDel="00000000" w:rsidP="00000000" w:rsidRDefault="00000000" w:rsidRPr="00000000" w14:paraId="0000001A">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environmental assessments (based on EPBC Number &amp; Link) have influenced the siting of renewable energy projects, and how can these assessments guide future project placements?</w:t>
      </w:r>
    </w:p>
    <w:p w:rsidR="00000000" w:rsidDel="00000000" w:rsidP="00000000" w:rsidRDefault="00000000" w:rsidRPr="00000000" w14:paraId="0000001B">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there any patterns between the region (Region code) and the technology type (e.g., Solar PV) in terms of environmental impact and efficiency?</w:t>
      </w:r>
    </w:p>
    <w:p w:rsidR="00000000" w:rsidDel="00000000" w:rsidP="00000000" w:rsidRDefault="00000000" w:rsidRPr="00000000" w14:paraId="0000001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ey6pbm42lb2t" w:id="1"/>
      <w:bookmarkEnd w:id="1"/>
      <w:r w:rsidDel="00000000" w:rsidR="00000000" w:rsidRPr="00000000">
        <w:rPr>
          <w:rFonts w:ascii="Times New Roman" w:cs="Times New Roman" w:eastAsia="Times New Roman" w:hAnsi="Times New Roman"/>
          <w:b w:val="1"/>
          <w:color w:val="000000"/>
          <w:sz w:val="26"/>
          <w:szCs w:val="26"/>
          <w:rtl w:val="0"/>
        </w:rPr>
        <w:t xml:space="preserve">2. Technological and Operational Efficiency:</w:t>
      </w:r>
    </w:p>
    <w:p w:rsidR="00000000" w:rsidDel="00000000" w:rsidP="00000000" w:rsidRDefault="00000000" w:rsidRPr="00000000" w14:paraId="0000001D">
      <w:pPr>
        <w:numPr>
          <w:ilvl w:val="0"/>
          <w:numId w:val="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the technology type (e.g., Solar PV - Single axis tracking vs. Fixed) influence the capacity and efficiency of the site, considering the Upper Nameplate Capacity and Dispatch Type?</w:t>
      </w:r>
    </w:p>
    <w:p w:rsidR="00000000" w:rsidDel="00000000" w:rsidP="00000000" w:rsidRDefault="00000000" w:rsidRPr="00000000" w14:paraId="0000001E">
      <w:pPr>
        <w:numPr>
          <w:ilvl w:val="0"/>
          <w:numId w:val="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relationship between the number of units and the aggregated capacity across different renewable energy technologies?</w:t>
      </w:r>
    </w:p>
    <w:p w:rsidR="00000000" w:rsidDel="00000000" w:rsidP="00000000" w:rsidRDefault="00000000" w:rsidRPr="00000000" w14:paraId="0000001F">
      <w:pPr>
        <w:numPr>
          <w:ilvl w:val="0"/>
          <w:numId w:val="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unit status (In Service vs. Anticipated) affect the overall operational capacity of renewable energy projects in different regions?</w:t>
      </w:r>
    </w:p>
    <w:p w:rsidR="00000000" w:rsidDel="00000000" w:rsidP="00000000" w:rsidRDefault="00000000" w:rsidRPr="00000000" w14:paraId="00000020">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tgnwiq80h2il" w:id="2"/>
      <w:bookmarkEnd w:id="2"/>
      <w:r w:rsidDel="00000000" w:rsidR="00000000" w:rsidRPr="00000000">
        <w:rPr>
          <w:rFonts w:ascii="Times New Roman" w:cs="Times New Roman" w:eastAsia="Times New Roman" w:hAnsi="Times New Roman"/>
          <w:b w:val="1"/>
          <w:color w:val="000000"/>
          <w:sz w:val="26"/>
          <w:szCs w:val="26"/>
          <w:rtl w:val="0"/>
        </w:rPr>
        <w:t xml:space="preserve">3. Capacity and Dispatch Analysis:</w:t>
      </w:r>
    </w:p>
    <w:p w:rsidR="00000000" w:rsidDel="00000000" w:rsidP="00000000" w:rsidRDefault="00000000" w:rsidRPr="00000000" w14:paraId="00000021">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patterns emerge when comparing the Lower Nameplate Capacity to Upper Nameplate Capacity across different renewable energy technologies?</w:t>
      </w:r>
    </w:p>
    <w:p w:rsidR="00000000" w:rsidDel="00000000" w:rsidP="00000000" w:rsidRDefault="00000000" w:rsidRPr="00000000" w14:paraId="00000022">
      <w:pPr>
        <w:numPr>
          <w:ilvl w:val="0"/>
          <w:numId w:val="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the Dispatch Type (NS, SS) of renewable energy projects affect grid integration, and what recommendations can be made to improve dispatch reliability?</w:t>
      </w:r>
    </w:p>
    <w:p w:rsidR="00000000" w:rsidDel="00000000" w:rsidP="00000000" w:rsidRDefault="00000000" w:rsidRPr="00000000" w14:paraId="00000023">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does storage capacity (MWh) impact the efficiency and dispatchability of renewable energy projects, particularly in regions with variable weather conditions?</w:t>
      </w:r>
    </w:p>
    <w:p w:rsidR="00000000" w:rsidDel="00000000" w:rsidP="00000000" w:rsidRDefault="00000000" w:rsidRPr="00000000" w14:paraId="00000024">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ndxke1oev852" w:id="3"/>
      <w:bookmarkEnd w:id="3"/>
      <w:r w:rsidDel="00000000" w:rsidR="00000000" w:rsidRPr="00000000">
        <w:rPr>
          <w:rFonts w:ascii="Times New Roman" w:cs="Times New Roman" w:eastAsia="Times New Roman" w:hAnsi="Times New Roman"/>
          <w:b w:val="1"/>
          <w:color w:val="000000"/>
          <w:sz w:val="26"/>
          <w:szCs w:val="26"/>
          <w:rtl w:val="0"/>
        </w:rPr>
        <w:t xml:space="preserve">4. Impact on the Grid and Integration:</w:t>
      </w:r>
    </w:p>
    <w:p w:rsidR="00000000" w:rsidDel="00000000" w:rsidP="00000000" w:rsidRDefault="00000000" w:rsidRPr="00000000" w14:paraId="00000025">
      <w:pPr>
        <w:numPr>
          <w:ilvl w:val="0"/>
          <w:numId w:val="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we optimize the placement of renewable energy projects to integrate seamlessly into the existing grid, considering dispatch type and capacity?</w:t>
      </w:r>
    </w:p>
    <w:p w:rsidR="00000000" w:rsidDel="00000000" w:rsidP="00000000" w:rsidRDefault="00000000" w:rsidRPr="00000000" w14:paraId="00000026">
      <w:pPr>
        <w:numPr>
          <w:ilvl w:val="0"/>
          <w:numId w:val="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is the role of commercial use dates and expected closure years in planning future renewable energy projects to prevent disruptions in grid supply?</w:t>
      </w:r>
    </w:p>
    <w:p w:rsidR="00000000" w:rsidDel="00000000" w:rsidP="00000000" w:rsidRDefault="00000000" w:rsidRPr="00000000" w14:paraId="00000027">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i7hrettwtj42" w:id="4"/>
      <w:bookmarkEnd w:id="4"/>
      <w:r w:rsidDel="00000000" w:rsidR="00000000" w:rsidRPr="00000000">
        <w:rPr>
          <w:rFonts w:ascii="Times New Roman" w:cs="Times New Roman" w:eastAsia="Times New Roman" w:hAnsi="Times New Roman"/>
          <w:b w:val="1"/>
          <w:color w:val="000000"/>
          <w:sz w:val="26"/>
          <w:szCs w:val="26"/>
          <w:rtl w:val="0"/>
        </w:rPr>
        <w:t xml:space="preserve">5. Owner and Project Management:</w:t>
      </w:r>
    </w:p>
    <w:p w:rsidR="00000000" w:rsidDel="00000000" w:rsidP="00000000" w:rsidRDefault="00000000" w:rsidRPr="00000000" w14:paraId="00000028">
      <w:pPr>
        <w:numPr>
          <w:ilvl w:val="0"/>
          <w:numId w:val="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trends can be observed in terms of ownership (Owner column) and the success or efficiency of renewable energy projects in different regions?</w:t>
      </w:r>
    </w:p>
    <w:p w:rsidR="00000000" w:rsidDel="00000000" w:rsidP="00000000" w:rsidRDefault="00000000" w:rsidRPr="00000000" w14:paraId="00000029">
      <w:pPr>
        <w:numPr>
          <w:ilvl w:val="0"/>
          <w:numId w:val="1"/>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projects managed by certain companies (based on the Owner data) more efficient or environmentally friendly than others?</w:t>
      </w:r>
    </w:p>
    <w:p w:rsidR="00000000" w:rsidDel="00000000" w:rsidP="00000000" w:rsidRDefault="00000000" w:rsidRPr="00000000" w14:paraId="0000002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w5bjmg5e98ds" w:id="5"/>
      <w:bookmarkEnd w:id="5"/>
      <w:r w:rsidDel="00000000" w:rsidR="00000000" w:rsidRPr="00000000">
        <w:rPr>
          <w:rFonts w:ascii="Times New Roman" w:cs="Times New Roman" w:eastAsia="Times New Roman" w:hAnsi="Times New Roman"/>
          <w:b w:val="1"/>
          <w:color w:val="000000"/>
          <w:sz w:val="26"/>
          <w:szCs w:val="26"/>
          <w:rtl w:val="0"/>
        </w:rPr>
        <w:t xml:space="preserve">6. Future Development Potential:</w:t>
      </w:r>
    </w:p>
    <w:p w:rsidR="00000000" w:rsidDel="00000000" w:rsidP="00000000" w:rsidRDefault="00000000" w:rsidRPr="00000000" w14:paraId="0000002B">
      <w:pPr>
        <w:numPr>
          <w:ilvl w:val="0"/>
          <w:numId w:val="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status summaries (e.g., "Proposed," "Existing less Announced Withdrawal"), where are the key opportunities for renewable energy development in Australia?</w:t>
      </w:r>
    </w:p>
    <w:p w:rsidR="00000000" w:rsidDel="00000000" w:rsidP="00000000" w:rsidRDefault="00000000" w:rsidRPr="00000000" w14:paraId="0000002C">
      <w:pPr>
        <w:numPr>
          <w:ilvl w:val="0"/>
          <w:numId w:val="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can regions with anticipated project growth (based on Status Summary and Coordinates) be optimized for minimal environmental disruption while maximizing grid efficiency?</w:t>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