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jc w:val="center"/>
      </w:pPr>
      <w:r>
        <w:rPr>
          <w:b/>
          <w:bCs/>
          <w:i w:val="false"/>
          <w:iCs w:val="false"/>
          <w:sz w:val="32"/>
          <w:szCs w:val="32"/>
          <w:rtl/>
        </w:rPr>
        <w:t xml:space="preserve">SmartArchive AI Platform</w:t>
      </w:r>
    </w:p>
    <w:p>
      <w:pPr>
        <w:bidi/>
        <w:spacing w:after="160"/>
        <w:jc w:val="center"/>
      </w:pPr>
      <w:r>
        <w:rPr>
          <w:b/>
          <w:bCs/>
          <w:i w:val="false"/>
          <w:iCs w:val="false"/>
          <w:sz w:val="26"/>
          <w:szCs w:val="26"/>
          <w:rtl/>
        </w:rPr>
        <w:t xml:space="preserve">ملحق معماري رسمي — SA-ARCH-006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1EFE8" w:val="clear"/>
            <w:tcMar>
              <w:top w:type="dxa" w:w="80"/>
              <w:left w:type="dxa" w:w="120"/>
              <w:bottom w:type="dxa" w:w="80"/>
              <w:right w:type="dxa" w:w="120"/>
            </w:tcMar>
          </w:tcPr>
          <w:p>
            <w:pPr>
              <w:bidi/>
              <w:jc w:val="right"/>
            </w:pPr>
            <w:r>
              <w:rPr>
                <w:b/>
                <w:bCs/>
                <w:sz w:val="20"/>
                <w:szCs w:val="20"/>
                <w:rtl/>
              </w:rPr>
              <w:t xml:space="preserve">رقم الوثيقة</w:t>
            </w:r>
          </w:p>
        </w:tc>
        <w:tc>
          <w:tcPr>
            <w:tcW w:type="dxa" w:w="6960"/>
            <w:tcMar>
              <w:top w:type="dxa" w:w="80"/>
              <w:left w:type="dxa" w:w="120"/>
              <w:bottom w:type="dxa" w:w="80"/>
              <w:right w:type="dxa" w:w="120"/>
            </w:tcMar>
          </w:tcPr>
          <w:p>
            <w:pPr>
              <w:bidi/>
              <w:jc w:val="right"/>
            </w:pPr>
            <w:r>
              <w:rPr>
                <w:sz w:val="20"/>
                <w:szCs w:val="20"/>
                <w:rtl/>
              </w:rPr>
              <w:t xml:space="preserve">SA-ARCH-006</w:t>
            </w:r>
          </w:p>
        </w:tc>
      </w:tr>
      <w:tr>
        <w:tc>
          <w:tcPr>
            <w:tcW w:type="dxa" w:w="2400"/>
            <w:shd w:fill="F1EFE8" w:val="clear"/>
            <w:tcMar>
              <w:top w:type="dxa" w:w="80"/>
              <w:left w:type="dxa" w:w="120"/>
              <w:bottom w:type="dxa" w:w="80"/>
              <w:right w:type="dxa" w:w="120"/>
            </w:tcMar>
          </w:tcPr>
          <w:p>
            <w:pPr>
              <w:bidi/>
              <w:jc w:val="right"/>
            </w:pPr>
            <w:r>
              <w:rPr>
                <w:b/>
                <w:bCs/>
                <w:sz w:val="20"/>
                <w:szCs w:val="20"/>
                <w:rtl/>
              </w:rPr>
              <w:t xml:space="preserve">عنوان الوثيقة</w:t>
            </w:r>
          </w:p>
        </w:tc>
        <w:tc>
          <w:tcPr>
            <w:tcW w:type="dxa" w:w="6960"/>
            <w:tcMar>
              <w:top w:type="dxa" w:w="80"/>
              <w:left w:type="dxa" w:w="120"/>
              <w:bottom w:type="dxa" w:w="80"/>
              <w:right w:type="dxa" w:w="120"/>
            </w:tcMar>
          </w:tcPr>
          <w:p>
            <w:pPr>
              <w:bidi/>
              <w:jc w:val="right"/>
            </w:pPr>
            <w:r>
              <w:rPr>
                <w:sz w:val="20"/>
                <w:szCs w:val="20"/>
                <w:rtl/>
              </w:rPr>
              <w:t xml:space="preserve">ملحق معماري: التكامل مع أنظمة الشركات والمعامل والجهات الحكومية، ومحرك التذكيرات الموحد</w:t>
            </w:r>
          </w:p>
        </w:tc>
      </w:tr>
      <w:tr>
        <w:tc>
          <w:tcPr>
            <w:tcW w:type="dxa" w:w="2400"/>
            <w:shd w:fill="F1EFE8" w:val="clear"/>
            <w:tcMar>
              <w:top w:type="dxa" w:w="80"/>
              <w:left w:type="dxa" w:w="120"/>
              <w:bottom w:type="dxa" w:w="80"/>
              <w:right w:type="dxa" w:w="120"/>
            </w:tcMar>
          </w:tcPr>
          <w:p>
            <w:pPr>
              <w:bidi/>
              <w:jc w:val="right"/>
            </w:pPr>
            <w:r>
              <w:rPr>
                <w:b/>
                <w:bCs/>
                <w:sz w:val="20"/>
                <w:szCs w:val="20"/>
                <w:rtl/>
              </w:rPr>
              <w:t xml:space="preserve">يُلحق بـ</w:t>
            </w:r>
          </w:p>
        </w:tc>
        <w:tc>
          <w:tcPr>
            <w:tcW w:type="dxa" w:w="6960"/>
            <w:tcMar>
              <w:top w:type="dxa" w:w="80"/>
              <w:left w:type="dxa" w:w="120"/>
              <w:bottom w:type="dxa" w:w="80"/>
              <w:right w:type="dxa" w:w="120"/>
            </w:tcMar>
          </w:tcPr>
          <w:p>
            <w:pPr>
              <w:bidi/>
              <w:jc w:val="right"/>
            </w:pPr>
            <w:r>
              <w:rPr>
                <w:sz w:val="20"/>
                <w:szCs w:val="20"/>
                <w:rtl/>
              </w:rPr>
              <w:t xml:space="preserve">SAC-ARCH-000 v2.1.0 — البنية المعمارية التأسيسية</w:t>
            </w:r>
          </w:p>
        </w:tc>
      </w:tr>
      <w:tr>
        <w:tc>
          <w:tcPr>
            <w:tcW w:type="dxa" w:w="2400"/>
            <w:shd w:fill="F1EFE8" w:val="clear"/>
            <w:tcMar>
              <w:top w:type="dxa" w:w="80"/>
              <w:left w:type="dxa" w:w="120"/>
              <w:bottom w:type="dxa" w:w="80"/>
              <w:right w:type="dxa" w:w="120"/>
            </w:tcMar>
          </w:tcPr>
          <w:p>
            <w:pPr>
              <w:bidi/>
              <w:jc w:val="right"/>
            </w:pPr>
            <w:r>
              <w:rPr>
                <w:b/>
                <w:bCs/>
                <w:sz w:val="20"/>
                <w:szCs w:val="20"/>
                <w:rtl/>
              </w:rPr>
              <w:t xml:space="preserve">الإصدار</w:t>
            </w:r>
          </w:p>
        </w:tc>
        <w:tc>
          <w:tcPr>
            <w:tcW w:type="dxa" w:w="6960"/>
            <w:tcMar>
              <w:top w:type="dxa" w:w="80"/>
              <w:left w:type="dxa" w:w="120"/>
              <w:bottom w:type="dxa" w:w="80"/>
              <w:right w:type="dxa" w:w="120"/>
            </w:tcMar>
          </w:tcPr>
          <w:p>
            <w:pPr>
              <w:bidi/>
              <w:jc w:val="right"/>
            </w:pPr>
            <w:r>
              <w:rPr>
                <w:sz w:val="20"/>
                <w:szCs w:val="20"/>
                <w:rtl/>
              </w:rPr>
              <w:t xml:space="preserve">1.0</w:t>
            </w:r>
          </w:p>
        </w:tc>
      </w:tr>
      <w:tr>
        <w:tc>
          <w:tcPr>
            <w:tcW w:type="dxa" w:w="2400"/>
            <w:shd w:fill="F1EFE8" w:val="clear"/>
            <w:tcMar>
              <w:top w:type="dxa" w:w="80"/>
              <w:left w:type="dxa" w:w="120"/>
              <w:bottom w:type="dxa" w:w="80"/>
              <w:right w:type="dxa" w:w="120"/>
            </w:tcMar>
          </w:tcPr>
          <w:p>
            <w:pPr>
              <w:bidi/>
              <w:jc w:val="right"/>
            </w:pPr>
            <w:r>
              <w:rPr>
                <w:b/>
                <w:bCs/>
                <w:sz w:val="20"/>
                <w:szCs w:val="20"/>
                <w:rtl/>
              </w:rPr>
              <w:t xml:space="preserve">المالك</w:t>
            </w:r>
          </w:p>
        </w:tc>
        <w:tc>
          <w:tcPr>
            <w:tcW w:type="dxa" w:w="6960"/>
            <w:tcMar>
              <w:top w:type="dxa" w:w="80"/>
              <w:left w:type="dxa" w:w="120"/>
              <w:bottom w:type="dxa" w:w="80"/>
              <w:right w:type="dxa" w:w="120"/>
            </w:tcMar>
          </w:tcPr>
          <w:p>
            <w:pPr>
              <w:bidi/>
              <w:jc w:val="right"/>
            </w:pPr>
            <w:r>
              <w:rPr>
                <w:sz w:val="20"/>
                <w:szCs w:val="20"/>
                <w:rtl/>
              </w:rPr>
              <w:t xml:space="preserve">فريق العمارة — SmartArchive AI Platform</w:t>
            </w:r>
          </w:p>
        </w:tc>
      </w:tr>
      <w:tr>
        <w:tc>
          <w:tcPr>
            <w:tcW w:type="dxa" w:w="2400"/>
            <w:shd w:fill="F1EFE8" w:val="clear"/>
            <w:tcMar>
              <w:top w:type="dxa" w:w="80"/>
              <w:left w:type="dxa" w:w="120"/>
              <w:bottom w:type="dxa" w:w="80"/>
              <w:right w:type="dxa" w:w="120"/>
            </w:tcMar>
          </w:tcPr>
          <w:p>
            <w:pPr>
              <w:bidi/>
              <w:jc w:val="right"/>
            </w:pPr>
            <w:r>
              <w:rPr>
                <w:b/>
                <w:bCs/>
                <w:sz w:val="20"/>
                <w:szCs w:val="20"/>
                <w:rtl/>
              </w:rPr>
              <w:t xml:space="preserve">الحالة</w:t>
            </w:r>
          </w:p>
        </w:tc>
        <w:tc>
          <w:tcPr>
            <w:tcW w:type="dxa" w:w="6960"/>
            <w:tcMar>
              <w:top w:type="dxa" w:w="80"/>
              <w:left w:type="dxa" w:w="120"/>
              <w:bottom w:type="dxa" w:w="80"/>
              <w:right w:type="dxa" w:w="120"/>
            </w:tcMar>
          </w:tcPr>
          <w:p>
            <w:pPr>
              <w:bidi/>
              <w:jc w:val="right"/>
            </w:pPr>
            <w:r>
              <w:rPr>
                <w:sz w:val="20"/>
                <w:szCs w:val="20"/>
                <w:rtl/>
              </w:rPr>
              <w:t xml:space="preserve">معتمد (Approved) — توضيح لا يُغيّر البنية القائمة</w:t>
            </w:r>
          </w:p>
        </w:tc>
      </w:tr>
      <w:tr>
        <w:tc>
          <w:tcPr>
            <w:tcW w:type="dxa" w:w="2400"/>
            <w:shd w:fill="F1EFE8" w:val="clear"/>
            <w:tcMar>
              <w:top w:type="dxa" w:w="80"/>
              <w:left w:type="dxa" w:w="120"/>
              <w:bottom w:type="dxa" w:w="80"/>
              <w:right w:type="dxa" w:w="120"/>
            </w:tcMar>
          </w:tcPr>
          <w:p>
            <w:pPr>
              <w:bidi/>
              <w:jc w:val="right"/>
            </w:pPr>
            <w:r>
              <w:rPr>
                <w:b/>
                <w:bCs/>
                <w:sz w:val="20"/>
                <w:szCs w:val="20"/>
                <w:rtl/>
              </w:rPr>
              <w:t xml:space="preserve">التصنيف</w:t>
            </w:r>
          </w:p>
        </w:tc>
        <w:tc>
          <w:tcPr>
            <w:tcW w:type="dxa" w:w="6960"/>
            <w:tcMar>
              <w:top w:type="dxa" w:w="80"/>
              <w:left w:type="dxa" w:w="120"/>
              <w:bottom w:type="dxa" w:w="80"/>
              <w:right w:type="dxa" w:w="120"/>
            </w:tcMar>
          </w:tcPr>
          <w:p>
            <w:pPr>
              <w:bidi/>
              <w:jc w:val="right"/>
            </w:pPr>
            <w:r>
              <w:rPr>
                <w:sz w:val="20"/>
                <w:szCs w:val="20"/>
                <w:rtl/>
              </w:rPr>
              <w:t xml:space="preserve">SA-ARCH</w:t>
            </w:r>
          </w:p>
        </w:tc>
      </w:tr>
      <w:tr>
        <w:tc>
          <w:tcPr>
            <w:tcW w:type="dxa" w:w="2400"/>
            <w:shd w:fill="F1EFE8" w:val="clear"/>
            <w:tcMar>
              <w:top w:type="dxa" w:w="80"/>
              <w:left w:type="dxa" w:w="120"/>
              <w:bottom w:type="dxa" w:w="80"/>
              <w:right w:type="dxa" w:w="120"/>
            </w:tcMar>
          </w:tcPr>
          <w:p>
            <w:pPr>
              <w:bidi/>
              <w:jc w:val="right"/>
            </w:pPr>
            <w:r>
              <w:rPr>
                <w:b/>
                <w:bCs/>
                <w:sz w:val="20"/>
                <w:szCs w:val="20"/>
                <w:rtl/>
              </w:rPr>
              <w:t xml:space="preserve">الاعتماديات</w:t>
            </w:r>
          </w:p>
        </w:tc>
        <w:tc>
          <w:tcPr>
            <w:tcW w:type="dxa" w:w="6960"/>
            <w:tcMar>
              <w:top w:type="dxa" w:w="80"/>
              <w:left w:type="dxa" w:w="120"/>
              <w:bottom w:type="dxa" w:w="80"/>
              <w:right w:type="dxa" w:w="120"/>
            </w:tcMar>
          </w:tcPr>
          <w:p>
            <w:pPr>
              <w:bidi/>
              <w:jc w:val="right"/>
            </w:pPr>
            <w:r>
              <w:rPr>
                <w:sz w:val="20"/>
                <w:szCs w:val="20"/>
                <w:rtl/>
              </w:rPr>
              <w:t xml:space="preserve">SAC-ARCH-000 v2.1.0، Universal Connector Engine، Layer 1D، طبقة ACE</w:t>
            </w:r>
          </w:p>
        </w:tc>
      </w:tr>
    </w:tbl>
    <w:p>
      <w:pPr>
        <w:spacing w:after="300"/>
      </w:pPr>
    </w:p>
    <w:p>
      <w:pPr>
        <w:bidi/>
        <w:spacing w:after="160"/>
        <w:jc w:val="right"/>
      </w:pPr>
      <w:r>
        <w:rPr>
          <w:b/>
          <w:bCs/>
          <w:i w:val="false"/>
          <w:iCs w:val="false"/>
          <w:sz w:val="26"/>
          <w:szCs w:val="26"/>
          <w:rtl/>
        </w:rPr>
        <w:t xml:space="preserve">الملخص التنفيذي</w:t>
      </w:r>
    </w:p>
    <w:p>
      <w:pPr>
        <w:bidi/>
        <w:spacing w:after="160"/>
        <w:jc w:val="right"/>
      </w:pPr>
      <w:r>
        <w:rPr>
          <w:b w:val="false"/>
          <w:bCs w:val="false"/>
          <w:i w:val="false"/>
          <w:iCs w:val="false"/>
          <w:sz w:val="22"/>
          <w:szCs w:val="22"/>
          <w:rtl/>
        </w:rPr>
        <w:t xml:space="preserve">هذه الوثيقة توثّق رسميًا مبدأين كانا مضمّنين ضمنيًا في البنية المعمارية التأسيسية SAC-ARCH-000 v2.1.0، وتجعلهما صريحين وقابلين للرجوع إليهما دون اجتهاد أو تخمين في أي جلسة عمل لاحقة: (١) وجوب عمل SmartArchive بشكل متكامل مع أنظمة الإدارة الموجودة لدى الشركات والمعامل والمستودعات والجهات الحكومية (ERP، CRM، وما شابه)، مع توفر وضع مستقل مبسّط عند غياب أي نظام من هذا القبيل، و(٢) وجود ميزة تذكيرات عامة بالمواعيد كطبقة خدمة موحدة عبر المنتج. هذا الملحق لا يُغيّر البنية المعمارية القائمة، بل يوثّقها بشكل صريح.</w:t>
      </w:r>
    </w:p>
    <w:p>
      <w:pPr>
        <w:bidi/>
        <w:spacing w:after="160"/>
        <w:jc w:val="right"/>
      </w:pPr>
      <w:r>
        <w:rPr>
          <w:b/>
          <w:bCs/>
          <w:i w:val="false"/>
          <w:iCs w:val="false"/>
          <w:sz w:val="26"/>
          <w:szCs w:val="26"/>
          <w:rtl/>
        </w:rPr>
        <w:t xml:space="preserve">١. الغرض من الوثيقة</w:t>
      </w:r>
    </w:p>
    <w:p>
      <w:pPr>
        <w:bidi/>
        <w:spacing w:after="160"/>
        <w:jc w:val="right"/>
      </w:pPr>
      <w:r>
        <w:rPr>
          <w:b w:val="false"/>
          <w:bCs w:val="false"/>
          <w:i w:val="false"/>
          <w:iCs w:val="false"/>
          <w:sz w:val="22"/>
          <w:szCs w:val="22"/>
          <w:rtl/>
        </w:rPr>
        <w:t xml:space="preserve">توضيح وتثبيت السلوك المتوقع من محرك SmartArchive عند التعامل مع بيئات العمل المختلفة (شركات، معامل، مستودعات، دوائر حكومية)، بحيث يبقى هذا السلوك مرجعًا ثابتًا لكل عمليات التطوير والتوثيق اللاحقة، بدلًا من الاعتماد على الذاكرة السياقية لكل جلسة.</w:t>
      </w:r>
    </w:p>
    <w:p>
      <w:pPr>
        <w:bidi/>
        <w:spacing w:after="160"/>
        <w:jc w:val="right"/>
      </w:pPr>
      <w:r>
        <w:rPr>
          <w:b/>
          <w:bCs/>
          <w:i w:val="false"/>
          <w:iCs w:val="false"/>
          <w:sz w:val="26"/>
          <w:szCs w:val="26"/>
          <w:rtl/>
        </w:rPr>
        <w:t xml:space="preserve">٢. النطاق</w:t>
      </w:r>
    </w:p>
    <w:p>
      <w:pPr>
        <w:pStyle w:val="ListParagraph"/>
        <w:numPr>
          <w:ilvl w:val="0"/>
          <w:numId w:val="2"/>
        </w:numPr>
        <w:bidi/>
        <w:spacing w:after="100"/>
        <w:jc w:val="right"/>
      </w:pPr>
      <w:r>
        <w:rPr>
          <w:sz w:val="22"/>
          <w:szCs w:val="22"/>
          <w:rtl/>
        </w:rPr>
        <w:t xml:space="preserve">ينطبق على كل من إصدار المؤسسات (Enterprise B2B) وإصدار المنازل (Home B2C) حيثما وُجدت بيئة عمل مؤسسية.</w:t>
      </w:r>
    </w:p>
    <w:p>
      <w:pPr>
        <w:pStyle w:val="ListParagraph"/>
        <w:numPr>
          <w:ilvl w:val="0"/>
          <w:numId w:val="2"/>
        </w:numPr>
        <w:bidi/>
        <w:spacing w:after="100"/>
        <w:jc w:val="right"/>
      </w:pPr>
      <w:r>
        <w:rPr>
          <w:sz w:val="22"/>
          <w:szCs w:val="22"/>
          <w:rtl/>
        </w:rPr>
        <w:t xml:space="preserve">يشمل جميع القطاعات: الشركات التجارية، المعامل والمصانع، المستودعات، الجهات الحكومية، وأي منشأة تدير عملياتها عبر برمجيات إدارية قائمة.</w:t>
      </w:r>
    </w:p>
    <w:p>
      <w:pPr>
        <w:pStyle w:val="ListParagraph"/>
        <w:numPr>
          <w:ilvl w:val="0"/>
          <w:numId w:val="2"/>
        </w:numPr>
        <w:bidi/>
        <w:spacing w:after="100"/>
        <w:jc w:val="right"/>
      </w:pPr>
      <w:r>
        <w:rPr>
          <w:sz w:val="22"/>
          <w:szCs w:val="22"/>
          <w:rtl/>
        </w:rPr>
        <w:t xml:space="preserve">لا يشمل تعديلًا على طبقة ACE أو على مبدأ Confidence Gate أو الأدوات الحسّاسة للسياق (Calm Cards) — تبقى كما هي.</w:t>
      </w:r>
    </w:p>
    <w:p>
      <w:pPr>
        <w:bidi/>
        <w:spacing w:after="160"/>
        <w:jc w:val="right"/>
      </w:pPr>
      <w:r>
        <w:rPr>
          <w:b/>
          <w:bCs/>
          <w:i w:val="false"/>
          <w:iCs w:val="false"/>
          <w:sz w:val="26"/>
          <w:szCs w:val="26"/>
          <w:rtl/>
        </w:rPr>
        <w:t xml:space="preserve">٣. القاعدة المعمارية: التكامل أولًا، الاستقلالية كاحتياط</w:t>
      </w:r>
    </w:p>
    <w:p>
      <w:pPr>
        <w:bidi/>
        <w:spacing w:after="160"/>
        <w:jc w:val="right"/>
      </w:pPr>
      <w:r>
        <w:rPr>
          <w:b w:val="false"/>
          <w:bCs w:val="false"/>
          <w:i w:val="false"/>
          <w:iCs w:val="false"/>
          <w:sz w:val="22"/>
          <w:szCs w:val="22"/>
          <w:rtl/>
        </w:rPr>
        <w:t xml:space="preserve">عند نشر SmartArchive داخل أي شركة أو معمل أو مستودع أو دائرة حكومية، يجب أن يعمل النظام بشكل متكامل مع البرمجيات الإدارية المستخدمة فعليًا لدى تلك الجهة، بدلًا من العمل كنظام منفصل وموازٍ. يشمل ذلك على سبيل المثال لا الحصر:</w:t>
      </w:r>
    </w:p>
    <w:p>
      <w:pPr>
        <w:pStyle w:val="ListParagraph"/>
        <w:numPr>
          <w:ilvl w:val="0"/>
          <w:numId w:val="2"/>
        </w:numPr>
        <w:bidi/>
        <w:spacing w:after="100"/>
        <w:jc w:val="right"/>
      </w:pPr>
      <w:r>
        <w:rPr>
          <w:sz w:val="22"/>
          <w:szCs w:val="22"/>
          <w:rtl/>
        </w:rPr>
        <w:t xml:space="preserve">أنظمة تخطيط موارد المؤسسات (ERP): SAP، Oracle، Microsoft Dynamics، Odoo.</w:t>
      </w:r>
    </w:p>
    <w:p>
      <w:pPr>
        <w:pStyle w:val="ListParagraph"/>
        <w:numPr>
          <w:ilvl w:val="0"/>
          <w:numId w:val="2"/>
        </w:numPr>
        <w:bidi/>
        <w:spacing w:after="100"/>
        <w:jc w:val="right"/>
      </w:pPr>
      <w:r>
        <w:rPr>
          <w:sz w:val="22"/>
          <w:szCs w:val="22"/>
          <w:rtl/>
        </w:rPr>
        <w:t xml:space="preserve">أنظمة إدارة علاقات العملاء (CRM): Salesforce، HubSpot، Zoho.</w:t>
      </w:r>
    </w:p>
    <w:p>
      <w:pPr>
        <w:pStyle w:val="ListParagraph"/>
        <w:numPr>
          <w:ilvl w:val="0"/>
          <w:numId w:val="2"/>
        </w:numPr>
        <w:bidi/>
        <w:spacing w:after="100"/>
        <w:jc w:val="right"/>
      </w:pPr>
      <w:r>
        <w:rPr>
          <w:sz w:val="22"/>
          <w:szCs w:val="22"/>
          <w:rtl/>
        </w:rPr>
        <w:t xml:space="preserve">أنظمة إدارة المعامل والمستودعات وسلاسل الإنتاج والمخزون الخاصة بكل قطاع.</w:t>
      </w:r>
    </w:p>
    <w:p>
      <w:pPr>
        <w:pStyle w:val="ListParagraph"/>
        <w:numPr>
          <w:ilvl w:val="0"/>
          <w:numId w:val="2"/>
        </w:numPr>
        <w:bidi/>
        <w:spacing w:after="100"/>
        <w:jc w:val="right"/>
      </w:pPr>
      <w:r>
        <w:rPr>
          <w:sz w:val="22"/>
          <w:szCs w:val="22"/>
          <w:rtl/>
        </w:rPr>
        <w:t xml:space="preserve">أنظمة العمل التعاوني وتخزين المستندات: Google Workspace، Microsoft 365، SharePoint، Dropbox، Box.</w:t>
      </w:r>
    </w:p>
    <w:p>
      <w:pPr>
        <w:pStyle w:val="ListParagraph"/>
        <w:numPr>
          <w:ilvl w:val="0"/>
          <w:numId w:val="2"/>
        </w:numPr>
        <w:bidi/>
        <w:spacing w:after="100"/>
        <w:jc w:val="right"/>
      </w:pPr>
      <w:r>
        <w:rPr>
          <w:sz w:val="22"/>
          <w:szCs w:val="22"/>
          <w:rtl/>
        </w:rPr>
        <w:t xml:space="preserve">أنظمة الجهات الحكومية المتخصصة (كل حسب طبيعة عملها)، عبر واجهات Universal Connector Engine القائمة.</w:t>
      </w:r>
    </w:p>
    <w:p>
      <w:pPr>
        <w:bidi/>
        <w:spacing w:after="160"/>
        <w:jc w:val="right"/>
      </w:pPr>
      <w:r>
        <w:rPr>
          <w:b w:val="false"/>
          <w:bCs w:val="false"/>
          <w:i w:val="false"/>
          <w:iCs w:val="false"/>
          <w:sz w:val="22"/>
          <w:szCs w:val="22"/>
          <w:rtl/>
        </w:rPr>
        <w:t xml:space="preserve">الوضع المتكامل (Integrated Mode) هو السلوك الافتراضي في كل هذه الحالات، وهو ما تم إقراره أصلًا ضمن SAC-ARCH-000. لا يُنشئ SmartArchive أي وظيفة CRM أو ERP بديلة أو منافسة؛ بل يضيف طبقة ذكاء مستندي فوق الأنظمة القائمة.</w:t>
      </w:r>
    </w:p>
    <w:p>
      <w:pPr>
        <w:bidi/>
        <w:spacing w:after="160"/>
        <w:jc w:val="right"/>
      </w:pPr>
      <w:r>
        <w:rPr>
          <w:b/>
          <w:bCs/>
          <w:i w:val="false"/>
          <w:iCs w:val="false"/>
          <w:sz w:val="26"/>
          <w:szCs w:val="26"/>
          <w:rtl/>
        </w:rPr>
        <w:t xml:space="preserve">٤. الوضع المستقل (Standalone Mode) كاحتياط عند غياب الأنظمة</w:t>
      </w:r>
    </w:p>
    <w:p>
      <w:pPr>
        <w:bidi/>
        <w:spacing w:after="160"/>
        <w:jc w:val="right"/>
      </w:pPr>
      <w:r>
        <w:rPr>
          <w:b w:val="false"/>
          <w:bCs w:val="false"/>
          <w:i w:val="false"/>
          <w:iCs w:val="false"/>
          <w:sz w:val="22"/>
          <w:szCs w:val="22"/>
          <w:rtl/>
        </w:rPr>
        <w:t xml:space="preserve">في حال لم تمتلك الجهة (شركة صغيرة، معمل، مكتب حكومي محلي) أي نظام إدارة رقمي قائم، يعمل SmartArchive في وضع مستقل، وهو وضع احتياطي مقصود بالتصميم يقتصر على:</w:t>
      </w:r>
    </w:p>
    <w:p>
      <w:pPr>
        <w:pStyle w:val="ListParagraph"/>
        <w:numPr>
          <w:ilvl w:val="0"/>
          <w:numId w:val="2"/>
        </w:numPr>
        <w:bidi/>
        <w:spacing w:after="100"/>
        <w:jc w:val="right"/>
      </w:pPr>
      <w:r>
        <w:rPr>
          <w:sz w:val="22"/>
          <w:szCs w:val="22"/>
          <w:rtl/>
        </w:rPr>
        <w:t xml:space="preserve">مخزن بيانات وصفية منظّم (Structured Metadata Store).</w:t>
      </w:r>
    </w:p>
    <w:p>
      <w:pPr>
        <w:pStyle w:val="ListParagraph"/>
        <w:numPr>
          <w:ilvl w:val="0"/>
          <w:numId w:val="2"/>
        </w:numPr>
        <w:bidi/>
        <w:spacing w:after="100"/>
        <w:jc w:val="right"/>
      </w:pPr>
      <w:r>
        <w:rPr>
          <w:sz w:val="22"/>
          <w:szCs w:val="22"/>
          <w:rtl/>
        </w:rPr>
        <w:t xml:space="preserve">أرشيف مستندات (Document Archive).</w:t>
      </w:r>
    </w:p>
    <w:p>
      <w:pPr>
        <w:bidi/>
        <w:spacing w:after="160"/>
        <w:jc w:val="right"/>
      </w:pPr>
      <w:r>
        <w:rPr>
          <w:b w:val="false"/>
          <w:bCs w:val="false"/>
          <w:i w:val="false"/>
          <w:iCs w:val="false"/>
          <w:sz w:val="22"/>
          <w:szCs w:val="22"/>
          <w:rtl/>
        </w:rPr>
        <w:t xml:space="preserve">يبقى هذا الوضع بسيطًا عمدًا، ولا يتوسع ليصبح نظام CRM أو ERP منافسًا — تمامًا كما هو موثق في البنية التأسيسية.</w:t>
      </w:r>
    </w:p>
    <w:p>
      <w:pPr>
        <w:bidi/>
        <w:spacing w:after="160"/>
        <w:jc w:val="right"/>
      </w:pPr>
      <w:r>
        <w:rPr>
          <w:b/>
          <w:bCs/>
          <w:i w:val="false"/>
          <w:iCs w:val="false"/>
          <w:sz w:val="26"/>
          <w:szCs w:val="26"/>
          <w:rtl/>
        </w:rPr>
        <w:t xml:space="preserve">٥. محرك التذكيرات والجدولة الموحد (Layer 1D)</w:t>
      </w:r>
    </w:p>
    <w:p>
      <w:pPr>
        <w:bidi/>
        <w:spacing w:after="160"/>
        <w:jc w:val="right"/>
      </w:pPr>
      <w:r>
        <w:rPr>
          <w:b w:val="false"/>
          <w:bCs w:val="false"/>
          <w:i w:val="false"/>
          <w:iCs w:val="false"/>
          <w:sz w:val="22"/>
          <w:szCs w:val="22"/>
          <w:rtl/>
        </w:rPr>
        <w:t xml:space="preserve">تُضاف ميزة التذكيرات العامة بالمواعيد كطبقة خدمة مشتركة بين الوضعين (المتكامل والمستقل)، وبين المنتجين (Enterprise وHome)، وتُعرف بـ Universal Reminders &amp; Scheduling Engine. كل تذكير — بغض النظر عن مصدره (مستند، بريد، حدث في نظام خارجي، أو إدخال يدوي) — يمر إلزاميًا عبر طبقة ACE قبل تسليمه للمستخدم، بما يضمن توقيتًا مناسبًا وصياغة حسّاسة للسياق (Calm Cards) وعدم إغراق المستخدم بإشعارات غير ضرورية.</w:t>
      </w:r>
    </w:p>
    <w:p>
      <w:pPr>
        <w:bidi/>
        <w:spacing w:after="160"/>
        <w:jc w:val="right"/>
      </w:pPr>
      <w:r>
        <w:rPr>
          <w:b/>
          <w:bCs/>
          <w:i w:val="false"/>
          <w:iCs w:val="false"/>
          <w:sz w:val="26"/>
          <w:szCs w:val="26"/>
          <w:rtl/>
        </w:rPr>
        <w:t xml:space="preserve">٦. المخطط البنيوي المرجعي</w:t>
      </w:r>
    </w:p>
    <w:p>
      <w:pPr>
        <w:bidi/>
        <w:spacing w:after="160"/>
        <w:jc w:val="right"/>
      </w:pPr>
      <w:r>
        <w:rPr>
          <w:b w:val="false"/>
          <w:bCs w:val="false"/>
          <w:i w:val="false"/>
          <w:iCs w:val="false"/>
          <w:sz w:val="22"/>
          <w:szCs w:val="22"/>
          <w:rtl/>
        </w:rPr>
        <w:t xml:space="preserve">تم عرض المخطط البصري المقابل لهذا الملحق داخل جلسة العمل (محرك SmartArchive الأساسي، تفرّعه إلى الوضع المتكامل والوضع المستقل، ثم طبقة التذكيرات الموحدة، ثم طبقة ACE). يُرجع إلى هذا المخطط كمرجع بصري مصاحب لهذه الوثيقة، دون الحاجة لإعادة رسمه في وثائق مستقبلية ما لم تتغير البنية فعليًا.</w:t>
      </w:r>
    </w:p>
    <w:p>
      <w:pPr>
        <w:bidi/>
        <w:spacing w:after="160"/>
        <w:jc w:val="right"/>
      </w:pPr>
      <w:r>
        <w:rPr>
          <w:b/>
          <w:bCs/>
          <w:i w:val="false"/>
          <w:iCs w:val="false"/>
          <w:sz w:val="26"/>
          <w:szCs w:val="26"/>
          <w:rtl/>
        </w:rPr>
        <w:t xml:space="preserve">٧. الأثر على البنية القائمة</w:t>
      </w:r>
    </w:p>
    <w:p>
      <w:pPr>
        <w:bidi/>
        <w:spacing w:after="160"/>
        <w:jc w:val="right"/>
      </w:pPr>
      <w:r>
        <w:rPr>
          <w:b w:val="false"/>
          <w:bCs w:val="false"/>
          <w:i w:val="false"/>
          <w:iCs w:val="false"/>
          <w:sz w:val="22"/>
          <w:szCs w:val="22"/>
          <w:rtl/>
        </w:rPr>
        <w:t xml:space="preserve">لا يوجد أي تغيير في البنية المعمارية لـ SAC-ARCH-000 v2.1.0. هذه الوثيقة توثيقية بحتة، هدفها منع الاجتهاد أو إعادة التفسير في الجلسات اللاحقة. أي تطوير مستقبلي يتعلق بموصلات جديدة (Connectors) لقطاعات محددة (معامل، مستودعات، جهات حكومية) يجب أن يُوثّق كتحديث فرعي ضمن Universal Connector Engine، لا كوثيقة منفصلة.</w:t>
      </w:r>
    </w:p>
    <w:p>
      <w:pPr>
        <w:bidi/>
        <w:spacing w:after="160"/>
        <w:jc w:val="right"/>
      </w:pPr>
      <w:r>
        <w:rPr>
          <w:b/>
          <w:bCs/>
          <w:i w:val="false"/>
          <w:iCs w:val="false"/>
          <w:sz w:val="26"/>
          <w:szCs w:val="26"/>
          <w:rtl/>
        </w:rPr>
        <w:t xml:space="preserve">سجل المراجعات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c>
          <w:tcPr>
            <w:tcW w:type="dxa" w:w="1200"/>
            <w:shd w:fill="F1EFE8" w:val="clear"/>
          </w:tcPr>
          <w:p>
            <w:pPr>
              <w:bidi/>
              <w:spacing w:after="160"/>
              <w:jc w:val="right"/>
            </w:pPr>
            <w:r>
              <w:rPr>
                <w:b/>
                <w:bCs/>
                <w:i w:val="false"/>
                <w:iCs w:val="false"/>
                <w:sz w:val="20"/>
                <w:szCs w:val="20"/>
                <w:rtl/>
              </w:rPr>
              <w:t xml:space="preserve">الإصدار</w:t>
            </w:r>
          </w:p>
        </w:tc>
        <w:tc>
          <w:tcPr>
            <w:tcW w:type="dxa" w:w="1600"/>
            <w:shd w:fill="F1EFE8" w:val="clear"/>
          </w:tcPr>
          <w:p>
            <w:pPr>
              <w:bidi/>
              <w:spacing w:after="160"/>
              <w:jc w:val="right"/>
            </w:pPr>
            <w:r>
              <w:rPr>
                <w:b/>
                <w:bCs/>
                <w:i w:val="false"/>
                <w:iCs w:val="false"/>
                <w:sz w:val="20"/>
                <w:szCs w:val="20"/>
                <w:rtl/>
              </w:rPr>
              <w:t xml:space="preserve">التاريخ</w:t>
            </w:r>
          </w:p>
        </w:tc>
        <w:tc>
          <w:tcPr>
            <w:tcW w:type="dxa" w:w="2400"/>
            <w:shd w:fill="F1EFE8" w:val="clear"/>
          </w:tcPr>
          <w:p>
            <w:pPr>
              <w:bidi/>
              <w:spacing w:after="160"/>
              <w:jc w:val="right"/>
            </w:pPr>
            <w:r>
              <w:rPr>
                <w:b/>
                <w:bCs/>
                <w:i w:val="false"/>
                <w:iCs w:val="false"/>
                <w:sz w:val="20"/>
                <w:szCs w:val="20"/>
                <w:rtl/>
              </w:rPr>
              <w:t xml:space="preserve">الكاتب</w:t>
            </w:r>
          </w:p>
        </w:tc>
        <w:tc>
          <w:tcPr>
            <w:tcW w:type="dxa" w:w="4160"/>
            <w:shd w:fill="F1EFE8" w:val="clear"/>
          </w:tcPr>
          <w:p>
            <w:pPr>
              <w:bidi/>
              <w:spacing w:after="160"/>
              <w:jc w:val="right"/>
            </w:pPr>
            <w:r>
              <w:rPr>
                <w:b/>
                <w:bCs/>
                <w:i w:val="false"/>
                <w:iCs w:val="false"/>
                <w:sz w:val="20"/>
                <w:szCs w:val="20"/>
                <w:rtl/>
              </w:rPr>
              <w:t xml:space="preserve">التغيير</w:t>
            </w:r>
          </w:p>
        </w:tc>
      </w:tr>
      <w:tr>
        <w:tc>
          <w:tcPr>
            <w:tcW w:type="dxa" w:w="1200"/>
            <w:tcMar>
              <w:top w:type="dxa" w:w="80"/>
              <w:left w:type="dxa" w:w="120"/>
              <w:bottom w:type="dxa" w:w="80"/>
              <w:right w:type="dxa" w:w="120"/>
            </w:tcMar>
          </w:tcPr>
          <w:p>
            <w:pPr>
              <w:bidi/>
              <w:jc w:val="right"/>
            </w:pPr>
            <w:r>
              <w:rPr>
                <w:b w:val="false"/>
                <w:bCs w:val="false"/>
                <w:sz w:val="20"/>
                <w:szCs w:val="20"/>
                <w:rtl/>
              </w:rPr>
              <w:t xml:space="preserve">1.0</w:t>
            </w:r>
          </w:p>
        </w:tc>
        <w:tc>
          <w:tcPr>
            <w:tcW w:type="dxa" w:w="1600"/>
            <w:tcMar>
              <w:top w:type="dxa" w:w="80"/>
              <w:left w:type="dxa" w:w="120"/>
              <w:bottom w:type="dxa" w:w="80"/>
              <w:right w:type="dxa" w:w="120"/>
            </w:tcMar>
          </w:tcPr>
          <w:p>
            <w:pPr>
              <w:bidi/>
              <w:jc w:val="right"/>
            </w:pPr>
            <w:r>
              <w:rPr>
                <w:b w:val="false"/>
                <w:bCs w:val="false"/>
                <w:sz w:val="20"/>
                <w:szCs w:val="20"/>
                <w:rtl/>
              </w:rPr>
              <w:t xml:space="preserve">2026-07-30</w:t>
            </w:r>
          </w:p>
        </w:tc>
        <w:tc>
          <w:tcPr>
            <w:tcW w:type="dxa" w:w="2400"/>
            <w:tcMar>
              <w:top w:type="dxa" w:w="80"/>
              <w:left w:type="dxa" w:w="120"/>
              <w:bottom w:type="dxa" w:w="80"/>
              <w:right w:type="dxa" w:w="120"/>
            </w:tcMar>
          </w:tcPr>
          <w:p>
            <w:pPr>
              <w:bidi/>
              <w:jc w:val="right"/>
            </w:pPr>
            <w:r>
              <w:rPr>
                <w:b w:val="false"/>
                <w:bCs w:val="false"/>
                <w:sz w:val="20"/>
                <w:szCs w:val="20"/>
                <w:rtl/>
              </w:rPr>
              <w:t xml:space="preserve">فريق العمارة</w:t>
            </w:r>
          </w:p>
        </w:tc>
        <w:tc>
          <w:tcPr>
            <w:tcW w:type="dxa" w:w="4160"/>
            <w:tcMar>
              <w:top w:type="dxa" w:w="80"/>
              <w:left w:type="dxa" w:w="120"/>
              <w:bottom w:type="dxa" w:w="80"/>
              <w:right w:type="dxa" w:w="120"/>
            </w:tcMar>
          </w:tcPr>
          <w:p>
            <w:pPr>
              <w:bidi/>
              <w:jc w:val="right"/>
            </w:pPr>
            <w:r>
              <w:rPr>
                <w:b w:val="false"/>
                <w:bCs w:val="false"/>
                <w:sz w:val="20"/>
                <w:szCs w:val="20"/>
                <w:rtl/>
              </w:rPr>
              <w:t xml:space="preserve">إصدار أولي — توثيق مبدأ التكامل الشامل والوضع المستقل ومحرك التذكيرات الموحد</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2026-07-30T12:25:22.819Z</dcterms:created>
  <dcterms:modified xsi:type="dcterms:W3CDTF">2026-07-30T12:25:22.835Z</dcterms:modified>
</cp:coreProperties>
</file>

<file path=docProps/custom.xml><?xml version="1.0" encoding="utf-8"?>
<Properties xmlns="http://schemas.openxmlformats.org/officeDocument/2006/custom-properties" xmlns:vt="http://schemas.openxmlformats.org/officeDocument/2006/docPropsVTypes"/>
</file>