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eaecef" w:space="6" w:sz="6" w:val="single"/>
          <w:right w:color="auto" w:space="0" w:sz="0" w:val="none"/>
        </w:pBdr>
        <w:shd w:fill="ffffff" w:val="clear"/>
        <w:spacing w:after="240" w:before="0" w:line="360" w:lineRule="auto"/>
        <w:jc w:val="both"/>
        <w:rPr>
          <w:b w:val="1"/>
          <w:color w:val="24292e"/>
          <w:sz w:val="20"/>
          <w:szCs w:val="20"/>
        </w:rPr>
      </w:pPr>
      <w:bookmarkStart w:colFirst="0" w:colLast="0" w:name="_wgf3lutd6rmk" w:id="0"/>
      <w:bookmarkEnd w:id="0"/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Evaluación: JAVA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31.2" w:lineRule="auto"/>
        <w:jc w:val="both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Desarrolle una aplicación que exponga una API RESTful de creación de usuarios.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31.2" w:lineRule="auto"/>
        <w:jc w:val="both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Todos los endpoints deben aceptar y retornar solamente JSON, inclusive al para los mensajes de error.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spacing w:line="331.2" w:lineRule="auto"/>
        <w:jc w:val="both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Todos los mensajes deben seguir el formato:</w:t>
      </w:r>
    </w:p>
    <w:p w:rsidR="00000000" w:rsidDel="00000000" w:rsidP="00000000" w:rsidRDefault="00000000" w:rsidRPr="00000000" w14:paraId="00000005">
      <w:pPr>
        <w:shd w:fill="ffffff" w:val="clear"/>
        <w:spacing w:after="240" w:line="417.59999999999997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"mensaje"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"mensaje de error"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aecef" w:space="5" w:sz="6" w:val="single"/>
          <w:right w:color="auto" w:space="0" w:sz="0" w:val="none"/>
        </w:pBdr>
        <w:shd w:fill="ffffff" w:val="clear"/>
        <w:spacing w:after="240" w:line="288" w:lineRule="auto"/>
        <w:jc w:val="both"/>
        <w:rPr>
          <w:b w:val="1"/>
          <w:color w:val="24292e"/>
          <w:sz w:val="20"/>
          <w:szCs w:val="20"/>
        </w:rPr>
      </w:pPr>
      <w:bookmarkStart w:colFirst="0" w:colLast="0" w:name="_3d10ifu07vax" w:id="1"/>
      <w:bookmarkEnd w:id="1"/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Registro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Ese endpoint deberá recibir un usuario con los campos "nombre", "correo", "contraseña", más un listado de objetos "teléfono", respetando el siguiente formato: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{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"Juan Rodriguez"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0"/>
          <w:szCs w:val="20"/>
          <w:shd w:fill="f6f8fa" w:val="clear"/>
          <w:rtl w:val="0"/>
        </w:rPr>
        <w:t xml:space="preserve">juan@rodriguez.org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"hunter2"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"phones"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[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"1234567"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"citycode"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  <w:tab/>
        <w:tab/>
        <w:tab/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"contrycode"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"57"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]</w:t>
      </w:r>
    </w:p>
    <w:p w:rsidR="00000000" w:rsidDel="00000000" w:rsidP="00000000" w:rsidRDefault="00000000" w:rsidRPr="00000000" w14:paraId="00000013">
      <w:pPr>
        <w:shd w:fill="ffffff" w:val="clear"/>
        <w:spacing w:after="240" w:line="417.59999999999997" w:lineRule="auto"/>
        <w:jc w:val="both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Responder el código de status HTTP adecuado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En caso de éxito, retorne el usuario y los siguientes campos: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88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id: id del usuario (puede ser lo que se genera por el banco de datos, pero sería más deseable un UUID)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88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created: fecha de creación del usuario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88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modified: fecha de la última actualización de usuario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88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last_login: del último ingreso (en caso de nuevo usuario, va a coincidir con la fecha de creación)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88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token: token de acceso de la API (puede ser UUID o JWT)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88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isactive: Indica si el usuario sigue habilitado dentro del sistema.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Si caso el correo conste en la base de datos, deberá retornar un error "El correo ya registrado".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El correo debe seguir una expresión regular para validar que formato sea el correcto. (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aaaaaaa@dominio.cl</w:t>
      </w:r>
      <w:r w:rsidDel="00000000" w:rsidR="00000000" w:rsidRPr="00000000">
        <w:rPr>
          <w:color w:val="24292e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La clave debe seguir una expresión regular para validar que formato sea el correcto. (Una Mayuscula, letras minúsculas, y dos números)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El token deberá ser persistido junto con el usuario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aecef" w:space="5" w:sz="6" w:val="single"/>
          <w:right w:color="auto" w:space="0" w:sz="0" w:val="none"/>
        </w:pBdr>
        <w:shd w:fill="ffffff" w:val="clear"/>
        <w:spacing w:after="240" w:line="288" w:lineRule="auto"/>
        <w:jc w:val="both"/>
        <w:rPr>
          <w:b w:val="1"/>
          <w:color w:val="24292e"/>
          <w:sz w:val="20"/>
          <w:szCs w:val="20"/>
        </w:rPr>
      </w:pPr>
      <w:bookmarkStart w:colFirst="0" w:colLast="0" w:name="_rbx74qeyy39m" w:id="2"/>
      <w:bookmarkEnd w:id="2"/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Requisitos mandatorios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Plazo: 2 días.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Banco de datos en memoria.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Gradle como herramienta de construcción.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Pruebas unitarias (Deseable: Spock Framework).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Persistencia con Hibernate.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Framework Spring Boot.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Java 8 o superior. (Usar características propias de la versión)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Entrega en un repositorio público (github, gitlab o bitbucket) con el código fuente.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Entregar diagrama de componentes de la solución y al menos un diagrama de secuencia.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ind w:left="940" w:hanging="360"/>
        <w:rPr>
          <w:color w:val="24292e"/>
          <w:sz w:val="20"/>
          <w:szCs w:val="20"/>
          <w:u w:val="none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README.md debe contener las instrucciones para levantar y usar el proyecto.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aecef" w:space="5" w:sz="6" w:val="single"/>
          <w:right w:color="auto" w:space="0" w:sz="0" w:val="none"/>
        </w:pBdr>
        <w:shd w:fill="ffffff" w:val="clear"/>
        <w:spacing w:after="240" w:line="288" w:lineRule="auto"/>
        <w:jc w:val="both"/>
        <w:rPr>
          <w:b w:val="1"/>
          <w:color w:val="24292e"/>
          <w:sz w:val="20"/>
          <w:szCs w:val="20"/>
        </w:rPr>
      </w:pPr>
      <w:bookmarkStart w:colFirst="0" w:colLast="0" w:name="_v6xlrrv8eqca" w:id="3"/>
      <w:bookmarkEnd w:id="3"/>
      <w:r w:rsidDel="00000000" w:rsidR="00000000" w:rsidRPr="00000000">
        <w:rPr>
          <w:b w:val="1"/>
          <w:color w:val="24292e"/>
          <w:sz w:val="20"/>
          <w:szCs w:val="20"/>
          <w:rtl w:val="0"/>
        </w:rPr>
        <w:t xml:space="preserve">Requisitos deseables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ind w:left="940" w:hanging="36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JWT cómo token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jc w:val="right"/>
      <w:rPr/>
    </w:pPr>
    <w:r w:rsidDel="00000000" w:rsidR="00000000" w:rsidRPr="00000000">
      <w:rPr>
        <w:sz w:val="20"/>
        <w:szCs w:val="20"/>
      </w:rPr>
      <w:drawing>
        <wp:inline distB="19050" distT="19050" distL="19050" distR="19050">
          <wp:extent cx="1190625" cy="2286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90625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