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60" w:before="0"/>
        <w:jc w:val="center"/>
      </w:pPr>
      <w:r>
        <w:rPr>
          <w:rFonts w:ascii="Arial" w:cs="Arial" w:eastAsia="Arial" w:hAnsi="Arial"/>
          <w:b/>
          <w:bCs/>
          <w:color w:val="1F3864"/>
          <w:sz w:val="56"/>
          <w:szCs w:val="56"/>
        </w:rPr>
        <w:t xml:space="preserve">LedgerLink AI</w:t>
      </w:r>
    </w:p>
    <w:p>
      <w:pPr>
        <w:spacing w:after="120" w:before="0"/>
        <w:jc w:val="center"/>
      </w:pPr>
      <w:r>
        <w:rPr>
          <w:rFonts w:ascii="Arial" w:cs="Arial" w:eastAsia="Arial" w:hAnsi="Arial"/>
          <w:color w:val="2E5FA3"/>
          <w:sz w:val="36"/>
          <w:szCs w:val="36"/>
        </w:rPr>
        <w:t xml:space="preserve">Product Addendum</w:t>
      </w:r>
    </w:p>
    <w:p>
      <w:pPr>
        <w:spacing w:after="80" w:before="0"/>
        <w:jc w:val="center"/>
      </w:pPr>
      <w:r>
        <w:rPr>
          <w:rFonts w:ascii="Arial" w:cs="Arial" w:eastAsia="Arial" w:hAnsi="Arial"/>
          <w:color w:val="6B7280"/>
          <w:sz w:val="24"/>
          <w:szCs w:val="24"/>
        </w:rPr>
        <w:t xml:space="preserve">Bilingualism • Canadian Tax Law • Sellability Features</w:t>
      </w:r>
    </w:p>
    <w:p>
      <w:pPr>
        <w:spacing w:after="120" w:before="0"/>
      </w:pPr>
      <w:r>
        <w:t xml:space="preserve"/>
      </w:r>
    </w:p>
    <w:p>
      <w:pPr>
        <w:spacing w:after="120" w:before="0"/>
      </w:pPr>
      <w:r>
        <w:t xml:space="preserve"/>
      </w:r>
    </w:p>
    <w:p>
      <w:pPr>
        <w:pBdr>
          <w:top w:val="single" w:color="9B1C1C" w:sz="6" w:space="4"/>
          <w:bottom w:val="single" w:color="9B1C1C" w:sz="6" w:space="4"/>
        </w:pBdr>
        <w:spacing w:after="160" w:before="0"/>
        <w:jc w:val="center"/>
      </w:pPr>
      <w:r>
        <w:rPr>
          <w:rFonts w:ascii="Arial" w:cs="Arial" w:eastAsia="Arial" w:hAnsi="Arial"/>
          <w:b/>
          <w:bCs/>
          <w:color w:val="9B1C1C"/>
          <w:sz w:val="24"/>
          <w:szCs w:val="24"/>
        </w:rPr>
        <w:t xml:space="preserve">Spécialisé pour le marché québécois  •  Specialized for the Quebec market</w:t>
      </w:r>
    </w:p>
    <w:p>
      <w:r>
        <w:br w:type="page"/>
      </w:r>
    </w:p>
    <w:p>
      <w:pPr>
        <w:pStyle w:val="Heading1"/>
        <w:pBdr>
          <w:bottom w:val="single" w:color="2E5FA3" w:sz="6" w:space="4"/>
        </w:pBdr>
        <w:spacing w:after="200" w:before="400"/>
      </w:pPr>
      <w:r>
        <w:rPr>
          <w:rFonts w:ascii="Arial" w:cs="Arial" w:eastAsia="Arial" w:hAnsi="Arial"/>
          <w:b/>
          <w:bCs/>
          <w:color w:val="1F3864"/>
          <w:sz w:val="32"/>
          <w:szCs w:val="32"/>
        </w:rPr>
        <w:t xml:space="preserve">A. Bilingual Interface (Français / English)</w:t>
      </w:r>
    </w:p>
    <w:p>
      <w:pPr>
        <w:pStyle w:val="Heading2"/>
        <w:spacing w:after="160" w:before="320"/>
      </w:pPr>
      <w:r>
        <w:rPr>
          <w:rFonts w:ascii="Arial" w:cs="Arial" w:eastAsia="Arial" w:hAnsi="Arial"/>
          <w:b/>
          <w:bCs/>
          <w:color w:val="2E5FA3"/>
          <w:sz w:val="26"/>
          <w:szCs w:val="26"/>
        </w:rPr>
        <w:t xml:space="preserve">A.1  Why Bilingualism Is Non-Negotiable</w:t>
      </w:r>
    </w:p>
    <w:p>
      <w:pPr>
        <w:spacing w:after="160" w:before="0"/>
      </w:pPr>
      <w:r>
        <w:rPr>
          <w:rFonts w:ascii="Arial" w:cs="Arial" w:eastAsia="Arial" w:hAnsi="Arial"/>
          <w:color w:val="111827"/>
          <w:sz w:val="22"/>
          <w:szCs w:val="22"/>
        </w:rPr>
        <w:t xml:space="preserve">Quebec law (Charte de la langue française / Bill 101) requires that software used in the workplace in Quebec be available in French. Beyond legal compliance, the practical reality is that most small CPA firms in Quebec operate primarily in French. A product that cannot be used fully in French will not sell in this market.</w:t>
      </w:r>
    </w:p>
    <w:p>
      <w:pPr>
        <w:spacing w:after="120" w:before="0"/>
      </w:pPr>
      <w:r>
        <w:t xml:space="preserve"/>
      </w:r>
    </w:p>
    <w:p>
      <w:pPr>
        <w:pBdr>
          <w:left w:val="single" w:color="854F0B" w:sz="12" w:space="8"/>
        </w:pBdr>
        <w:spacing w:after="160" w:before="80"/>
        <w:ind w:left="360"/>
      </w:pPr>
      <w:r>
        <w:rPr>
          <w:rFonts w:ascii="Arial" w:cs="Arial" w:eastAsia="Arial" w:hAnsi="Arial"/>
          <w:b/>
          <w:bCs/>
          <w:color w:val="854F0B"/>
          <w:sz w:val="20"/>
          <w:szCs w:val="20"/>
        </w:rPr>
        <w:t xml:space="preserve">Legal note: </w:t>
      </w:r>
      <w:r>
        <w:rPr>
          <w:rFonts w:ascii="Arial" w:cs="Arial" w:eastAsia="Arial" w:hAnsi="Arial"/>
          <w:i/>
          <w:iCs/>
          <w:color w:val="374151"/>
          <w:sz w:val="20"/>
          <w:szCs w:val="20"/>
        </w:rPr>
        <w:t xml:space="preserve">The Charter of the French Language requires that software offered to Quebec businesses be available in French. Any product sold to Quebec CPA firms must be fully functional in French, not just partially translated.</w:t>
      </w:r>
    </w:p>
    <w:p>
      <w:pPr>
        <w:spacing w:after="120" w:before="0"/>
      </w:pPr>
      <w:r>
        <w:t xml:space="preserve"/>
      </w:r>
    </w:p>
    <w:p>
      <w:pPr>
        <w:spacing w:after="160" w:before="0"/>
      </w:pPr>
      <w:r>
        <w:rPr>
          <w:rFonts w:ascii="Arial" w:cs="Arial" w:eastAsia="Arial" w:hAnsi="Arial"/>
          <w:color w:val="111827"/>
          <w:sz w:val="22"/>
          <w:szCs w:val="22"/>
        </w:rPr>
        <w:t xml:space="preserve">Additionally, many firms serve bilingual clients or have bilingual staff. The ability to switch language per user — not just globally — is a key differentiator.</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A.2  Implementation Approach</w:t>
      </w:r>
    </w:p>
    <w:p>
      <w:pPr>
        <w:spacing w:after="160" w:before="0"/>
      </w:pPr>
      <w:r>
        <w:rPr>
          <w:rFonts w:ascii="Arial" w:cs="Arial" w:eastAsia="Arial" w:hAnsi="Arial"/>
          <w:color w:val="111827"/>
          <w:sz w:val="22"/>
          <w:szCs w:val="22"/>
        </w:rPr>
        <w:t xml:space="preserve">The bilingual system uses a translation file approach rather than rebuilding the UI twice. All user-facing strings are stored in a single translation file. The UI renders from that file based on the user's language preference.</w:t>
      </w:r>
    </w:p>
    <w:p>
      <w:pPr>
        <w:spacing w:after="120" w:before="0"/>
      </w:pPr>
      <w:r>
        <w:t xml:space="preserve"/>
      </w:r>
    </w:p>
    <w:p>
      <w:pPr>
        <w:pStyle w:val="Heading3"/>
        <w:spacing w:after="120" w:before="240"/>
      </w:pPr>
      <w:r>
        <w:rPr>
          <w:rFonts w:ascii="Arial" w:cs="Arial" w:eastAsia="Arial" w:hAnsi="Arial"/>
          <w:b/>
          <w:bCs/>
          <w:color w:val="0F6E56"/>
          <w:sz w:val="22"/>
          <w:szCs w:val="22"/>
        </w:rPr>
        <w:t xml:space="preserve">A.2.1  Language preference per user</w:t>
      </w:r>
    </w:p>
    <w:p>
      <w:pPr>
        <w:pStyle w:val="ListParagraph"/>
        <w:numPr>
          <w:ilvl w:val="0"/>
          <w:numId w:val="2"/>
        </w:numPr>
        <w:spacing w:after="100" w:before="0"/>
      </w:pPr>
      <w:r>
        <w:rPr>
          <w:rFonts w:ascii="Arial" w:cs="Arial" w:eastAsia="Arial" w:hAnsi="Arial"/>
          <w:sz w:val="22"/>
          <w:szCs w:val="22"/>
        </w:rPr>
        <w:t xml:space="preserve">Each user in dashboard_users has a language column: 'fr' or 'en'</w:t>
      </w:r>
    </w:p>
    <w:p>
      <w:pPr>
        <w:pStyle w:val="ListParagraph"/>
        <w:numPr>
          <w:ilvl w:val="0"/>
          <w:numId w:val="2"/>
        </w:numPr>
        <w:spacing w:after="100" w:before="0"/>
      </w:pPr>
      <w:r>
        <w:rPr>
          <w:rFonts w:ascii="Arial" w:cs="Arial" w:eastAsia="Arial" w:hAnsi="Arial"/>
          <w:sz w:val="22"/>
          <w:szCs w:val="22"/>
        </w:rPr>
        <w:t xml:space="preserve">Language is set on first login and changeable in the user profile</w:t>
      </w:r>
    </w:p>
    <w:p>
      <w:pPr>
        <w:pStyle w:val="ListParagraph"/>
        <w:numPr>
          <w:ilvl w:val="0"/>
          <w:numId w:val="2"/>
        </w:numPr>
        <w:spacing w:after="100" w:before="0"/>
      </w:pPr>
      <w:r>
        <w:rPr>
          <w:rFonts w:ascii="Arial" w:cs="Arial" w:eastAsia="Arial" w:hAnsi="Arial"/>
          <w:sz w:val="22"/>
          <w:szCs w:val="22"/>
        </w:rPr>
        <w:t xml:space="preserve">Language preference is stored in the session and applied to every page render</w:t>
      </w:r>
    </w:p>
    <w:p>
      <w:pPr>
        <w:pStyle w:val="ListParagraph"/>
        <w:numPr>
          <w:ilvl w:val="0"/>
          <w:numId w:val="2"/>
        </w:numPr>
        <w:spacing w:after="100" w:before="0"/>
      </w:pPr>
      <w:r>
        <w:rPr>
          <w:rFonts w:ascii="Arial" w:cs="Arial" w:eastAsia="Arial" w:hAnsi="Arial"/>
          <w:sz w:val="22"/>
          <w:szCs w:val="22"/>
        </w:rPr>
        <w:t xml:space="preserve">Switching language does not require logout</w:t>
      </w:r>
    </w:p>
    <w:p>
      <w:pPr>
        <w:spacing w:after="120" w:before="0"/>
      </w:pPr>
      <w:r>
        <w:t xml:space="preserve"/>
      </w:r>
    </w:p>
    <w:p>
      <w:pPr>
        <w:pStyle w:val="Heading3"/>
        <w:spacing w:after="120" w:before="240"/>
      </w:pPr>
      <w:r>
        <w:rPr>
          <w:rFonts w:ascii="Arial" w:cs="Arial" w:eastAsia="Arial" w:hAnsi="Arial"/>
          <w:b/>
          <w:bCs/>
          <w:color w:val="0F6E56"/>
          <w:sz w:val="22"/>
          <w:szCs w:val="22"/>
        </w:rPr>
        <w:t xml:space="preserve">A.2.2  Translation file structure</w:t>
      </w:r>
    </w:p>
    <w:p>
      <w:pPr>
        <w:pBdr>
          <w:left w:val="single" w:color="D0D5DD" w:sz="8" w:space="6"/>
        </w:pBdr>
        <w:shd w:fill="F8F9FA" w:val="clear"/>
        <w:spacing w:after="160" w:before="0"/>
        <w:ind w:left="360"/>
      </w:pPr>
      <w:r>
        <w:rPr>
          <w:rFonts w:ascii="Courier New" w:cs="Courier New" w:eastAsia="Courier New" w:hAnsi="Courier New"/>
          <w:color w:val="374151"/>
          <w:sz w:val="18"/>
          <w:szCs w:val="18"/>
        </w:rPr>
        <w:t xml:space="preserve"># src/i18n/fr.json
{
  "queue": {
    "title": "File de révision",
    "status_needs_review": "En attente de révision",
    "status_on_hold": "En attente",
    "status_posted": "Publié",
    "status_ready": "Prêt à publier",
    "assign": "Assigner",
    "claim": "Prendre en charge",
    "reason": "Motif",
    "next_action": "Prochaine action"
  },
  "document": {
    "vendor": "Fournisseur",
    "amount": "Montant",
    "date": "Date",
    "gl_account": "Compte GL",
    "tax_code": "Code de taxe",
    "hold_reason": "Motif de retenue",
    "put_on_hold": "Mettre en attente",
    "return_to_ready": "Retourner à prêt"
  },
  "tax": {
    "gst": "TPS (5%)",
    "qst": "TVQ (9.975%)",
    "itc": "Crédit de taxe sur les intrants (CTI)",
    "itr": "Remboursement de taxe sur les intrants (RTI)",
    "exempt": "Exonéré",
    "zero_rated": "Détaxe"
  },
  "auth": {
    "login": "Connexion",
    "username": "Nom d’utilisateur",
    "password": "Mot de passe",
    "logout": "Déconnexion"
  }
}</w:t>
      </w:r>
    </w:p>
    <w:p>
      <w:pPr>
        <w:spacing w:after="120" w:before="0"/>
      </w:pPr>
      <w:r>
        <w:t xml:space="preserve"/>
      </w:r>
    </w:p>
    <w:p>
      <w:pPr>
        <w:pStyle w:val="Heading3"/>
        <w:spacing w:after="120" w:before="240"/>
      </w:pPr>
      <w:r>
        <w:rPr>
          <w:rFonts w:ascii="Arial" w:cs="Arial" w:eastAsia="Arial" w:hAnsi="Arial"/>
          <w:b/>
          <w:bCs/>
          <w:color w:val="0F6E56"/>
          <w:sz w:val="22"/>
          <w:szCs w:val="22"/>
        </w:rPr>
        <w:t xml:space="preserve">A.2.3  Language toggle in the dashboard header</w:t>
      </w:r>
    </w:p>
    <w:p>
      <w:pPr>
        <w:spacing w:after="160" w:before="0"/>
      </w:pPr>
      <w:r>
        <w:rPr>
          <w:rFonts w:ascii="Arial" w:cs="Arial" w:eastAsia="Arial" w:hAnsi="Arial"/>
          <w:color w:val="111827"/>
          <w:sz w:val="22"/>
          <w:szCs w:val="22"/>
        </w:rPr>
        <w:t xml:space="preserve">A small FR | EN toggle appears in the top-right of the dashboard header on every page. Clicking it switches the current user's language preference immediately and reloads the current page in the new language.</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A.3  Full Bilingual String Reference</w:t>
      </w:r>
    </w:p>
    <w:p>
      <w:pPr>
        <w:spacing w:after="160" w:before="0"/>
      </w:pPr>
      <w:r>
        <w:rPr>
          <w:rFonts w:ascii="Arial" w:cs="Arial" w:eastAsia="Arial" w:hAnsi="Arial"/>
          <w:color w:val="111827"/>
          <w:sz w:val="22"/>
          <w:szCs w:val="22"/>
        </w:rPr>
        <w:t xml:space="preserve">The following table documents all critical UI strings in both languages. This is the reference that Claude Code uses to build the translation files.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48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Français</w:t>
            </w:r>
          </w:p>
        </w:tc>
        <w:tc>
          <w:tcPr>
            <w:tcW w:type="dxa" w:w="348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English</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Status: needs review</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En attente de révision</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Needs Review</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Status: on hold</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En attente</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On Hold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Status: ready to post</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Prêt à publier</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Ready to Post</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Status: posted</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Publié</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Posted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Status: ignored</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Ignoré</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Ignored</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Action: assign</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Assigner</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Assign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Action: claim</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Prendre en charge</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Claim</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Action: approve</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Approuver</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Approve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Action: post to QBO</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Publier dans QuickBooks</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 to QuickBooks</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Action: put on hold</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Mettre en attente</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Put On Hold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Action: return to ready</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Retourner à prêt</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Return to Ready</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Field: vendor</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Fournisseur</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Vendor</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Field: amount</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Montant</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Amount</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Field: date</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Date du document</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Document Date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Field: gl_account</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Compte GL</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GL Account</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Field: tax_code</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Code de taxe</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Tax Code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Field: client_code</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Code client</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Client Code</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Field: category</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Catégorie</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Category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Tax: GST</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TPS — Taxe sur les produits et services (5%)</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GST — Goods and Services Tax (5%)</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Tax: QST</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TVQ — Taxe de vente du Québec (9.975%)</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QST — Quebec Sales Tax (9.975%)</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Tax: ITC/ITC</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CTI — Crédit de taxe sur les intrants</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ITC — Input Tax Credit</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Tax: ITR/RTI</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RTI — Remboursement de taxe sur les intrants</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ITR — Input Tax Refund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Tax: exempt</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Exonéré</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Exempt</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Tax: zero-rated</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Détaxé</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Zero-Rated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Msg: hold reason required</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Le motif de retenue est obligatoire</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Hold reason is required</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Msg: document updated</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Document mis à jour</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Document updated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Msg: posted to qbo</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Publié dans QuickBooks</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Posted to QuickBooks</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Msg: access denied</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Accès refusé</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Access denied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Msg: no documents</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Aucun document trouvé</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documents found</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Portfolio: title</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Gestion des portefeuilles</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Portfolio Management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Portfolio: unassigned</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Clients non assignés</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Unassigned Clients</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Portfolio: add client</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Ajouter un client</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Add Client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AI: possible duplicate</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Doublon possible</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Possible duplicate</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AI: unusual amount</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Montant inhabituel, révision requise</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Unusual amount, review needed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AI: waiting review</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En attente de révision comptable</w:t>
            </w:r>
          </w:p>
        </w:tc>
        <w:tc>
          <w:tcPr>
            <w:tcW w:type="dxa" w:w="34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Waiting accounting review</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AI: missing fields</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Champs obligatoires manquants</w:t>
            </w:r>
          </w:p>
        </w:tc>
        <w:tc>
          <w:tcPr>
            <w:tcW w:type="dxa" w:w="34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Missing required fields</w:t>
            </w:r>
          </w:p>
        </w:tc>
      </w:tr>
    </w:tbl>
    <w:p>
      <w:pPr>
        <w:spacing w:after="120" w:before="0"/>
      </w:pPr>
      <w:r>
        <w:t xml:space="preserve"/>
      </w:r>
    </w:p>
    <w:p>
      <w:pPr>
        <w:pStyle w:val="Heading2"/>
        <w:spacing w:after="160" w:before="320"/>
      </w:pPr>
      <w:r>
        <w:rPr>
          <w:rFonts w:ascii="Arial" w:cs="Arial" w:eastAsia="Arial" w:hAnsi="Arial"/>
          <w:b/>
          <w:bCs/>
          <w:color w:val="2E5FA3"/>
          <w:sz w:val="26"/>
          <w:szCs w:val="26"/>
        </w:rPr>
        <w:t xml:space="preserve">A.4  AI Output Language</w:t>
      </w:r>
    </w:p>
    <w:p>
      <w:pPr>
        <w:spacing w:after="160" w:before="0"/>
      </w:pPr>
      <w:r>
        <w:rPr>
          <w:rFonts w:ascii="Arial" w:cs="Arial" w:eastAsia="Arial" w:hAnsi="Arial"/>
          <w:color w:val="111827"/>
          <w:sz w:val="22"/>
          <w:szCs w:val="22"/>
        </w:rPr>
        <w:t xml:space="preserve">When OpenClaw generates explanations, summaries, or review reasons, the language of the output must match the user's preference. This is enforced in the AI router:</w:t>
      </w:r>
    </w:p>
    <w:p>
      <w:pPr>
        <w:pStyle w:val="ListParagraph"/>
        <w:numPr>
          <w:ilvl w:val="0"/>
          <w:numId w:val="2"/>
        </w:numPr>
        <w:spacing w:after="100" w:before="0"/>
      </w:pPr>
      <w:r>
        <w:rPr>
          <w:rFonts w:ascii="Arial" w:cs="Arial" w:eastAsia="Arial" w:hAnsi="Arial"/>
          <w:sz w:val="22"/>
          <w:szCs w:val="22"/>
        </w:rPr>
        <w:t xml:space="preserve">The prompt template includes a language instruction: 'Réponds en français.' or 'Respond in English.'</w:t>
      </w:r>
    </w:p>
    <w:p>
      <w:pPr>
        <w:pStyle w:val="ListParagraph"/>
        <w:numPr>
          <w:ilvl w:val="0"/>
          <w:numId w:val="2"/>
        </w:numPr>
        <w:spacing w:after="100" w:before="0"/>
      </w:pPr>
      <w:r>
        <w:rPr>
          <w:rFonts w:ascii="Arial" w:cs="Arial" w:eastAsia="Arial" w:hAnsi="Arial"/>
          <w:sz w:val="22"/>
          <w:szCs w:val="22"/>
        </w:rPr>
        <w:t xml:space="preserve">The language token is injected at the top of every prompt before sending to the AI provider</w:t>
      </w:r>
    </w:p>
    <w:p>
      <w:pPr>
        <w:pStyle w:val="ListParagraph"/>
        <w:numPr>
          <w:ilvl w:val="0"/>
          <w:numId w:val="2"/>
        </w:numPr>
        <w:spacing w:after="100" w:before="0"/>
      </w:pPr>
      <w:r>
        <w:rPr>
          <w:rFonts w:ascii="Arial" w:cs="Arial" w:eastAsia="Arial" w:hAnsi="Arial"/>
          <w:sz w:val="22"/>
          <w:szCs w:val="22"/>
        </w:rPr>
        <w:t xml:space="preserve">The deterministic engine outputs are translated using the translation file, not AI</w:t>
      </w:r>
    </w:p>
    <w:p>
      <w:pPr>
        <w:spacing w:after="120" w:before="0"/>
      </w:pPr>
      <w:r>
        <w:t xml:space="preserve"/>
      </w:r>
    </w:p>
    <w:p>
      <w:pPr>
        <w:pBdr>
          <w:left w:val="single" w:color="854F0B" w:sz="12" w:space="8"/>
        </w:pBdr>
        <w:spacing w:after="160" w:before="80"/>
        <w:ind w:left="360"/>
      </w:pPr>
      <w:r>
        <w:rPr>
          <w:rFonts w:ascii="Arial" w:cs="Arial" w:eastAsia="Arial" w:hAnsi="Arial"/>
          <w:b/>
          <w:bCs/>
          <w:color w:val="854F0B"/>
          <w:sz w:val="20"/>
          <w:szCs w:val="20"/>
        </w:rPr>
        <w:t xml:space="preserve">Important: </w:t>
      </w:r>
      <w:r>
        <w:rPr>
          <w:rFonts w:ascii="Arial" w:cs="Arial" w:eastAsia="Arial" w:hAnsi="Arial"/>
          <w:i/>
          <w:iCs/>
          <w:color w:val="374151"/>
          <w:sz w:val="20"/>
          <w:szCs w:val="20"/>
        </w:rPr>
        <w:t xml:space="preserve">Only AI-generated free-text (explanations, summaries) changes language. All calculated values, amounts, dates, and codes are language-neutral.</w:t>
      </w:r>
    </w:p>
    <w:p>
      <w:pPr>
        <w:spacing w:after="120" w:before="0"/>
      </w:pPr>
      <w:r>
        <w:t xml:space="preserve"/>
      </w:r>
    </w:p>
    <w:p>
      <w:r>
        <w:br w:type="page"/>
      </w:r>
    </w:p>
    <w:p>
      <w:pPr>
        <w:pStyle w:val="Heading1"/>
        <w:pBdr>
          <w:bottom w:val="single" w:color="2E5FA3" w:sz="6" w:space="4"/>
        </w:pBdr>
        <w:spacing w:after="200" w:before="400"/>
      </w:pPr>
      <w:r>
        <w:rPr>
          <w:rFonts w:ascii="Arial" w:cs="Arial" w:eastAsia="Arial" w:hAnsi="Arial"/>
          <w:b/>
          <w:bCs/>
          <w:color w:val="1F3864"/>
          <w:sz w:val="32"/>
          <w:szCs w:val="32"/>
        </w:rPr>
        <w:t xml:space="preserve">B. Canadian Tax Law Engine</w:t>
      </w:r>
    </w:p>
    <w:p>
      <w:pPr>
        <w:pStyle w:val="Heading2"/>
        <w:spacing w:after="160" w:before="320"/>
      </w:pPr>
      <w:r>
        <w:rPr>
          <w:rFonts w:ascii="Arial" w:cs="Arial" w:eastAsia="Arial" w:hAnsi="Arial"/>
          <w:b/>
          <w:bCs/>
          <w:color w:val="2E5FA3"/>
          <w:sz w:val="26"/>
          <w:szCs w:val="26"/>
        </w:rPr>
        <w:t xml:space="preserve">B.1  The Quebec Tax Context</w:t>
      </w:r>
    </w:p>
    <w:p>
      <w:pPr>
        <w:spacing w:after="160" w:before="0"/>
      </w:pPr>
      <w:r>
        <w:rPr>
          <w:rFonts w:ascii="Arial" w:cs="Arial" w:eastAsia="Arial" w:hAnsi="Arial"/>
          <w:color w:val="111827"/>
          <w:sz w:val="22"/>
          <w:szCs w:val="22"/>
        </w:rPr>
        <w:t xml:space="preserve">Quebec is the only Canadian province with its own tax administration (Revenu Québec) that collects both federal and provincial taxes. This creates a dual compliance obligation that is significantly more complex than other provinces: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8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Quebec</w:t>
            </w:r>
          </w:p>
        </w:tc>
        <w:tc>
          <w:tcPr>
            <w:tcW w:type="dxa" w:w="318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Other provinces (HST)</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Federal tax</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GST / TPS: 5%</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GST/HST: 5-15% combined</w:t>
            </w:r>
          </w:p>
        </w:tc>
      </w:tr>
      <w:tr>
        <w:tc>
          <w:tcPr>
            <w:tcW w:type="dxa" w:w="3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Provincial tax</w:t>
            </w:r>
          </w:p>
        </w:tc>
        <w:tc>
          <w:tcPr>
            <w:tcW w:type="dxa" w:w="31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QST / TVQ: 9.975%</w:t>
            </w:r>
          </w:p>
        </w:tc>
        <w:tc>
          <w:tcPr>
            <w:tcW w:type="dxa" w:w="31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Included in HST</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Combined rate</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14.975%</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5-15% depending on province</w:t>
            </w:r>
          </w:p>
        </w:tc>
      </w:tr>
      <w:tr>
        <w:tc>
          <w:tcPr>
            <w:tcW w:type="dxa" w:w="3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Tax authority</w:t>
            </w:r>
          </w:p>
        </w:tc>
        <w:tc>
          <w:tcPr>
            <w:tcW w:type="dxa" w:w="31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Revenu Québec (both taxes)</w:t>
            </w:r>
          </w:p>
        </w:tc>
        <w:tc>
          <w:tcPr>
            <w:tcW w:type="dxa" w:w="31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CRA (federal) + province</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Returns</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Separate GST + QST returns</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Single HST return</w:t>
            </w:r>
          </w:p>
        </w:tc>
      </w:tr>
      <w:tr>
        <w:tc>
          <w:tcPr>
            <w:tcW w:type="dxa" w:w="3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Credits</w:t>
            </w:r>
          </w:p>
        </w:tc>
        <w:tc>
          <w:tcPr>
            <w:tcW w:type="dxa" w:w="31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ITC (GST) + ITR/RTI (QST) separately</w:t>
            </w:r>
          </w:p>
        </w:tc>
        <w:tc>
          <w:tcPr>
            <w:tcW w:type="dxa" w:w="31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Single ITC claim</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Registration threshold</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$30,000 taxable supplies / 4 quarters</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Same federally</w:t>
            </w:r>
          </w:p>
        </w:tc>
      </w:tr>
    </w:tbl>
    <w:p>
      <w:pPr>
        <w:spacing w:after="120" w:before="0"/>
      </w:pPr>
      <w:r>
        <w:t xml:space="preserve"/>
      </w:r>
    </w:p>
    <w:p>
      <w:pPr>
        <w:pStyle w:val="Heading2"/>
        <w:spacing w:after="160" w:before="320"/>
      </w:pPr>
      <w:r>
        <w:rPr>
          <w:rFonts w:ascii="Arial" w:cs="Arial" w:eastAsia="Arial" w:hAnsi="Arial"/>
          <w:b/>
          <w:bCs/>
          <w:color w:val="2E5FA3"/>
          <w:sz w:val="26"/>
          <w:szCs w:val="26"/>
        </w:rPr>
        <w:t xml:space="preserve">B.2  GST/QST Validation Engine</w:t>
      </w:r>
    </w:p>
    <w:p>
      <w:pPr>
        <w:spacing w:after="160" w:before="0"/>
      </w:pPr>
      <w:r>
        <w:rPr>
          <w:rFonts w:ascii="Arial" w:cs="Arial" w:eastAsia="Arial" w:hAnsi="Arial"/>
          <w:color w:val="111827"/>
          <w:sz w:val="22"/>
          <w:szCs w:val="22"/>
        </w:rPr>
        <w:t xml:space="preserve">The deterministic engine (Layer 1) handles all tax calculations. OpenClaw never calculates tax — it only reads the engine's output and explains it in plain language.</w:t>
      </w:r>
    </w:p>
    <w:p>
      <w:pPr>
        <w:spacing w:after="120" w:before="0"/>
      </w:pPr>
      <w:r>
        <w:t xml:space="preserve"/>
      </w:r>
    </w:p>
    <w:p>
      <w:pPr>
        <w:pStyle w:val="Heading3"/>
        <w:spacing w:after="120" w:before="240"/>
      </w:pPr>
      <w:r>
        <w:rPr>
          <w:rFonts w:ascii="Arial" w:cs="Arial" w:eastAsia="Arial" w:hAnsi="Arial"/>
          <w:b/>
          <w:bCs/>
          <w:color w:val="0F6E56"/>
          <w:sz w:val="22"/>
          <w:szCs w:val="22"/>
        </w:rPr>
        <w:t xml:space="preserve">B.2.1  Core calculation rules (hardcoded, auditable)</w:t>
      </w:r>
    </w:p>
    <w:p>
      <w:pPr>
        <w:pStyle w:val="ListParagraph"/>
        <w:numPr>
          <w:ilvl w:val="0"/>
          <w:numId w:val="2"/>
        </w:numPr>
        <w:spacing w:after="100" w:before="0"/>
      </w:pPr>
      <w:r>
        <w:rPr>
          <w:rFonts w:ascii="Arial" w:cs="Arial" w:eastAsia="Arial" w:hAnsi="Arial"/>
          <w:sz w:val="22"/>
          <w:szCs w:val="22"/>
        </w:rPr>
        <w:t xml:space="preserve">GST = 5% applied to the selling price before QST</w:t>
      </w:r>
    </w:p>
    <w:p>
      <w:pPr>
        <w:pStyle w:val="ListParagraph"/>
        <w:numPr>
          <w:ilvl w:val="0"/>
          <w:numId w:val="2"/>
        </w:numPr>
        <w:spacing w:after="100" w:before="0"/>
      </w:pPr>
      <w:r>
        <w:rPr>
          <w:rFonts w:ascii="Arial" w:cs="Arial" w:eastAsia="Arial" w:hAnsi="Arial"/>
          <w:sz w:val="22"/>
          <w:szCs w:val="22"/>
        </w:rPr>
        <w:t xml:space="preserve">QST = 9.975% applied to the selling price before GST (not on the GST-inclusive amount)</w:t>
      </w:r>
    </w:p>
    <w:p>
      <w:pPr>
        <w:pStyle w:val="ListParagraph"/>
        <w:numPr>
          <w:ilvl w:val="0"/>
          <w:numId w:val="2"/>
        </w:numPr>
        <w:spacing w:after="100" w:before="0"/>
      </w:pPr>
      <w:r>
        <w:rPr>
          <w:rFonts w:ascii="Arial" w:cs="Arial" w:eastAsia="Arial" w:hAnsi="Arial"/>
          <w:sz w:val="22"/>
          <w:szCs w:val="22"/>
        </w:rPr>
        <w:t xml:space="preserve">For a $100 sale: GST = $5.00, QST = $9.975, Total = $114.975</w:t>
      </w:r>
    </w:p>
    <w:p>
      <w:pPr>
        <w:pStyle w:val="ListParagraph"/>
        <w:numPr>
          <w:ilvl w:val="0"/>
          <w:numId w:val="2"/>
        </w:numPr>
        <w:spacing w:after="100" w:before="0"/>
      </w:pPr>
      <w:r>
        <w:rPr>
          <w:rFonts w:ascii="Arial" w:cs="Arial" w:eastAsia="Arial" w:hAnsi="Arial"/>
          <w:sz w:val="22"/>
          <w:szCs w:val="22"/>
        </w:rPr>
        <w:t xml:space="preserve">Both are calculated in parallel, never one on top of the other</w:t>
      </w:r>
    </w:p>
    <w:p>
      <w:pPr>
        <w:spacing w:after="120" w:before="0"/>
      </w:pPr>
      <w:r>
        <w:t xml:space="preserve"/>
      </w:r>
    </w:p>
    <w:p>
      <w:pPr>
        <w:pBdr>
          <w:left w:val="single" w:color="D0D5DD" w:sz="8" w:space="6"/>
        </w:pBdr>
        <w:shd w:fill="F8F9FA" w:val="clear"/>
        <w:spacing w:after="160" w:before="0"/>
        <w:ind w:left="360"/>
      </w:pPr>
      <w:r>
        <w:rPr>
          <w:rFonts w:ascii="Courier New" w:cs="Courier New" w:eastAsia="Courier New" w:hAnsi="Courier New"/>
          <w:color w:val="374151"/>
          <w:sz w:val="18"/>
          <w:szCs w:val="18"/>
        </w:rPr>
        <w:t xml:space="preserve"># src/engines/tax_engine.py
# DETERMINISTIC - never call AI for these calculations
GST_RATE = Decimal('0.05')      # 5% - federal
QST_RATE = Decimal('0.09975')   # 9.975% - Quebec provincial
def calculate_gst_qst(amount_before_tax: Decimal) -&gt; dict:
    gst = (amount_before_tax * GST_RATE).quantize(Decimal('0.01'))
    qst = (amount_before_tax * QST_RATE).quantize(Decimal('0.01'))
    total = amount_before_tax + gst + qst
    return {
        'amount_before_tax': amount_before_tax,
        'gst': gst,
        'qst': qst,
        'total': total,
        'combined_rate': '14.975%'
    }
def extract_tax_from_total(total_with_tax: Decimal) -&gt; dict:
    """Reverse calculation when only the total is known."""
    amount_before = (total_with_tax / Decimal('1.14975')).quantize(Decimal('0.01'))
    return calculate_gst_qst(amount_before)</w:t>
      </w:r>
    </w:p>
    <w:p>
      <w:pPr>
        <w:spacing w:after="120" w:before="0"/>
      </w:pPr>
      <w:r>
        <w:t xml:space="preserve"/>
      </w:r>
    </w:p>
    <w:p>
      <w:pPr>
        <w:pStyle w:val="Heading3"/>
        <w:spacing w:after="120" w:before="240"/>
      </w:pPr>
      <w:r>
        <w:rPr>
          <w:rFonts w:ascii="Arial" w:cs="Arial" w:eastAsia="Arial" w:hAnsi="Arial"/>
          <w:b/>
          <w:bCs/>
          <w:color w:val="0F6E56"/>
          <w:sz w:val="22"/>
          <w:szCs w:val="22"/>
        </w:rPr>
        <w:t xml:space="preserve">B.2.2  Tax code validation on every document</w:t>
      </w:r>
    </w:p>
    <w:p>
      <w:pPr>
        <w:spacing w:after="160" w:before="0"/>
      </w:pPr>
      <w:r>
        <w:rPr>
          <w:rFonts w:ascii="Arial" w:cs="Arial" w:eastAsia="Arial" w:hAnsi="Arial"/>
          <w:color w:val="111827"/>
          <w:sz w:val="22"/>
          <w:szCs w:val="22"/>
        </w:rPr>
        <w:t xml:space="preserve">Every document in the review queue is validated against the following tax code rules before it can be approved for posting: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Tax code</w:t>
            </w:r>
          </w:p>
        </w:tc>
        <w:tc>
          <w:tcPr>
            <w:tcW w:type="dxa" w:w="22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GST</w:t>
            </w:r>
          </w:p>
        </w:tc>
        <w:tc>
          <w:tcPr>
            <w:tcW w:type="dxa" w:w="26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QST</w:t>
            </w:r>
          </w:p>
        </w:tc>
        <w:tc>
          <w:tcPr>
            <w:tcW w:type="dxa" w:w="256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Common examples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 (Taxable)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9.975%</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Office supplies, software, consulting</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Z (Zero-rated)</w:t>
            </w:r>
          </w:p>
        </w:tc>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Basic groceries, exports, medical devices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 (Exempt)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Health services, daycare, insurance*</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M (Mixed)</w:t>
            </w:r>
          </w:p>
        </w:tc>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Partial</w:t>
            </w:r>
          </w:p>
        </w:tc>
        <w:tc>
          <w:tcPr>
            <w:tcW w:type="dxa" w:w="2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Partial</w:t>
            </w:r>
          </w:p>
        </w:tc>
        <w:tc>
          <w:tcPr>
            <w:tcW w:type="dxa" w:w="25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Meals (50% deductible), entertainment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 (Insurance)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 special</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 insurance, property insurance</w:t>
            </w:r>
          </w:p>
        </w:tc>
      </w:tr>
    </w:tbl>
    <w:p>
      <w:pPr>
        <w:spacing w:after="120" w:before="0"/>
      </w:pPr>
      <w:r>
        <w:t xml:space="preserve"/>
      </w:r>
    </w:p>
    <w:p>
      <w:pPr>
        <w:pBdr>
          <w:left w:val="single" w:color="854F0B" w:sz="12" w:space="8"/>
        </w:pBdr>
        <w:spacing w:after="160" w:before="80"/>
        <w:ind w:left="360"/>
      </w:pPr>
      <w:r>
        <w:rPr>
          <w:rFonts w:ascii="Arial" w:cs="Arial" w:eastAsia="Arial" w:hAnsi="Arial"/>
          <w:b/>
          <w:bCs/>
          <w:color w:val="854F0B"/>
          <w:sz w:val="20"/>
          <w:szCs w:val="20"/>
        </w:rPr>
        <w:t xml:space="preserve">Note: </w:t>
      </w:r>
      <w:r>
        <w:rPr>
          <w:rFonts w:ascii="Arial" w:cs="Arial" w:eastAsia="Arial" w:hAnsi="Arial"/>
          <w:i/>
          <w:iCs/>
          <w:color w:val="374151"/>
          <w:sz w:val="20"/>
          <w:szCs w:val="20"/>
        </w:rPr>
        <w:t xml:space="preserve">Insurance premiums in Quebec are subject to a special 9% provincial tax, not the standard QST. The engine flags any insurance-category expense and prompts the accountant to verify the correct tax treatment.</w:t>
      </w:r>
    </w:p>
    <w:p>
      <w:pPr>
        <w:spacing w:after="120" w:before="0"/>
      </w:pPr>
      <w:r>
        <w:t xml:space="preserve"/>
      </w:r>
    </w:p>
    <w:p>
      <w:pPr>
        <w:pStyle w:val="Heading3"/>
        <w:spacing w:after="120" w:before="240"/>
      </w:pPr>
      <w:r>
        <w:rPr>
          <w:rFonts w:ascii="Arial" w:cs="Arial" w:eastAsia="Arial" w:hAnsi="Arial"/>
          <w:b/>
          <w:bCs/>
          <w:color w:val="0F6E56"/>
          <w:sz w:val="22"/>
          <w:szCs w:val="22"/>
        </w:rPr>
        <w:t xml:space="preserve">B.2.3  Input Tax Credit / Input Tax Refund tracking</w:t>
      </w:r>
    </w:p>
    <w:p>
      <w:pPr>
        <w:spacing w:after="160" w:before="0"/>
      </w:pPr>
      <w:r>
        <w:rPr>
          <w:rFonts w:ascii="Arial" w:cs="Arial" w:eastAsia="Arial" w:hAnsi="Arial"/>
          <w:color w:val="111827"/>
          <w:sz w:val="22"/>
          <w:szCs w:val="22"/>
        </w:rPr>
        <w:t xml:space="preserve">For each approved expense, the engine calculates and tracks:</w:t>
      </w:r>
    </w:p>
    <w:p>
      <w:pPr>
        <w:pStyle w:val="ListParagraph"/>
        <w:numPr>
          <w:ilvl w:val="0"/>
          <w:numId w:val="2"/>
        </w:numPr>
        <w:spacing w:after="100" w:before="0"/>
      </w:pPr>
      <w:r>
        <w:rPr>
          <w:rFonts w:ascii="Arial" w:cs="Arial" w:eastAsia="Arial" w:hAnsi="Arial"/>
          <w:sz w:val="22"/>
          <w:szCs w:val="22"/>
        </w:rPr>
        <w:t xml:space="preserve">ITC (Input Tax Credit) — the GST portion recoverable on the next GST return</w:t>
      </w:r>
    </w:p>
    <w:p>
      <w:pPr>
        <w:pStyle w:val="ListParagraph"/>
        <w:numPr>
          <w:ilvl w:val="0"/>
          <w:numId w:val="2"/>
        </w:numPr>
        <w:spacing w:after="100" w:before="0"/>
      </w:pPr>
      <w:r>
        <w:rPr>
          <w:rFonts w:ascii="Arial" w:cs="Arial" w:eastAsia="Arial" w:hAnsi="Arial"/>
          <w:sz w:val="22"/>
          <w:szCs w:val="22"/>
        </w:rPr>
        <w:t xml:space="preserve">ITR/RTI (Input Tax Refund) — the QST portion recoverable on the next QST return</w:t>
      </w:r>
    </w:p>
    <w:p>
      <w:pPr>
        <w:pStyle w:val="ListParagraph"/>
        <w:numPr>
          <w:ilvl w:val="0"/>
          <w:numId w:val="2"/>
        </w:numPr>
        <w:spacing w:after="100" w:before="0"/>
      </w:pPr>
      <w:r>
        <w:rPr>
          <w:rFonts w:ascii="Arial" w:cs="Arial" w:eastAsia="Arial" w:hAnsi="Arial"/>
          <w:sz w:val="22"/>
          <w:szCs w:val="22"/>
        </w:rPr>
        <w:t xml:space="preserve">Non-recoverable amounts — for exempt purchases, meals (50% limit), and personal-use items</w:t>
      </w:r>
    </w:p>
    <w:p>
      <w:pPr>
        <w:pStyle w:val="ListParagraph"/>
        <w:numPr>
          <w:ilvl w:val="0"/>
          <w:numId w:val="2"/>
        </w:numPr>
        <w:spacing w:after="100" w:before="0"/>
      </w:pPr>
      <w:r>
        <w:rPr>
          <w:rFonts w:ascii="Arial" w:cs="Arial" w:eastAsia="Arial" w:hAnsi="Arial"/>
          <w:sz w:val="22"/>
          <w:szCs w:val="22"/>
        </w:rPr>
        <w:t xml:space="preserve">Running totals per client per reporting period — ready to populate Revenu Québec forms</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B.3  Anomaly Detection Rules (Quebec-Specific)</w:t>
      </w:r>
    </w:p>
    <w:p>
      <w:pPr>
        <w:spacing w:after="160" w:before="0"/>
      </w:pPr>
      <w:r>
        <w:rPr>
          <w:rFonts w:ascii="Arial" w:cs="Arial" w:eastAsia="Arial" w:hAnsi="Arial"/>
          <w:color w:val="111827"/>
          <w:sz w:val="22"/>
          <w:szCs w:val="22"/>
        </w:rPr>
        <w:t xml:space="preserve">The anomaly engine contains rules that are specific to Quebec accounting practice. These run deterministically on every document before any AI review.</w:t>
      </w:r>
    </w:p>
    <w:p>
      <w:pPr>
        <w:spacing w:after="120" w:before="0"/>
      </w:pPr>
      <w:r>
        <w:t xml:space="preserve"/>
      </w:r>
    </w:p>
    <w:p>
      <w:pPr>
        <w:pStyle w:val="Heading3"/>
        <w:spacing w:after="120" w:before="240"/>
      </w:pPr>
      <w:r>
        <w:rPr>
          <w:rFonts w:ascii="Arial" w:cs="Arial" w:eastAsia="Arial" w:hAnsi="Arial"/>
          <w:b/>
          <w:bCs/>
          <w:color w:val="0F6E56"/>
          <w:sz w:val="22"/>
          <w:szCs w:val="22"/>
        </w:rPr>
        <w:t xml:space="preserve">B.3.1  Tax anomaly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Anomaly</w:t>
            </w:r>
          </w:p>
        </w:tc>
        <w:tc>
          <w:tcPr>
            <w:tcW w:type="dxa" w:w="516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Detection rule</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Missing QST on taxable purchase</w:t>
            </w:r>
          </w:p>
        </w:tc>
        <w:tc>
          <w:tcPr>
            <w:tcW w:type="dxa" w:w="5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Taxable vendor + amount &gt; $0 + no QST recorded</w:t>
            </w:r>
          </w:p>
        </w:tc>
      </w:tr>
      <w:tr>
        <w:tc>
          <w:tcPr>
            <w:tcW w:type="dxa" w:w="4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QST calculated on GST-inclusive amount</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QST amount &gt; (amount_before_tax × 0.09975 + $0.02)</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Wrong tax code for vendor category</w:t>
            </w:r>
          </w:p>
        </w:tc>
        <w:tc>
          <w:tcPr>
            <w:tcW w:type="dxa" w:w="5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GL account = meals + tax_code = T (should be M)</w:t>
            </w:r>
          </w:p>
        </w:tc>
      </w:tr>
      <w:tr>
        <w:tc>
          <w:tcPr>
            <w:tcW w:type="dxa" w:w="4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Insurance with standard QST</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GL = insurance + tax_code = T (should be I for 9%)</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ITC claimed on exempt purchase</w:t>
            </w:r>
          </w:p>
        </w:tc>
        <w:tc>
          <w:tcPr>
            <w:tcW w:type="dxa" w:w="5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Exempt tax code + ITC amount &gt; $0</w:t>
            </w:r>
          </w:p>
        </w:tc>
      </w:tr>
      <w:tr>
        <w:tc>
          <w:tcPr>
            <w:tcW w:type="dxa" w:w="4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Missing registration number</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Amount &gt; $30 + no GST/QST number on vendor</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Cross-provincial tax mismatch</w:t>
            </w:r>
          </w:p>
        </w:tc>
        <w:tc>
          <w:tcPr>
            <w:tcW w:type="dxa" w:w="5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Ontario vendor + QST charged (should be HST)</w:t>
            </w:r>
          </w:p>
        </w:tc>
      </w:tr>
    </w:tbl>
    <w:p>
      <w:pPr>
        <w:spacing w:after="120" w:before="0"/>
      </w:pPr>
      <w:r>
        <w:t xml:space="preserve"/>
      </w:r>
    </w:p>
    <w:p>
      <w:pPr>
        <w:pStyle w:val="Heading3"/>
        <w:spacing w:after="120" w:before="240"/>
      </w:pPr>
      <w:r>
        <w:rPr>
          <w:rFonts w:ascii="Arial" w:cs="Arial" w:eastAsia="Arial" w:hAnsi="Arial"/>
          <w:b/>
          <w:bCs/>
          <w:color w:val="0F6E56"/>
          <w:sz w:val="22"/>
          <w:szCs w:val="22"/>
        </w:rPr>
        <w:t xml:space="preserve">B.3.2  Quebec corporate tax flags</w:t>
      </w:r>
    </w:p>
    <w:p>
      <w:pPr>
        <w:pStyle w:val="ListParagraph"/>
        <w:numPr>
          <w:ilvl w:val="0"/>
          <w:numId w:val="2"/>
        </w:numPr>
        <w:spacing w:after="100" w:before="0"/>
      </w:pPr>
      <w:r>
        <w:rPr>
          <w:rFonts w:ascii="Arial" w:cs="Arial" w:eastAsia="Arial" w:hAnsi="Arial"/>
          <w:sz w:val="22"/>
          <w:szCs w:val="22"/>
        </w:rPr>
        <w:t xml:space="preserve">CO-17 vs T2: Flag any expense that may have different treatment under the Quebec CO-17 corporate return vs the federal T2</w:t>
      </w:r>
    </w:p>
    <w:p>
      <w:pPr>
        <w:pStyle w:val="ListParagraph"/>
        <w:numPr>
          <w:ilvl w:val="0"/>
          <w:numId w:val="2"/>
        </w:numPr>
        <w:spacing w:after="100" w:before="0"/>
      </w:pPr>
      <w:r>
        <w:rPr>
          <w:rFonts w:ascii="Arial" w:cs="Arial" w:eastAsia="Arial" w:hAnsi="Arial"/>
          <w:sz w:val="22"/>
          <w:szCs w:val="22"/>
        </w:rPr>
        <w:t xml:space="preserve">HSF (Health Services Fund): Flag payroll-related expenses for employer HSF contribution review (rate varies 1.25% to 4.26% based on payroll)</w:t>
      </w:r>
    </w:p>
    <w:p>
      <w:pPr>
        <w:pStyle w:val="ListParagraph"/>
        <w:numPr>
          <w:ilvl w:val="0"/>
          <w:numId w:val="2"/>
        </w:numPr>
        <w:spacing w:after="100" w:before="0"/>
      </w:pPr>
      <w:r>
        <w:rPr>
          <w:rFonts w:ascii="Arial" w:cs="Arial" w:eastAsia="Arial" w:hAnsi="Arial"/>
          <w:sz w:val="22"/>
          <w:szCs w:val="22"/>
        </w:rPr>
        <w:t xml:space="preserve">QPP vs CPP: Flag payroll expenses to ensure Quebec Pension Plan (QPP) is used instead of CPP for Quebec employees</w:t>
      </w:r>
    </w:p>
    <w:p>
      <w:pPr>
        <w:pStyle w:val="ListParagraph"/>
        <w:numPr>
          <w:ilvl w:val="0"/>
          <w:numId w:val="2"/>
        </w:numPr>
        <w:spacing w:after="100" w:before="0"/>
      </w:pPr>
      <w:r>
        <w:rPr>
          <w:rFonts w:ascii="Arial" w:cs="Arial" w:eastAsia="Arial" w:hAnsi="Arial"/>
          <w:sz w:val="22"/>
          <w:szCs w:val="22"/>
        </w:rPr>
        <w:t xml:space="preserve">QPIP: Flag parental insurance premiums — Quebec has its own QPIP separate from federal EI</w:t>
      </w:r>
    </w:p>
    <w:p>
      <w:pPr>
        <w:spacing w:after="120" w:before="0"/>
      </w:pPr>
      <w:r>
        <w:t xml:space="preserve"/>
      </w:r>
    </w:p>
    <w:p>
      <w:pPr>
        <w:pStyle w:val="Heading3"/>
        <w:spacing w:after="120" w:before="240"/>
      </w:pPr>
      <w:r>
        <w:rPr>
          <w:rFonts w:ascii="Arial" w:cs="Arial" w:eastAsia="Arial" w:hAnsi="Arial"/>
          <w:b/>
          <w:bCs/>
          <w:color w:val="0F6E56"/>
          <w:sz w:val="22"/>
          <w:szCs w:val="22"/>
        </w:rPr>
        <w:t xml:space="preserve">B.3.3  Filing readiness checklist</w:t>
      </w:r>
    </w:p>
    <w:p>
      <w:pPr>
        <w:spacing w:after="160" w:before="0"/>
      </w:pPr>
      <w:r>
        <w:rPr>
          <w:rFonts w:ascii="Arial" w:cs="Arial" w:eastAsia="Arial" w:hAnsi="Arial"/>
          <w:color w:val="111827"/>
          <w:sz w:val="22"/>
          <w:szCs w:val="22"/>
        </w:rPr>
        <w:t xml:space="preserve">Before the end of each reporting period, the system generates a filing readiness checklist visible to the owner/manager:</w:t>
      </w:r>
    </w:p>
    <w:p>
      <w:pPr>
        <w:pStyle w:val="ListParagraph"/>
        <w:numPr>
          <w:ilvl w:val="0"/>
          <w:numId w:val="2"/>
        </w:numPr>
        <w:spacing w:after="100" w:before="0"/>
      </w:pPr>
      <w:r>
        <w:rPr>
          <w:rFonts w:ascii="Arial" w:cs="Arial" w:eastAsia="Arial" w:hAnsi="Arial"/>
          <w:sz w:val="22"/>
          <w:szCs w:val="22"/>
        </w:rPr>
        <w:t xml:space="preserve">Total GST collected / to be remitted</w:t>
      </w:r>
    </w:p>
    <w:p>
      <w:pPr>
        <w:pStyle w:val="ListParagraph"/>
        <w:numPr>
          <w:ilvl w:val="0"/>
          <w:numId w:val="2"/>
        </w:numPr>
        <w:spacing w:after="100" w:before="0"/>
      </w:pPr>
      <w:r>
        <w:rPr>
          <w:rFonts w:ascii="Arial" w:cs="Arial" w:eastAsia="Arial" w:hAnsi="Arial"/>
          <w:sz w:val="22"/>
          <w:szCs w:val="22"/>
        </w:rPr>
        <w:t xml:space="preserve">Total QST collected / to be remitted</w:t>
      </w:r>
    </w:p>
    <w:p>
      <w:pPr>
        <w:pStyle w:val="ListParagraph"/>
        <w:numPr>
          <w:ilvl w:val="0"/>
          <w:numId w:val="2"/>
        </w:numPr>
        <w:spacing w:after="100" w:before="0"/>
      </w:pPr>
      <w:r>
        <w:rPr>
          <w:rFonts w:ascii="Arial" w:cs="Arial" w:eastAsia="Arial" w:hAnsi="Arial"/>
          <w:sz w:val="22"/>
          <w:szCs w:val="22"/>
        </w:rPr>
        <w:t xml:space="preserve">Total ITC available (GST recoverable)</w:t>
      </w:r>
    </w:p>
    <w:p>
      <w:pPr>
        <w:pStyle w:val="ListParagraph"/>
        <w:numPr>
          <w:ilvl w:val="0"/>
          <w:numId w:val="2"/>
        </w:numPr>
        <w:spacing w:after="100" w:before="0"/>
      </w:pPr>
      <w:r>
        <w:rPr>
          <w:rFonts w:ascii="Arial" w:cs="Arial" w:eastAsia="Arial" w:hAnsi="Arial"/>
          <w:sz w:val="22"/>
          <w:szCs w:val="22"/>
        </w:rPr>
        <w:t xml:space="preserve">Total ITR/RTI available (QST recoverable)</w:t>
      </w:r>
    </w:p>
    <w:p>
      <w:pPr>
        <w:pStyle w:val="ListParagraph"/>
        <w:numPr>
          <w:ilvl w:val="0"/>
          <w:numId w:val="2"/>
        </w:numPr>
        <w:spacing w:after="100" w:before="0"/>
      </w:pPr>
      <w:r>
        <w:rPr>
          <w:rFonts w:ascii="Arial" w:cs="Arial" w:eastAsia="Arial" w:hAnsi="Arial"/>
          <w:sz w:val="22"/>
          <w:szCs w:val="22"/>
        </w:rPr>
        <w:t xml:space="preserve">Net GST payable or refundable</w:t>
      </w:r>
    </w:p>
    <w:p>
      <w:pPr>
        <w:pStyle w:val="ListParagraph"/>
        <w:numPr>
          <w:ilvl w:val="0"/>
          <w:numId w:val="2"/>
        </w:numPr>
        <w:spacing w:after="100" w:before="0"/>
      </w:pPr>
      <w:r>
        <w:rPr>
          <w:rFonts w:ascii="Arial" w:cs="Arial" w:eastAsia="Arial" w:hAnsi="Arial"/>
          <w:sz w:val="22"/>
          <w:szCs w:val="22"/>
        </w:rPr>
        <w:t xml:space="preserve">Net QST payable or refundable</w:t>
      </w:r>
    </w:p>
    <w:p>
      <w:pPr>
        <w:pStyle w:val="ListParagraph"/>
        <w:numPr>
          <w:ilvl w:val="0"/>
          <w:numId w:val="2"/>
        </w:numPr>
        <w:spacing w:after="100" w:before="0"/>
      </w:pPr>
      <w:r>
        <w:rPr>
          <w:rFonts w:ascii="Arial" w:cs="Arial" w:eastAsia="Arial" w:hAnsi="Arial"/>
          <w:sz w:val="22"/>
          <w:szCs w:val="22"/>
        </w:rPr>
        <w:t xml:space="preserve">Number of documents still pending review (blocks filing)</w:t>
      </w:r>
    </w:p>
    <w:p>
      <w:pPr>
        <w:pStyle w:val="ListParagraph"/>
        <w:numPr>
          <w:ilvl w:val="0"/>
          <w:numId w:val="2"/>
        </w:numPr>
        <w:spacing w:after="100" w:before="0"/>
      </w:pPr>
      <w:r>
        <w:rPr>
          <w:rFonts w:ascii="Arial" w:cs="Arial" w:eastAsia="Arial" w:hAnsi="Arial"/>
          <w:sz w:val="22"/>
          <w:szCs w:val="22"/>
        </w:rPr>
        <w:t xml:space="preserve">Estimated filing deadline based on client's reporting frequency (monthly / quarterly / annual)</w:t>
      </w:r>
    </w:p>
    <w:p>
      <w:pPr>
        <w:spacing w:after="120" w:before="0"/>
      </w:pPr>
      <w:r>
        <w:t xml:space="preserve"/>
      </w:r>
    </w:p>
    <w:p>
      <w:pPr>
        <w:pBdr>
          <w:left w:val="single" w:color="854F0B" w:sz="12" w:space="8"/>
        </w:pBdr>
        <w:spacing w:after="160" w:before="80"/>
        <w:ind w:left="360"/>
      </w:pPr>
      <w:r>
        <w:rPr>
          <w:rFonts w:ascii="Arial" w:cs="Arial" w:eastAsia="Arial" w:hAnsi="Arial"/>
          <w:b/>
          <w:bCs/>
          <w:color w:val="854F0B"/>
          <w:sz w:val="20"/>
          <w:szCs w:val="20"/>
        </w:rPr>
        <w:t xml:space="preserve">Sellability: </w:t>
      </w:r>
      <w:r>
        <w:rPr>
          <w:rFonts w:ascii="Arial" w:cs="Arial" w:eastAsia="Arial" w:hAnsi="Arial"/>
          <w:i/>
          <w:iCs/>
          <w:color w:val="374151"/>
          <w:sz w:val="20"/>
          <w:szCs w:val="20"/>
        </w:rPr>
        <w:t xml:space="preserve">This checklist alone is worth the price of the software for small CPA firms. It replaces a manual process that typically takes 2-3 hours per client per period.</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B.4  Quick Method of Accounting Support</w:t>
      </w:r>
    </w:p>
    <w:p>
      <w:pPr>
        <w:spacing w:after="160" w:before="0"/>
      </w:pPr>
      <w:r>
        <w:rPr>
          <w:rFonts w:ascii="Arial" w:cs="Arial" w:eastAsia="Arial" w:hAnsi="Arial"/>
          <w:color w:val="111827"/>
          <w:sz w:val="22"/>
          <w:szCs w:val="22"/>
        </w:rPr>
        <w:t xml:space="preserve">Many small businesses in Quebec use the Quick Method (Méthode rapide) to simplify GST/QST remittances. The engine supports this: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Business type</w:t>
            </w:r>
          </w:p>
        </w:tc>
        <w:tc>
          <w:tcPr>
            <w:tcW w:type="dxa" w:w="308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GST Quick Method rate</w:t>
            </w:r>
          </w:p>
        </w:tc>
        <w:tc>
          <w:tcPr>
            <w:tcW w:type="dxa" w:w="308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QST Quick Method rate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Retailers / wholesalers (goods ≥40% of sales)</w:t>
            </w:r>
          </w:p>
        </w:tc>
        <w:tc>
          <w:tcPr>
            <w:tcW w:type="dxa" w:w="30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30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r>
      <w:tr>
        <w:tc>
          <w:tcPr>
            <w:tcW w:type="dxa" w:w="3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Service businesses (general rate)</w:t>
            </w:r>
          </w:p>
        </w:tc>
        <w:tc>
          <w:tcPr>
            <w:tcW w:type="dxa" w:w="30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3.6%</w:t>
            </w:r>
          </w:p>
        </w:tc>
        <w:tc>
          <w:tcPr>
            <w:tcW w:type="dxa" w:w="30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6.6%</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First $30,000 of sales (GST 1% reduction)</w:t>
            </w:r>
          </w:p>
        </w:tc>
        <w:tc>
          <w:tcPr>
            <w:tcW w:type="dxa" w:w="30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0.8% effective</w:t>
            </w:r>
          </w:p>
        </w:tc>
        <w:tc>
          <w:tcPr>
            <w:tcW w:type="dxa" w:w="30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Normal rate</w:t>
            </w:r>
          </w:p>
        </w:tc>
      </w:tr>
      <w:tr>
        <w:tc>
          <w:tcPr>
            <w:tcW w:type="dxa" w:w="3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First $31,421 of sales (QST 1% reduction)</w:t>
            </w:r>
          </w:p>
        </w:tc>
        <w:tc>
          <w:tcPr>
            <w:tcW w:type="dxa" w:w="30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Normal rate</w:t>
            </w:r>
          </w:p>
        </w:tc>
        <w:tc>
          <w:tcPr>
            <w:tcW w:type="dxa" w:w="30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5.6% effective</w:t>
            </w:r>
          </w:p>
        </w:tc>
      </w:tr>
    </w:tbl>
    <w:p>
      <w:pPr>
        <w:spacing w:after="120" w:before="0"/>
      </w:pPr>
      <w:r>
        <w:t xml:space="preserve"/>
      </w:r>
    </w:p>
    <w:p>
      <w:pPr>
        <w:spacing w:after="160" w:before="0"/>
      </w:pPr>
      <w:r>
        <w:rPr>
          <w:rFonts w:ascii="Arial" w:cs="Arial" w:eastAsia="Arial" w:hAnsi="Arial"/>
          <w:color w:val="111827"/>
          <w:sz w:val="22"/>
          <w:szCs w:val="22"/>
        </w:rPr>
        <w:t xml:space="preserve">When a client is configured for Quick Method, the engine applies the correct remittance rates automatically and flags any transaction types that must use the full method (land sales, used equipment eligible for CCA).</w:t>
      </w:r>
    </w:p>
    <w:p>
      <w:pPr>
        <w:spacing w:after="120" w:before="0"/>
      </w:pPr>
      <w:r>
        <w:t xml:space="preserve"/>
      </w:r>
    </w:p>
    <w:p>
      <w:r>
        <w:br w:type="page"/>
      </w:r>
    </w:p>
    <w:p>
      <w:pPr>
        <w:pStyle w:val="Heading1"/>
        <w:pBdr>
          <w:bottom w:val="single" w:color="2E5FA3" w:sz="6" w:space="4"/>
        </w:pBdr>
        <w:spacing w:after="200" w:before="400"/>
      </w:pPr>
      <w:r>
        <w:rPr>
          <w:rFonts w:ascii="Arial" w:cs="Arial" w:eastAsia="Arial" w:hAnsi="Arial"/>
          <w:b/>
          <w:bCs/>
          <w:color w:val="1F3864"/>
          <w:sz w:val="32"/>
          <w:szCs w:val="32"/>
        </w:rPr>
        <w:t xml:space="preserve">C. Additional Sellability Features</w:t>
      </w:r>
    </w:p>
    <w:p>
      <w:pPr>
        <w:pStyle w:val="Heading2"/>
        <w:spacing w:after="160" w:before="320"/>
      </w:pPr>
      <w:r>
        <w:rPr>
          <w:rFonts w:ascii="Arial" w:cs="Arial" w:eastAsia="Arial" w:hAnsi="Arial"/>
          <w:b/>
          <w:bCs/>
          <w:color w:val="2E5FA3"/>
          <w:sz w:val="26"/>
          <w:szCs w:val="26"/>
        </w:rPr>
        <w:t xml:space="preserve">C.1  Client Portal</w:t>
      </w:r>
    </w:p>
    <w:p>
      <w:pPr>
        <w:spacing w:after="160" w:before="0"/>
      </w:pPr>
      <w:r>
        <w:rPr>
          <w:rFonts w:ascii="Arial" w:cs="Arial" w:eastAsia="Arial" w:hAnsi="Arial"/>
          <w:color w:val="111827"/>
          <w:sz w:val="22"/>
          <w:szCs w:val="22"/>
        </w:rPr>
        <w:t xml:space="preserve">The single biggest gap in the current system is that clients of the CPA firm have no way to submit documents. Currently, documents must be uploaded manually by staff. A client portal eliminates this bottleneck and is the feature that converts LedgerLink from a back-office tool into a full workflow platform.</w:t>
      </w:r>
    </w:p>
    <w:p>
      <w:pPr>
        <w:spacing w:after="120" w:before="0"/>
      </w:pPr>
      <w:r>
        <w:t xml:space="preserve"/>
      </w:r>
    </w:p>
    <w:p>
      <w:pPr>
        <w:pStyle w:val="Heading3"/>
        <w:spacing w:after="120" w:before="240"/>
      </w:pPr>
      <w:r>
        <w:rPr>
          <w:rFonts w:ascii="Arial" w:cs="Arial" w:eastAsia="Arial" w:hAnsi="Arial"/>
          <w:b/>
          <w:bCs/>
          <w:color w:val="0F6E56"/>
          <w:sz w:val="22"/>
          <w:szCs w:val="22"/>
        </w:rPr>
        <w:t xml:space="preserve">How it works</w:t>
      </w:r>
    </w:p>
    <w:p>
      <w:pPr>
        <w:pStyle w:val="ListParagraph"/>
        <w:numPr>
          <w:ilvl w:val="0"/>
          <w:numId w:val="3"/>
        </w:numPr>
        <w:spacing w:after="120" w:before="0"/>
      </w:pPr>
      <w:r>
        <w:rPr>
          <w:rFonts w:ascii="Arial" w:cs="Arial" w:eastAsia="Arial" w:hAnsi="Arial"/>
          <w:sz w:val="22"/>
          <w:szCs w:val="22"/>
        </w:rPr>
        <w:t xml:space="preserve">CPA firm creates a client login from the Users page (role: 'client')</w:t>
      </w:r>
    </w:p>
    <w:p>
      <w:pPr>
        <w:pStyle w:val="ListParagraph"/>
        <w:numPr>
          <w:ilvl w:val="0"/>
          <w:numId w:val="3"/>
        </w:numPr>
        <w:spacing w:after="120" w:before="0"/>
      </w:pPr>
      <w:r>
        <w:rPr>
          <w:rFonts w:ascii="Arial" w:cs="Arial" w:eastAsia="Arial" w:hAnsi="Arial"/>
          <w:sz w:val="22"/>
          <w:szCs w:val="22"/>
        </w:rPr>
        <w:t xml:space="preserve">Client receives an email with their login link to a simplified portal at /client</w:t>
      </w:r>
    </w:p>
    <w:p>
      <w:pPr>
        <w:pStyle w:val="ListParagraph"/>
        <w:numPr>
          <w:ilvl w:val="0"/>
          <w:numId w:val="3"/>
        </w:numPr>
        <w:spacing w:after="120" w:before="0"/>
      </w:pPr>
      <w:r>
        <w:rPr>
          <w:rFonts w:ascii="Arial" w:cs="Arial" w:eastAsia="Arial" w:hAnsi="Arial"/>
          <w:sz w:val="22"/>
          <w:szCs w:val="22"/>
        </w:rPr>
        <w:t xml:space="preserve">Client uploads invoices, receipts, and bank statements via drag-and-drop</w:t>
      </w:r>
    </w:p>
    <w:p>
      <w:pPr>
        <w:pStyle w:val="ListParagraph"/>
        <w:numPr>
          <w:ilvl w:val="0"/>
          <w:numId w:val="3"/>
        </w:numPr>
        <w:spacing w:after="120" w:before="0"/>
      </w:pPr>
      <w:r>
        <w:rPr>
          <w:rFonts w:ascii="Arial" w:cs="Arial" w:eastAsia="Arial" w:hAnsi="Arial"/>
          <w:sz w:val="22"/>
          <w:szCs w:val="22"/>
        </w:rPr>
        <w:t xml:space="preserve">Documents enter the review queue automatically and are processed by OpenClaw</w:t>
      </w:r>
    </w:p>
    <w:p>
      <w:pPr>
        <w:pStyle w:val="ListParagraph"/>
        <w:numPr>
          <w:ilvl w:val="0"/>
          <w:numId w:val="3"/>
        </w:numPr>
        <w:spacing w:after="120" w:before="0"/>
      </w:pPr>
      <w:r>
        <w:rPr>
          <w:rFonts w:ascii="Arial" w:cs="Arial" w:eastAsia="Arial" w:hAnsi="Arial"/>
          <w:sz w:val="22"/>
          <w:szCs w:val="22"/>
        </w:rPr>
        <w:t xml:space="preserve">Client can see status of submitted documents (Submitted / Under Review / Complete)</w:t>
      </w:r>
    </w:p>
    <w:p>
      <w:pPr>
        <w:pStyle w:val="ListParagraph"/>
        <w:numPr>
          <w:ilvl w:val="0"/>
          <w:numId w:val="3"/>
        </w:numPr>
        <w:spacing w:after="120" w:before="0"/>
      </w:pPr>
      <w:r>
        <w:rPr>
          <w:rFonts w:ascii="Arial" w:cs="Arial" w:eastAsia="Arial" w:hAnsi="Arial"/>
          <w:sz w:val="22"/>
          <w:szCs w:val="22"/>
        </w:rPr>
        <w:t xml:space="preserve">Client cannot see other clients' data, GL accounts, or internal notes</w:t>
      </w:r>
    </w:p>
    <w:p>
      <w:pPr>
        <w:spacing w:after="120" w:before="0"/>
      </w:pPr>
      <w:r>
        <w:t xml:space="preserve"/>
      </w:r>
    </w:p>
    <w:p>
      <w:pPr>
        <w:pBdr>
          <w:left w:val="single" w:color="854F0B" w:sz="12" w:space="8"/>
        </w:pBdr>
        <w:spacing w:after="160" w:before="80"/>
        <w:ind w:left="360"/>
      </w:pPr>
      <w:r>
        <w:rPr>
          <w:rFonts w:ascii="Arial" w:cs="Arial" w:eastAsia="Arial" w:hAnsi="Arial"/>
          <w:b/>
          <w:bCs/>
          <w:color w:val="854F0B"/>
          <w:sz w:val="20"/>
          <w:szCs w:val="20"/>
        </w:rPr>
        <w:t xml:space="preserve">Revenue impact: </w:t>
      </w:r>
      <w:r>
        <w:rPr>
          <w:rFonts w:ascii="Arial" w:cs="Arial" w:eastAsia="Arial" w:hAnsi="Arial"/>
          <w:i/>
          <w:iCs/>
          <w:color w:val="374151"/>
          <w:sz w:val="20"/>
          <w:szCs w:val="20"/>
        </w:rPr>
        <w:t xml:space="preserve">This feature justifies charging per client rather than per firm. Each client the firm onboards to the portal is a billable unit for you.</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C.2  Daily Email Digest</w:t>
      </w:r>
    </w:p>
    <w:p>
      <w:pPr>
        <w:spacing w:after="160" w:before="0"/>
      </w:pPr>
      <w:r>
        <w:rPr>
          <w:rFonts w:ascii="Arial" w:cs="Arial" w:eastAsia="Arial" w:hAnsi="Arial"/>
          <w:color w:val="111827"/>
          <w:sz w:val="22"/>
          <w:szCs w:val="22"/>
        </w:rPr>
        <w:t xml:space="preserve">A daily summary email sent automatically each morning to the owner and manager showing:</w:t>
      </w:r>
    </w:p>
    <w:p>
      <w:pPr>
        <w:pStyle w:val="ListParagraph"/>
        <w:numPr>
          <w:ilvl w:val="0"/>
          <w:numId w:val="2"/>
        </w:numPr>
        <w:spacing w:after="100" w:before="0"/>
      </w:pPr>
      <w:r>
        <w:rPr>
          <w:rFonts w:ascii="Arial" w:cs="Arial" w:eastAsia="Arial" w:hAnsi="Arial"/>
          <w:sz w:val="22"/>
          <w:szCs w:val="22"/>
        </w:rPr>
        <w:t xml:space="preserve">Documents awaiting review (count + oldest item date)</w:t>
      </w:r>
    </w:p>
    <w:p>
      <w:pPr>
        <w:pStyle w:val="ListParagraph"/>
        <w:numPr>
          <w:ilvl w:val="0"/>
          <w:numId w:val="2"/>
        </w:numPr>
        <w:spacing w:after="100" w:before="0"/>
      </w:pPr>
      <w:r>
        <w:rPr>
          <w:rFonts w:ascii="Arial" w:cs="Arial" w:eastAsia="Arial" w:hAnsi="Arial"/>
          <w:sz w:val="22"/>
          <w:szCs w:val="22"/>
        </w:rPr>
        <w:t xml:space="preserve">Documents on hold (count + hold reason summary)</w:t>
      </w:r>
    </w:p>
    <w:p>
      <w:pPr>
        <w:pStyle w:val="ListParagraph"/>
        <w:numPr>
          <w:ilvl w:val="0"/>
          <w:numId w:val="2"/>
        </w:numPr>
        <w:spacing w:after="100" w:before="0"/>
      </w:pPr>
      <w:r>
        <w:rPr>
          <w:rFonts w:ascii="Arial" w:cs="Arial" w:eastAsia="Arial" w:hAnsi="Arial"/>
          <w:sz w:val="22"/>
          <w:szCs w:val="22"/>
        </w:rPr>
        <w:t xml:space="preserve">Documents ready to post to QuickBooks (count)</w:t>
      </w:r>
    </w:p>
    <w:p>
      <w:pPr>
        <w:pStyle w:val="ListParagraph"/>
        <w:numPr>
          <w:ilvl w:val="0"/>
          <w:numId w:val="2"/>
        </w:numPr>
        <w:spacing w:after="100" w:before="0"/>
      </w:pPr>
      <w:r>
        <w:rPr>
          <w:rFonts w:ascii="Arial" w:cs="Arial" w:eastAsia="Arial" w:hAnsi="Arial"/>
          <w:sz w:val="22"/>
          <w:szCs w:val="22"/>
        </w:rPr>
        <w:t xml:space="preserve">Any documents that have been waiting more than 5 business days (escalation alert)</w:t>
      </w:r>
    </w:p>
    <w:p>
      <w:pPr>
        <w:pStyle w:val="ListParagraph"/>
        <w:numPr>
          <w:ilvl w:val="0"/>
          <w:numId w:val="2"/>
        </w:numPr>
        <w:spacing w:after="100" w:before="0"/>
      </w:pPr>
      <w:r>
        <w:rPr>
          <w:rFonts w:ascii="Arial" w:cs="Arial" w:eastAsia="Arial" w:hAnsi="Arial"/>
          <w:sz w:val="22"/>
          <w:szCs w:val="22"/>
        </w:rPr>
        <w:t xml:space="preserve">Filing deadline reminders for clients approaching their GST/QST due date</w:t>
      </w:r>
    </w:p>
    <w:p>
      <w:pPr>
        <w:spacing w:after="120" w:before="0"/>
      </w:pPr>
      <w:r>
        <w:t xml:space="preserve"/>
      </w:r>
    </w:p>
    <w:p>
      <w:pPr>
        <w:spacing w:after="160" w:before="0"/>
      </w:pPr>
      <w:r>
        <w:rPr>
          <w:rFonts w:ascii="Arial" w:cs="Arial" w:eastAsia="Arial" w:hAnsi="Arial"/>
          <w:color w:val="111827"/>
          <w:sz w:val="22"/>
          <w:szCs w:val="22"/>
        </w:rPr>
        <w:t xml:space="preserve">The email is plain text, bilingual (based on the recipient's language preference), and requires no external email service — it uses the firm's own SMTP server configured in ledgerlink.config.json.</w:t>
      </w:r>
    </w:p>
    <w:p>
      <w:pPr>
        <w:spacing w:after="120" w:before="0"/>
      </w:pPr>
      <w:r>
        <w:t xml:space="preserve"/>
      </w:r>
    </w:p>
    <w:p>
      <w:pPr>
        <w:pBdr>
          <w:left w:val="single" w:color="854F0B" w:sz="12" w:space="8"/>
        </w:pBdr>
        <w:spacing w:after="160" w:before="80"/>
        <w:ind w:left="360"/>
      </w:pPr>
      <w:r>
        <w:rPr>
          <w:rFonts w:ascii="Arial" w:cs="Arial" w:eastAsia="Arial" w:hAnsi="Arial"/>
          <w:b/>
          <w:bCs/>
          <w:color w:val="854F0B"/>
          <w:sz w:val="20"/>
          <w:szCs w:val="20"/>
        </w:rPr>
        <w:t xml:space="preserve">Retention feature: </w:t>
      </w:r>
      <w:r>
        <w:rPr>
          <w:rFonts w:ascii="Arial" w:cs="Arial" w:eastAsia="Arial" w:hAnsi="Arial"/>
          <w:i/>
          <w:iCs/>
          <w:color w:val="374151"/>
          <w:sz w:val="20"/>
          <w:szCs w:val="20"/>
        </w:rPr>
        <w:t xml:space="preserve">Once a CPA firm receives this email every morning, they rely on it. It becomes part of their daily routine and makes switching away from LedgerLink much harder.</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C.3  Month-End Close Checklist</w:t>
      </w:r>
    </w:p>
    <w:p>
      <w:pPr>
        <w:spacing w:after="160" w:before="0"/>
      </w:pPr>
      <w:r>
        <w:rPr>
          <w:rFonts w:ascii="Arial" w:cs="Arial" w:eastAsia="Arial" w:hAnsi="Arial"/>
          <w:color w:val="111827"/>
          <w:sz w:val="22"/>
          <w:szCs w:val="22"/>
        </w:rPr>
        <w:t xml:space="preserve">Every CPA firm runs a month-end close process. Currently this lives in Excel or paper. LedgerLink replaces it with a structured, sign-off-based checklist tied directly to the document queue.</w:t>
      </w:r>
    </w:p>
    <w:p>
      <w:pPr>
        <w:spacing w:after="120" w:before="0"/>
      </w:pPr>
      <w:r>
        <w:t xml:space="preserve"/>
      </w:r>
    </w:p>
    <w:p>
      <w:pPr>
        <w:pStyle w:val="Heading3"/>
        <w:spacing w:after="120" w:before="240"/>
      </w:pPr>
      <w:r>
        <w:rPr>
          <w:rFonts w:ascii="Arial" w:cs="Arial" w:eastAsia="Arial" w:hAnsi="Arial"/>
          <w:b/>
          <w:bCs/>
          <w:color w:val="0F6E56"/>
          <w:sz w:val="22"/>
          <w:szCs w:val="22"/>
        </w:rPr>
        <w:t xml:space="preserve">Default month-end checklist (customizable per firm)</w:t>
      </w:r>
    </w:p>
    <w:p>
      <w:pPr>
        <w:pStyle w:val="ListParagraph"/>
        <w:numPr>
          <w:ilvl w:val="0"/>
          <w:numId w:val="2"/>
        </w:numPr>
        <w:spacing w:after="100" w:before="0"/>
      </w:pPr>
      <w:r>
        <w:rPr>
          <w:rFonts w:ascii="Arial" w:cs="Arial" w:eastAsia="Arial" w:hAnsi="Arial"/>
          <w:sz w:val="22"/>
          <w:szCs w:val="22"/>
        </w:rPr>
        <w:t xml:space="preserve">All documents reviewed and approved or flagged</w:t>
      </w:r>
    </w:p>
    <w:p>
      <w:pPr>
        <w:pStyle w:val="ListParagraph"/>
        <w:numPr>
          <w:ilvl w:val="0"/>
          <w:numId w:val="2"/>
        </w:numPr>
        <w:spacing w:after="100" w:before="0"/>
      </w:pPr>
      <w:r>
        <w:rPr>
          <w:rFonts w:ascii="Arial" w:cs="Arial" w:eastAsia="Arial" w:hAnsi="Arial"/>
          <w:sz w:val="22"/>
          <w:szCs w:val="22"/>
        </w:rPr>
        <w:t xml:space="preserve">No documents on hold without a resolution note</w:t>
      </w:r>
    </w:p>
    <w:p>
      <w:pPr>
        <w:pStyle w:val="ListParagraph"/>
        <w:numPr>
          <w:ilvl w:val="0"/>
          <w:numId w:val="2"/>
        </w:numPr>
        <w:spacing w:after="100" w:before="0"/>
      </w:pPr>
      <w:r>
        <w:rPr>
          <w:rFonts w:ascii="Arial" w:cs="Arial" w:eastAsia="Arial" w:hAnsi="Arial"/>
          <w:sz w:val="22"/>
          <w:szCs w:val="22"/>
        </w:rPr>
        <w:t xml:space="preserve">Bank reconciliation complete (manual check-off)</w:t>
      </w:r>
    </w:p>
    <w:p>
      <w:pPr>
        <w:pStyle w:val="ListParagraph"/>
        <w:numPr>
          <w:ilvl w:val="0"/>
          <w:numId w:val="2"/>
        </w:numPr>
        <w:spacing w:after="100" w:before="0"/>
      </w:pPr>
      <w:r>
        <w:rPr>
          <w:rFonts w:ascii="Arial" w:cs="Arial" w:eastAsia="Arial" w:hAnsi="Arial"/>
          <w:sz w:val="22"/>
          <w:szCs w:val="22"/>
        </w:rPr>
        <w:t xml:space="preserve">GST/QST amounts reconciled with source documents</w:t>
      </w:r>
    </w:p>
    <w:p>
      <w:pPr>
        <w:pStyle w:val="ListParagraph"/>
        <w:numPr>
          <w:ilvl w:val="0"/>
          <w:numId w:val="2"/>
        </w:numPr>
        <w:spacing w:after="100" w:before="0"/>
      </w:pPr>
      <w:r>
        <w:rPr>
          <w:rFonts w:ascii="Arial" w:cs="Arial" w:eastAsia="Arial" w:hAnsi="Arial"/>
          <w:sz w:val="22"/>
          <w:szCs w:val="22"/>
        </w:rPr>
        <w:t xml:space="preserve">ITC/ITR amounts verified and recorded</w:t>
      </w:r>
    </w:p>
    <w:p>
      <w:pPr>
        <w:pStyle w:val="ListParagraph"/>
        <w:numPr>
          <w:ilvl w:val="0"/>
          <w:numId w:val="2"/>
        </w:numPr>
        <w:spacing w:after="100" w:before="0"/>
      </w:pPr>
      <w:r>
        <w:rPr>
          <w:rFonts w:ascii="Arial" w:cs="Arial" w:eastAsia="Arial" w:hAnsi="Arial"/>
          <w:sz w:val="22"/>
          <w:szCs w:val="22"/>
        </w:rPr>
        <w:t xml:space="preserve">Journal entries posted to QuickBooks</w:t>
      </w:r>
    </w:p>
    <w:p>
      <w:pPr>
        <w:pStyle w:val="ListParagraph"/>
        <w:numPr>
          <w:ilvl w:val="0"/>
          <w:numId w:val="2"/>
        </w:numPr>
        <w:spacing w:after="100" w:before="0"/>
      </w:pPr>
      <w:r>
        <w:rPr>
          <w:rFonts w:ascii="Arial" w:cs="Arial" w:eastAsia="Arial" w:hAnsi="Arial"/>
          <w:sz w:val="22"/>
          <w:szCs w:val="22"/>
        </w:rPr>
        <w:t xml:space="preserve">Trial balance reviewed and signed off</w:t>
      </w:r>
    </w:p>
    <w:p>
      <w:pPr>
        <w:pStyle w:val="ListParagraph"/>
        <w:numPr>
          <w:ilvl w:val="0"/>
          <w:numId w:val="2"/>
        </w:numPr>
        <w:spacing w:after="100" w:before="0"/>
      </w:pPr>
      <w:r>
        <w:rPr>
          <w:rFonts w:ascii="Arial" w:cs="Arial" w:eastAsia="Arial" w:hAnsi="Arial"/>
          <w:sz w:val="22"/>
          <w:szCs w:val="22"/>
        </w:rPr>
        <w:t xml:space="preserve">Manager sign-off completed</w:t>
      </w:r>
    </w:p>
    <w:p>
      <w:pPr>
        <w:spacing w:after="120" w:before="0"/>
      </w:pPr>
      <w:r>
        <w:t xml:space="preserve"/>
      </w:r>
    </w:p>
    <w:p>
      <w:pPr>
        <w:spacing w:after="160" w:before="0"/>
      </w:pPr>
      <w:r>
        <w:rPr>
          <w:rFonts w:ascii="Arial" w:cs="Arial" w:eastAsia="Arial" w:hAnsi="Arial"/>
          <w:color w:val="111827"/>
          <w:sz w:val="22"/>
          <w:szCs w:val="22"/>
        </w:rPr>
        <w:t xml:space="preserve">Each checklist item has a responsible user, a due date, a status (open / complete / waived), and a notes field. When all items are complete, the manager clicks 'Close Period' which locks the period and generates a PDF summary.</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C.4  Time Tracking &amp; Billing</w:t>
      </w:r>
    </w:p>
    <w:p>
      <w:pPr>
        <w:spacing w:after="160" w:before="0"/>
      </w:pPr>
      <w:r>
        <w:rPr>
          <w:rFonts w:ascii="Arial" w:cs="Arial" w:eastAsia="Arial" w:hAnsi="Arial"/>
          <w:color w:val="111827"/>
          <w:sz w:val="22"/>
          <w:szCs w:val="22"/>
        </w:rPr>
        <w:t xml:space="preserve">A lightweight time tracker built directly into the document review workflow:</w:t>
      </w:r>
    </w:p>
    <w:p>
      <w:pPr>
        <w:pStyle w:val="ListParagraph"/>
        <w:numPr>
          <w:ilvl w:val="0"/>
          <w:numId w:val="2"/>
        </w:numPr>
        <w:spacing w:after="100" w:before="0"/>
      </w:pPr>
      <w:r>
        <w:rPr>
          <w:rFonts w:ascii="Arial" w:cs="Arial" w:eastAsia="Arial" w:hAnsi="Arial"/>
          <w:sz w:val="22"/>
          <w:szCs w:val="22"/>
        </w:rPr>
        <w:t xml:space="preserve">When an accountant opens a document, a timer starts automatically</w:t>
      </w:r>
    </w:p>
    <w:p>
      <w:pPr>
        <w:pStyle w:val="ListParagraph"/>
        <w:numPr>
          <w:ilvl w:val="0"/>
          <w:numId w:val="2"/>
        </w:numPr>
        <w:spacing w:after="100" w:before="0"/>
      </w:pPr>
      <w:r>
        <w:rPr>
          <w:rFonts w:ascii="Arial" w:cs="Arial" w:eastAsia="Arial" w:hAnsi="Arial"/>
          <w:sz w:val="22"/>
          <w:szCs w:val="22"/>
        </w:rPr>
        <w:t xml:space="preserve">When they navigate away, time is recorded against that document and client</w:t>
      </w:r>
    </w:p>
    <w:p>
      <w:pPr>
        <w:pStyle w:val="ListParagraph"/>
        <w:numPr>
          <w:ilvl w:val="0"/>
          <w:numId w:val="2"/>
        </w:numPr>
        <w:spacing w:after="100" w:before="0"/>
      </w:pPr>
      <w:r>
        <w:rPr>
          <w:rFonts w:ascii="Arial" w:cs="Arial" w:eastAsia="Arial" w:hAnsi="Arial"/>
          <w:sz w:val="22"/>
          <w:szCs w:val="22"/>
        </w:rPr>
        <w:t xml:space="preserve">Owner/manager sees a time summary per client per period</w:t>
      </w:r>
    </w:p>
    <w:p>
      <w:pPr>
        <w:pStyle w:val="ListParagraph"/>
        <w:numPr>
          <w:ilvl w:val="0"/>
          <w:numId w:val="2"/>
        </w:numPr>
        <w:spacing w:after="100" w:before="0"/>
      </w:pPr>
      <w:r>
        <w:rPr>
          <w:rFonts w:ascii="Arial" w:cs="Arial" w:eastAsia="Arial" w:hAnsi="Arial"/>
          <w:sz w:val="22"/>
          <w:szCs w:val="22"/>
        </w:rPr>
        <w:t xml:space="preserve">One-click invoice generation: client name, period, hours, rate, total in both GST/QST-compliant format</w:t>
      </w:r>
    </w:p>
    <w:p>
      <w:pPr>
        <w:pStyle w:val="ListParagraph"/>
        <w:numPr>
          <w:ilvl w:val="0"/>
          <w:numId w:val="2"/>
        </w:numPr>
        <w:spacing w:after="100" w:before="0"/>
      </w:pPr>
      <w:r>
        <w:rPr>
          <w:rFonts w:ascii="Arial" w:cs="Arial" w:eastAsia="Arial" w:hAnsi="Arial"/>
          <w:sz w:val="22"/>
          <w:szCs w:val="22"/>
        </w:rPr>
        <w:t xml:space="preserve">Invoice exported as PDF, ready to send to the client</w:t>
      </w:r>
    </w:p>
    <w:p>
      <w:pPr>
        <w:spacing w:after="120" w:before="0"/>
      </w:pPr>
      <w:r>
        <w:t xml:space="preserve"/>
      </w:r>
    </w:p>
    <w:p>
      <w:pPr>
        <w:pBdr>
          <w:left w:val="single" w:color="854F0B" w:sz="12" w:space="8"/>
        </w:pBdr>
        <w:spacing w:after="160" w:before="80"/>
        <w:ind w:left="360"/>
      </w:pPr>
      <w:r>
        <w:rPr>
          <w:rFonts w:ascii="Arial" w:cs="Arial" w:eastAsia="Arial" w:hAnsi="Arial"/>
          <w:b/>
          <w:bCs/>
          <w:color w:val="854F0B"/>
          <w:sz w:val="20"/>
          <w:szCs w:val="20"/>
        </w:rPr>
        <w:t xml:space="preserve">Key point: </w:t>
      </w:r>
      <w:r>
        <w:rPr>
          <w:rFonts w:ascii="Arial" w:cs="Arial" w:eastAsia="Arial" w:hAnsi="Arial"/>
          <w:i/>
          <w:iCs/>
          <w:color w:val="374151"/>
          <w:sz w:val="20"/>
          <w:szCs w:val="20"/>
        </w:rPr>
        <w:t xml:space="preserve">The invoice generated by LedgerLink is itself GST/QST compliant — it shows the CPA firm's GST and QST registration numbers, calculates tax correctly, and meets Revenu Québec requirements.</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C.5  Pricing Model Recommendation</w:t>
      </w:r>
    </w:p>
    <w:p>
      <w:pPr>
        <w:spacing w:after="160" w:before="0"/>
      </w:pPr>
      <w:r>
        <w:rPr>
          <w:rFonts w:ascii="Arial" w:cs="Arial" w:eastAsia="Arial" w:hAnsi="Arial"/>
          <w:color w:val="111827"/>
          <w:sz w:val="22"/>
          <w:szCs w:val="22"/>
        </w:rPr>
        <w:t xml:space="preserve">The current model (flat fee per firm) leaves revenue on the table. The recommended model is per-client-per-month, which scales with the firm's growth: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8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18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Solo CPA</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$49/mo</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Up to 5 clients, 1 user, basic features</w:t>
            </w:r>
          </w:p>
        </w:tc>
      </w:tr>
      <w:tr>
        <w:tc>
          <w:tcPr>
            <w:tcW w:type="dxa" w:w="3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Small firm</w:t>
            </w:r>
          </w:p>
        </w:tc>
        <w:tc>
          <w:tcPr>
            <w:tcW w:type="dxa" w:w="31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$149/mo</w:t>
            </w:r>
          </w:p>
        </w:tc>
        <w:tc>
          <w:tcPr>
            <w:tcW w:type="dxa" w:w="31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Up to 20 clients, 5 users, all features</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Growing firm</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$299/mo</w:t>
            </w:r>
          </w:p>
        </w:tc>
        <w:tc>
          <w:tcPr>
            <w:tcW w:type="dxa" w:w="31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Up to 50 clients, unlimited users, priority support</w:t>
            </w:r>
          </w:p>
        </w:tc>
      </w:tr>
      <w:tr>
        <w:tc>
          <w:tcPr>
            <w:tcW w:type="dxa" w:w="3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Enterprise</w:t>
            </w:r>
          </w:p>
        </w:tc>
        <w:tc>
          <w:tcPr>
            <w:tcW w:type="dxa" w:w="31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Custom</w:t>
            </w:r>
          </w:p>
        </w:tc>
        <w:tc>
          <w:tcPr>
            <w:tcW w:type="dxa" w:w="318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Unlimited clients, custom integrations, on-site training</w:t>
            </w:r>
          </w:p>
        </w:tc>
      </w:tr>
    </w:tbl>
    <w:p>
      <w:pPr>
        <w:spacing w:after="120" w:before="0"/>
      </w:pPr>
      <w:r>
        <w:t xml:space="preserve"/>
      </w:r>
    </w:p>
    <w:p>
      <w:pPr>
        <w:spacing w:after="160" w:before="0"/>
      </w:pPr>
      <w:r>
        <w:rPr>
          <w:rFonts w:ascii="Arial" w:cs="Arial" w:eastAsia="Arial" w:hAnsi="Arial"/>
          <w:color w:val="111827"/>
          <w:sz w:val="22"/>
          <w:szCs w:val="22"/>
        </w:rPr>
        <w:t xml:space="preserve">The on-premises install means you charge a setup fee in addition to the monthly subscription. Suggested: $500-$1,000 one-time setup fee per firm, which covers installation, initial configuration, and staff training.</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C.6  Revenu Québec Form Pre-Fill</w:t>
      </w:r>
    </w:p>
    <w:p>
      <w:pPr>
        <w:spacing w:after="160" w:before="0"/>
      </w:pPr>
      <w:r>
        <w:rPr>
          <w:rFonts w:ascii="Arial" w:cs="Arial" w:eastAsia="Arial" w:hAnsi="Arial"/>
          <w:color w:val="111827"/>
          <w:sz w:val="22"/>
          <w:szCs w:val="22"/>
        </w:rPr>
        <w:t xml:space="preserve">The most technically impressive — and most sellable — feature you could add. At the end of each reporting period, the system pre-populates the key lines of the Revenu Québec filing forms: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w:t>
            </w:r>
          </w:p>
        </w:tc>
        <w:tc>
          <w:tcPr>
            <w:tcW w:type="dxa" w:w="636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Lines pre-filled from LedgerLink data</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FPZ-500 (GST/QST return)</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Line 101 (sales), 103 (GST collected), 106 (ITC), 108 (net GST), 205 (QST collected), 207 (ITR), 209 (net QST)</w:t>
            </w:r>
          </w:p>
        </w:tc>
      </w:tr>
      <w:tr>
        <w:tc>
          <w:tcPr>
            <w:tcW w:type="dxa" w:w="3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CO-17 (Quebec corporate)</w:t>
            </w:r>
          </w:p>
        </w:tc>
        <w:tc>
          <w:tcPr>
            <w:tcW w:type="dxa" w:w="6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sz w:val="20"/>
                <w:szCs w:val="20"/>
              </w:rPr>
              <w:t xml:space="preserve">Total revenues, deductible expenses by category</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TP-80 (business income)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Gross income, eligible expenses, net income</w:t>
            </w:r>
          </w:p>
        </w:tc>
      </w:tr>
    </w:tbl>
    <w:p>
      <w:pPr>
        <w:spacing w:after="120" w:before="0"/>
      </w:pPr>
      <w:r>
        <w:t xml:space="preserve"/>
      </w:r>
    </w:p>
    <w:p>
      <w:pPr>
        <w:spacing w:after="160" w:before="0"/>
      </w:pPr>
      <w:r>
        <w:rPr>
          <w:rFonts w:ascii="Arial" w:cs="Arial" w:eastAsia="Arial" w:hAnsi="Arial"/>
          <w:color w:val="111827"/>
          <w:sz w:val="22"/>
          <w:szCs w:val="22"/>
        </w:rPr>
        <w:t xml:space="preserve">The pre-fill is exported as a summary PDF that the CPA reviews and uses to manually file (or copy into Revenu Québec's online portal). LedgerLink does not file directly — the accountant remains the professional of record and retains full responsibility. This is the correct boundary.</w:t>
      </w:r>
    </w:p>
    <w:p>
      <w:pPr>
        <w:spacing w:after="120" w:before="0"/>
      </w:pPr>
      <w:r>
        <w:t xml:space="preserve"/>
      </w:r>
    </w:p>
    <w:p>
      <w:pPr>
        <w:pBdr>
          <w:left w:val="single" w:color="854F0B" w:sz="12" w:space="8"/>
        </w:pBdr>
        <w:spacing w:after="160" w:before="80"/>
        <w:ind w:left="360"/>
      </w:pPr>
      <w:r>
        <w:rPr>
          <w:rFonts w:ascii="Arial" w:cs="Arial" w:eastAsia="Arial" w:hAnsi="Arial"/>
          <w:b/>
          <w:bCs/>
          <w:color w:val="854F0B"/>
          <w:sz w:val="20"/>
          <w:szCs w:val="20"/>
        </w:rPr>
        <w:t xml:space="preserve">Market advantage: </w:t>
      </w:r>
      <w:r>
        <w:rPr>
          <w:rFonts w:ascii="Arial" w:cs="Arial" w:eastAsia="Arial" w:hAnsi="Arial"/>
          <w:i/>
          <w:iCs/>
          <w:color w:val="374151"/>
          <w:sz w:val="20"/>
          <w:szCs w:val="20"/>
        </w:rPr>
        <w:t xml:space="preserve">No other AI accounting tool on the Canadian market generates Revenu Québec-specific pre-fills with correct QST/GST separation. This alone makes LedgerLink uniquely valuable for Quebec CPA firms.</w:t>
      </w:r>
    </w:p>
    <w:p>
      <w:pPr>
        <w:spacing w:after="120" w:before="0"/>
      </w:pPr>
      <w:r>
        <w:t xml:space="preserve"/>
      </w:r>
    </w:p>
    <w:p>
      <w:r>
        <w:br w:type="page"/>
      </w:r>
    </w:p>
    <w:p>
      <w:pPr>
        <w:pStyle w:val="Heading1"/>
        <w:pBdr>
          <w:bottom w:val="single" w:color="2E5FA3" w:sz="6" w:space="4"/>
        </w:pBdr>
        <w:spacing w:after="200" w:before="400"/>
      </w:pPr>
      <w:r>
        <w:rPr>
          <w:rFonts w:ascii="Arial" w:cs="Arial" w:eastAsia="Arial" w:hAnsi="Arial"/>
          <w:b/>
          <w:bCs/>
          <w:color w:val="1F3864"/>
          <w:sz w:val="32"/>
          <w:szCs w:val="32"/>
        </w:rPr>
        <w:t xml:space="preserve">D. Claude Code Instructions for This Addendum</w:t>
      </w:r>
    </w:p>
    <w:p>
      <w:pPr>
        <w:spacing w:after="160" w:before="0"/>
      </w:pPr>
      <w:r>
        <w:rPr>
          <w:rFonts w:ascii="Arial" w:cs="Arial" w:eastAsia="Arial" w:hAnsi="Arial"/>
          <w:color w:val="111827"/>
          <w:sz w:val="22"/>
          <w:szCs w:val="22"/>
        </w:rPr>
        <w:t xml:space="preserve">After completing the sessions from the main technical spec, run the following sessions in Claude Code in order:</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D.1  Session 6 — Bilingual system</w:t>
      </w:r>
    </w:p>
    <w:p>
      <w:pPr>
        <w:spacing w:after="160" w:before="0"/>
      </w:pPr>
      <w:r>
        <w:rPr>
          <w:rFonts w:ascii="Arial" w:cs="Arial" w:eastAsia="Arial" w:hAnsi="Arial"/>
          <w:color w:val="111827"/>
          <w:sz w:val="22"/>
          <w:szCs w:val="22"/>
        </w:rPr>
        <w:t xml:space="preserve">Paste this message to Claude Code:</w:t>
      </w:r>
    </w:p>
    <w:p>
      <w:pPr>
        <w:spacing w:after="120" w:before="0"/>
      </w:pPr>
      <w:r>
        <w:t xml:space="preserve"/>
      </w:r>
    </w:p>
    <w:p>
      <w:pPr>
        <w:pBdr>
          <w:left w:val="single" w:color="2E5FA3" w:sz="12" w:space="8"/>
        </w:pBdr>
        <w:spacing w:after="160" w:before="80"/>
        <w:ind w:left="360"/>
      </w:pPr>
      <w:r>
        <w:rPr>
          <w:rFonts w:ascii="Arial" w:cs="Arial" w:eastAsia="Arial" w:hAnsi="Arial"/>
          <w:color w:val="1F3864"/>
          <w:sz w:val="20"/>
          <w:szCs w:val="20"/>
        </w:rPr>
        <w:t xml:space="preserve">Build a bilingual system for the dashboard. Create src/i18n/fr.json and src/i18n/en.json using the full string tables in the addendum document. Add a 'language' column to dashboard_users (values: 'fr' or 'en', default 'fr'). Create a translation helper function t(key, lang) that reads from the correct JSON file. Update every user-facing string in review_dashboard.py to use t(). Add a FR|EN toggle to the header that updates the user's language preference via POST /set_language. The deterministic engine outputs (amounts, dates, codes) must not be translated. Do not change any business logic.</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D.2  Session 7 — Tax engine</w:t>
      </w:r>
    </w:p>
    <w:p>
      <w:pPr>
        <w:spacing w:after="160" w:before="0"/>
      </w:pPr>
      <w:r>
        <w:rPr>
          <w:rFonts w:ascii="Arial" w:cs="Arial" w:eastAsia="Arial" w:hAnsi="Arial"/>
          <w:color w:val="111827"/>
          <w:sz w:val="22"/>
          <w:szCs w:val="22"/>
        </w:rPr>
        <w:t xml:space="preserve">Paste this message to Claude Code:</w:t>
      </w:r>
    </w:p>
    <w:p>
      <w:pPr>
        <w:spacing w:after="120" w:before="0"/>
      </w:pPr>
      <w:r>
        <w:t xml:space="preserve"/>
      </w:r>
    </w:p>
    <w:p>
      <w:pPr>
        <w:pBdr>
          <w:left w:val="single" w:color="2E5FA3" w:sz="12" w:space="8"/>
        </w:pBdr>
        <w:spacing w:after="160" w:before="80"/>
        <w:ind w:left="360"/>
      </w:pPr>
      <w:r>
        <w:rPr>
          <w:rFonts w:ascii="Arial" w:cs="Arial" w:eastAsia="Arial" w:hAnsi="Arial"/>
          <w:color w:val="1F3864"/>
          <w:sz w:val="20"/>
          <w:szCs w:val="20"/>
        </w:rPr>
        <w:t xml:space="preserve">Build src/engines/tax_engine.py with these exact functions: calculate_gst_qst(amount), extract_tax_from_total(total), validate_tax_code(gl_account, tax_code, vendor_province), calculate_itc_itr(expense_amount, tax_code), generate_filing_summary(client_code, period_start, period_end). Use Decimal for all money math, never float. GST = 5%, QST = 9.975%, both applied to the pre-tax amount. Add a tax validation step to the document approval workflow: a document cannot be approved if validate_tax_code() returns a warning. Add a /filing_summary route to the dashboard (manager/owner only) that shows the checklist from the addendum. This is Layer 1 deterministic code: no AI calls anywhere in this module.</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D.3  Session 8 — Client portal</w:t>
      </w:r>
    </w:p>
    <w:p>
      <w:pPr>
        <w:spacing w:after="160" w:before="0"/>
      </w:pPr>
      <w:r>
        <w:rPr>
          <w:rFonts w:ascii="Arial" w:cs="Arial" w:eastAsia="Arial" w:hAnsi="Arial"/>
          <w:color w:val="111827"/>
          <w:sz w:val="22"/>
          <w:szCs w:val="22"/>
        </w:rPr>
        <w:t xml:space="preserve">Paste this message to Claude Code:</w:t>
      </w:r>
    </w:p>
    <w:p>
      <w:pPr>
        <w:spacing w:after="120" w:before="0"/>
      </w:pPr>
      <w:r>
        <w:t xml:space="preserve"/>
      </w:r>
    </w:p>
    <w:p>
      <w:pPr>
        <w:pBdr>
          <w:left w:val="single" w:color="2E5FA3" w:sz="12" w:space="8"/>
        </w:pBdr>
        <w:spacing w:after="160" w:before="80"/>
        <w:ind w:left="360"/>
      </w:pPr>
      <w:r>
        <w:rPr>
          <w:rFonts w:ascii="Arial" w:cs="Arial" w:eastAsia="Arial" w:hAnsi="Arial"/>
          <w:color w:val="1F3864"/>
          <w:sz w:val="20"/>
          <w:szCs w:val="20"/>
        </w:rPr>
        <w:t xml:space="preserve">Add a client portal. Add role 'client' to dashboard_users. Create a simplified dashboard at /client that only shows: document upload form (drag-and-drop, accepts PDF/PNG/JPG), list of submitted documents with status (Submitted/Under Review/Complete), and a contact note field. A client can only see their own documents filtered by their client_code. When a client uploads a document it enters the documents table with review_status='New' and triggers the existing OpenClaw processing pipeline. The /client route must be completely separate from the main queue — clients must never see GL accounts, posting status, or other clients. The interface must be bilingual based on the client's language preference. Keep the main dashboard unchanged.</w:t>
      </w:r>
    </w:p>
    <w:p>
      <w:pPr>
        <w:spacing w:after="120" w:before="0"/>
      </w:pPr>
      <w:r>
        <w:t xml:space="preserve"/>
      </w:r>
    </w:p>
    <w:p>
      <w:pPr>
        <w:pStyle w:val="Heading2"/>
        <w:spacing w:after="160" w:before="320"/>
      </w:pPr>
      <w:r>
        <w:rPr>
          <w:rFonts w:ascii="Arial" w:cs="Arial" w:eastAsia="Arial" w:hAnsi="Arial"/>
          <w:b/>
          <w:bCs/>
          <w:color w:val="2E5FA3"/>
          <w:sz w:val="26"/>
          <w:szCs w:val="26"/>
        </w:rPr>
        <w:t xml:space="preserve">D.4  Session 9 — Daily digest &amp; month-end checklist</w:t>
      </w:r>
    </w:p>
    <w:p>
      <w:pPr>
        <w:spacing w:after="160" w:before="0"/>
      </w:pPr>
      <w:r>
        <w:rPr>
          <w:rFonts w:ascii="Arial" w:cs="Arial" w:eastAsia="Arial" w:hAnsi="Arial"/>
          <w:color w:val="111827"/>
          <w:sz w:val="22"/>
          <w:szCs w:val="22"/>
        </w:rPr>
        <w:t xml:space="preserve">Paste this message to Claude Code:</w:t>
      </w:r>
    </w:p>
    <w:p>
      <w:pPr>
        <w:spacing w:after="120" w:before="0"/>
      </w:pPr>
      <w:r>
        <w:t xml:space="preserve"/>
      </w:r>
    </w:p>
    <w:p>
      <w:pPr>
        <w:pBdr>
          <w:left w:val="single" w:color="2E5FA3" w:sz="12" w:space="8"/>
        </w:pBdr>
        <w:spacing w:after="160" w:before="80"/>
        <w:ind w:left="360"/>
      </w:pPr>
      <w:r>
        <w:rPr>
          <w:rFonts w:ascii="Arial" w:cs="Arial" w:eastAsia="Arial" w:hAnsi="Arial"/>
          <w:color w:val="1F3864"/>
          <w:sz w:val="20"/>
          <w:szCs w:val="20"/>
        </w:rPr>
        <w:t xml:space="preserve">Build two features: (1) Daily email digest: create scripts/send_daily_digest.py that generates a bilingual plain-text email summary and sends it via SMTP using config from ledgerlink.config.json. The email shows: documents awaiting review, on hold, ready to post, and any items waiting more than 5 business days. Register it as a scheduled task in the Windows Service to run at 7:30 AM daily. (2) Month-end close checklist: create a period_close table with columns: client_code, period, checklist_item, status, completed_by, completed_at, notes. Add a /period_close route (manager/owner only) showing the checklist items from the addendum. When all items are checked, enable a 'Close Period' button that locks the period and generates a PDF summary using the existing PDF logic.</w:t>
      </w:r>
    </w:p>
    <w:p>
      <w:pPr>
        <w:spacing w:after="120" w:before="0"/>
      </w:pPr>
      <w:r>
        <w:t xml:space="preserve"/>
      </w:r>
    </w:p>
    <w:p>
      <w:pPr>
        <w:spacing w:after="120" w:before="0"/>
      </w:pPr>
      <w:r>
        <w:t xml:space="preserve"/>
      </w:r>
    </w:p>
    <w:p>
      <w:pPr>
        <w:spacing w:after="120" w:before="0"/>
      </w:pPr>
      <w:r>
        <w:t xml:space="preserve"/>
      </w:r>
    </w:p>
    <w:p>
      <w:pPr>
        <w:pBdr>
          <w:top w:val="single" w:color="D0D5DD" w:sz="4" w:space="8"/>
        </w:pBdr>
        <w:spacing w:after="0" w:before="400"/>
        <w:jc w:val="center"/>
      </w:pPr>
      <w:r>
        <w:rPr>
          <w:rFonts w:ascii="Arial" w:cs="Arial" w:eastAsia="Arial" w:hAnsi="Arial"/>
          <w:i/>
          <w:iCs/>
          <w:color w:val="6B7280"/>
          <w:sz w:val="20"/>
          <w:szCs w:val="20"/>
        </w:rPr>
        <w:t xml:space="preserve">Fin du document  •  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pPr>
    <w:r>
      <w:rPr>
        <w:rFonts w:ascii="Arial" w:cs="Arial" w:eastAsia="Arial" w:hAnsi="Arial"/>
        <w:color w:val="6B7280"/>
        <w:sz w:val="18"/>
        <w:szCs w:val="18"/>
      </w:rPr>
      <w:t xml:space="preserve">Confidential — LedgerLink AI    Page </w:t>
    </w:r>
    <w:r>
      <w:rPr>
        <w:rFonts w:ascii="Arial" w:cs="Arial" w:eastAsia="Arial" w:hAnsi="Arial"/>
        <w:color w:val="6B72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pPr>
    <w:r>
      <w:rPr>
        <w:rFonts w:ascii="Arial" w:cs="Arial" w:eastAsia="Arial" w:hAnsi="Arial"/>
        <w:b/>
        <w:bCs/>
        <w:color w:val="1F3864"/>
        <w:sz w:val="18"/>
        <w:szCs w:val="18"/>
      </w:rPr>
      <w:t xml:space="preserve">LedgerLink AI  </w:t>
    </w:r>
    <w:r>
      <w:rPr>
        <w:rFonts w:ascii="Arial" w:cs="Arial" w:eastAsia="Arial" w:hAnsi="Arial"/>
        <w:color w:val="6B7280"/>
        <w:sz w:val="18"/>
        <w:szCs w:val="18"/>
      </w:rPr>
      <w:t xml:space="preserve">Addendum: Bilingualism, Canadian Tax &amp; Sellability Features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5FA3"/>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2026-03-19T02:21:36.229Z</dcterms:created>
  <dcterms:modified xsi:type="dcterms:W3CDTF">2026-03-19T02:21:36.230Z</dcterms:modified>
</cp:coreProperties>
</file>

<file path=docProps/custom.xml><?xml version="1.0" encoding="utf-8"?>
<Properties xmlns="http://schemas.openxmlformats.org/officeDocument/2006/custom-properties" xmlns:vt="http://schemas.openxmlformats.org/officeDocument/2006/docPropsVTypes"/>
</file>