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SINNARA System-Wide Architecture Reconciliation Audit v2.0</w:t>
      </w:r>
    </w:p>
    <w:p>
      <w:pPr>
        <w:jc w:val="center"/>
      </w:pPr>
      <w:r>
        <w:rPr>
          <w:i/>
          <w:sz w:val="20"/>
        </w:rPr>
        <w:t>Documents 1–12 + Foundation Reconciliation Review v1.0 | Pre-Document 13 Quality Gate</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tcMar>
              <w:top w:w="70" w:type="dxa"/>
              <w:start w:w="80" w:type="dxa"/>
              <w:bottom w:w="70" w:type="dxa"/>
              <w:end w:w="80" w:type="dxa"/>
            </w:tcMar>
            <w:vAlign w:val="center"/>
          </w:tcPr>
          <w:p>
            <w:r>
              <w:rPr>
                <w:b/>
                <w:sz w:val="16"/>
              </w:rPr>
              <w:t>Field</w:t>
            </w:r>
          </w:p>
        </w:tc>
        <w:tc>
          <w:tcPr>
            <w:tcW w:type="dxa" w:w="5112"/>
            <w:shd w:fill="D9E2F3"/>
            <w:tcMar>
              <w:top w:w="70" w:type="dxa"/>
              <w:start w:w="80" w:type="dxa"/>
              <w:bottom w:w="70" w:type="dxa"/>
              <w:end w:w="80" w:type="dxa"/>
            </w:tcMar>
            <w:vAlign w:val="center"/>
          </w:tcPr>
          <w:p>
            <w:r>
              <w:rPr>
                <w:b/>
                <w:sz w:val="16"/>
              </w:rPr>
              <w:t>Decision</w:t>
            </w:r>
          </w:p>
        </w:tc>
      </w:tr>
      <w:tr>
        <w:tc>
          <w:tcPr>
            <w:tcW w:type="dxa" w:w="5112"/>
            <w:tcMar>
              <w:top w:w="70" w:type="dxa"/>
              <w:start w:w="80" w:type="dxa"/>
              <w:bottom w:w="70" w:type="dxa"/>
              <w:end w:w="80" w:type="dxa"/>
            </w:tcMar>
            <w:vAlign w:val="top"/>
          </w:tcPr>
          <w:p>
            <w:r>
              <w:rPr>
                <w:sz w:val="15"/>
              </w:rPr>
              <w:t>Audit status</w:t>
            </w:r>
          </w:p>
        </w:tc>
        <w:tc>
          <w:tcPr>
            <w:tcW w:type="dxa" w:w="5112"/>
            <w:tcMar>
              <w:top w:w="70" w:type="dxa"/>
              <w:start w:w="80" w:type="dxa"/>
              <w:bottom w:w="70" w:type="dxa"/>
              <w:end w:w="80" w:type="dxa"/>
            </w:tcMar>
            <w:vAlign w:val="top"/>
          </w:tcPr>
          <w:p>
            <w:r>
              <w:rPr>
                <w:sz w:val="15"/>
              </w:rPr>
              <w:t>CONDITIONALLY READY: architecture coherent after explicit patch closure</w:t>
            </w:r>
          </w:p>
        </w:tc>
      </w:tr>
      <w:tr>
        <w:tc>
          <w:tcPr>
            <w:tcW w:type="dxa" w:w="5112"/>
            <w:tcMar>
              <w:top w:w="70" w:type="dxa"/>
              <w:start w:w="80" w:type="dxa"/>
              <w:bottom w:w="70" w:type="dxa"/>
              <w:end w:w="80" w:type="dxa"/>
            </w:tcMar>
            <w:vAlign w:val="top"/>
          </w:tcPr>
          <w:p>
            <w:r>
              <w:rPr>
                <w:sz w:val="15"/>
              </w:rPr>
              <w:t>Primary goal</w:t>
            </w:r>
          </w:p>
        </w:tc>
        <w:tc>
          <w:tcPr>
            <w:tcW w:type="dxa" w:w="5112"/>
            <w:tcMar>
              <w:top w:w="70" w:type="dxa"/>
              <w:start w:w="80" w:type="dxa"/>
              <w:bottom w:w="70" w:type="dxa"/>
              <w:end w:w="80" w:type="dxa"/>
            </w:tcMar>
            <w:vAlign w:val="top"/>
          </w:tcPr>
          <w:p>
            <w:r>
              <w:rPr>
                <w:sz w:val="15"/>
              </w:rPr>
              <w:t>Eliminate schema, state, provenance, API, tooling, and scope drift before code synthesis</w:t>
            </w:r>
          </w:p>
        </w:tc>
      </w:tr>
      <w:tr>
        <w:tc>
          <w:tcPr>
            <w:tcW w:type="dxa" w:w="5112"/>
            <w:tcMar>
              <w:top w:w="70" w:type="dxa"/>
              <w:start w:w="80" w:type="dxa"/>
              <w:bottom w:w="70" w:type="dxa"/>
              <w:end w:w="80" w:type="dxa"/>
            </w:tcMar>
            <w:vAlign w:val="top"/>
          </w:tcPr>
          <w:p>
            <w:r>
              <w:rPr>
                <w:sz w:val="15"/>
              </w:rPr>
              <w:t>Audit basis</w:t>
            </w:r>
          </w:p>
        </w:tc>
        <w:tc>
          <w:tcPr>
            <w:tcW w:type="dxa" w:w="5112"/>
            <w:tcMar>
              <w:top w:w="70" w:type="dxa"/>
              <w:start w:w="80" w:type="dxa"/>
              <w:bottom w:w="70" w:type="dxa"/>
              <w:end w:w="80" w:type="dxa"/>
            </w:tcMar>
            <w:vAlign w:val="top"/>
          </w:tcPr>
          <w:p>
            <w:r>
              <w:rPr>
                <w:sz w:val="15"/>
              </w:rPr>
              <w:t>Directly inspected accessible foundation artifacts; Document 1 source file was not directly accessible and was represented by the project handover and prior frozen decisions</w:t>
            </w:r>
          </w:p>
        </w:tc>
      </w:tr>
      <w:tr>
        <w:tc>
          <w:tcPr>
            <w:tcW w:type="dxa" w:w="5112"/>
            <w:tcMar>
              <w:top w:w="70" w:type="dxa"/>
              <w:start w:w="80" w:type="dxa"/>
              <w:bottom w:w="70" w:type="dxa"/>
              <w:end w:w="80" w:type="dxa"/>
            </w:tcMar>
            <w:vAlign w:val="top"/>
          </w:tcPr>
          <w:p>
            <w:r>
              <w:rPr>
                <w:sz w:val="15"/>
              </w:rPr>
              <w:t>Implementation gate</w:t>
            </w:r>
          </w:p>
        </w:tc>
        <w:tc>
          <w:tcPr>
            <w:tcW w:type="dxa" w:w="5112"/>
            <w:tcMar>
              <w:top w:w="70" w:type="dxa"/>
              <w:start w:w="80" w:type="dxa"/>
              <w:bottom w:w="70" w:type="dxa"/>
              <w:end w:w="80" w:type="dxa"/>
            </w:tcMar>
            <w:vAlign w:val="top"/>
          </w:tcPr>
          <w:p>
            <w:r>
              <w:rPr>
                <w:sz w:val="15"/>
              </w:rPr>
              <w:t>Document 13 must include the Master Patch Matrix and Golden Invariants verbatim or by repository reference</w:t>
            </w:r>
          </w:p>
        </w:tc>
      </w:tr>
    </w:tbl>
    <w:p>
      <w:pPr>
        <w:pStyle w:val="Heading1"/>
      </w:pPr>
      <w:r>
        <w:t>Executive Finding</w:t>
      </w:r>
    </w:p>
    <w:p>
      <w:pPr>
        <w:spacing w:after="60"/>
      </w:pPr>
      <w:r>
        <w:rPr>
          <w:b w:val="0"/>
        </w:rPr>
        <w:t>The SINNARA foundation remains structurally coherent. No redesign is required. However, the previous reconciliation review did not fully close the implementation-level drift introduced or exposed by Documents 9–12. The issues below are concrete enough to create schema/API mismatches or incorrect Claude Code behavior if they are carried into Phase 1.</w:t>
      </w:r>
    </w:p>
    <w:p>
      <w:pPr>
        <w:spacing w:after="60"/>
      </w:pPr>
      <w:r>
        <w:rPr>
          <w:b w:val="0"/>
        </w:rPr>
        <w:t>The audit therefore establishes a final pre-code contract. Some issues were already identified in the original reconciliation and are now restated as implementation locks. Others are newly identified cross-document defects.</w:t>
      </w:r>
    </w:p>
    <w:p>
      <w:pPr>
        <w:pStyle w:val="Heading1"/>
      </w:pPr>
      <w:r>
        <w:t>1. Audit Scope and Evidence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tcMar>
              <w:top w:w="70" w:type="dxa"/>
              <w:start w:w="80" w:type="dxa"/>
              <w:bottom w:w="70" w:type="dxa"/>
              <w:end w:w="80" w:type="dxa"/>
            </w:tcMar>
            <w:vAlign w:val="center"/>
          </w:tcPr>
          <w:p>
            <w:r>
              <w:rPr>
                <w:b/>
                <w:sz w:val="16"/>
              </w:rPr>
              <w:t>Source</w:t>
            </w:r>
          </w:p>
        </w:tc>
        <w:tc>
          <w:tcPr>
            <w:tcW w:type="dxa" w:w="3408"/>
            <w:shd w:fill="D9E2F3"/>
            <w:tcMar>
              <w:top w:w="70" w:type="dxa"/>
              <w:start w:w="80" w:type="dxa"/>
              <w:bottom w:w="70" w:type="dxa"/>
              <w:end w:w="80" w:type="dxa"/>
            </w:tcMar>
            <w:vAlign w:val="center"/>
          </w:tcPr>
          <w:p>
            <w:r>
              <w:rPr>
                <w:b/>
                <w:sz w:val="16"/>
              </w:rPr>
              <w:t>Role</w:t>
            </w:r>
          </w:p>
        </w:tc>
        <w:tc>
          <w:tcPr>
            <w:tcW w:type="dxa" w:w="3408"/>
            <w:shd w:fill="D9E2F3"/>
            <w:tcMar>
              <w:top w:w="70" w:type="dxa"/>
              <w:start w:w="80" w:type="dxa"/>
              <w:bottom w:w="70" w:type="dxa"/>
              <w:end w:w="80" w:type="dxa"/>
            </w:tcMar>
            <w:vAlign w:val="center"/>
          </w:tcPr>
          <w:p>
            <w:r>
              <w:rPr>
                <w:b/>
                <w:sz w:val="16"/>
              </w:rPr>
              <w:t>Audit treatment</w:t>
            </w:r>
          </w:p>
        </w:tc>
      </w:tr>
      <w:tr>
        <w:tc>
          <w:tcPr>
            <w:tcW w:type="dxa" w:w="3408"/>
            <w:tcMar>
              <w:top w:w="70" w:type="dxa"/>
              <w:start w:w="80" w:type="dxa"/>
              <w:bottom w:w="70" w:type="dxa"/>
              <w:end w:w="80" w:type="dxa"/>
            </w:tcMar>
            <w:vAlign w:val="top"/>
          </w:tcPr>
          <w:p>
            <w:r>
              <w:rPr>
                <w:sz w:val="15"/>
              </w:rPr>
              <w:t>Document 1: MVP Product Blueprint</w:t>
            </w:r>
          </w:p>
        </w:tc>
        <w:tc>
          <w:tcPr>
            <w:tcW w:type="dxa" w:w="3408"/>
            <w:tcMar>
              <w:top w:w="70" w:type="dxa"/>
              <w:start w:w="80" w:type="dxa"/>
              <w:bottom w:w="70" w:type="dxa"/>
              <w:end w:w="80" w:type="dxa"/>
            </w:tcMar>
            <w:vAlign w:val="top"/>
          </w:tcPr>
          <w:p>
            <w:r>
              <w:rPr>
                <w:sz w:val="15"/>
              </w:rPr>
              <w:t>Product authority</w:t>
            </w:r>
          </w:p>
        </w:tc>
        <w:tc>
          <w:tcPr>
            <w:tcW w:type="dxa" w:w="3408"/>
            <w:tcMar>
              <w:top w:w="70" w:type="dxa"/>
              <w:start w:w="80" w:type="dxa"/>
              <w:bottom w:w="70" w:type="dxa"/>
              <w:end w:w="80" w:type="dxa"/>
            </w:tcMar>
            <w:vAlign w:val="top"/>
          </w:tcPr>
          <w:p>
            <w:r>
              <w:rPr>
                <w:sz w:val="15"/>
              </w:rPr>
              <w:t>Original source file not directly accessible in current file index; validated through full project handover and previously frozen product decisions</w:t>
            </w:r>
          </w:p>
        </w:tc>
      </w:tr>
      <w:tr>
        <w:tc>
          <w:tcPr>
            <w:tcW w:type="dxa" w:w="3408"/>
            <w:tcMar>
              <w:top w:w="70" w:type="dxa"/>
              <w:start w:w="80" w:type="dxa"/>
              <w:bottom w:w="70" w:type="dxa"/>
              <w:end w:w="80" w:type="dxa"/>
            </w:tcMar>
            <w:vAlign w:val="top"/>
          </w:tcPr>
          <w:p>
            <w:r>
              <w:rPr>
                <w:sz w:val="15"/>
              </w:rPr>
              <w:t>Document 2: Technical Architecture</w:t>
            </w:r>
          </w:p>
        </w:tc>
        <w:tc>
          <w:tcPr>
            <w:tcW w:type="dxa" w:w="3408"/>
            <w:tcMar>
              <w:top w:w="70" w:type="dxa"/>
              <w:start w:w="80" w:type="dxa"/>
              <w:bottom w:w="70" w:type="dxa"/>
              <w:end w:w="80" w:type="dxa"/>
            </w:tcMar>
            <w:vAlign w:val="top"/>
          </w:tcPr>
          <w:p>
            <w:r>
              <w:rPr>
                <w:sz w:val="15"/>
              </w:rPr>
              <w:t>System architecture</w:t>
            </w:r>
          </w:p>
        </w:tc>
        <w:tc>
          <w:tcPr>
            <w:tcW w:type="dxa" w:w="3408"/>
            <w:tcMar>
              <w:top w:w="70" w:type="dxa"/>
              <w:start w:w="80" w:type="dxa"/>
              <w:bottom w:w="70" w:type="dxa"/>
              <w:end w:w="80" w:type="dxa"/>
            </w:tcMar>
            <w:vAlign w:val="top"/>
          </w:tcPr>
          <w:p>
            <w:r>
              <w:rPr>
                <w:sz w:val="15"/>
              </w:rPr>
              <w:t>Directly cross-validated</w:t>
            </w:r>
          </w:p>
        </w:tc>
      </w:tr>
      <w:tr>
        <w:tc>
          <w:tcPr>
            <w:tcW w:type="dxa" w:w="3408"/>
            <w:tcMar>
              <w:top w:w="70" w:type="dxa"/>
              <w:start w:w="80" w:type="dxa"/>
              <w:bottom w:w="70" w:type="dxa"/>
              <w:end w:w="80" w:type="dxa"/>
            </w:tcMar>
            <w:vAlign w:val="top"/>
          </w:tcPr>
          <w:p>
            <w:r>
              <w:rPr>
                <w:sz w:val="15"/>
              </w:rPr>
              <w:t>Document 3: Data Model &amp; Database Schema</w:t>
            </w:r>
          </w:p>
        </w:tc>
        <w:tc>
          <w:tcPr>
            <w:tcW w:type="dxa" w:w="3408"/>
            <w:tcMar>
              <w:top w:w="70" w:type="dxa"/>
              <w:start w:w="80" w:type="dxa"/>
              <w:bottom w:w="70" w:type="dxa"/>
              <w:end w:w="80" w:type="dxa"/>
            </w:tcMar>
            <w:vAlign w:val="top"/>
          </w:tcPr>
          <w:p>
            <w:r>
              <w:rPr>
                <w:sz w:val="15"/>
              </w:rPr>
              <w:t>Canonical persistence model</w:t>
            </w:r>
          </w:p>
        </w:tc>
        <w:tc>
          <w:tcPr>
            <w:tcW w:type="dxa" w:w="3408"/>
            <w:tcMar>
              <w:top w:w="70" w:type="dxa"/>
              <w:start w:w="80" w:type="dxa"/>
              <w:bottom w:w="70" w:type="dxa"/>
              <w:end w:w="80" w:type="dxa"/>
            </w:tcMar>
            <w:vAlign w:val="top"/>
          </w:tcPr>
          <w:p>
            <w:r>
              <w:rPr>
                <w:sz w:val="15"/>
              </w:rPr>
              <w:t>Directly cross-validated</w:t>
            </w:r>
          </w:p>
        </w:tc>
      </w:tr>
      <w:tr>
        <w:tc>
          <w:tcPr>
            <w:tcW w:type="dxa" w:w="3408"/>
            <w:tcMar>
              <w:top w:w="70" w:type="dxa"/>
              <w:start w:w="80" w:type="dxa"/>
              <w:bottom w:w="70" w:type="dxa"/>
              <w:end w:w="80" w:type="dxa"/>
            </w:tcMar>
            <w:vAlign w:val="top"/>
          </w:tcPr>
          <w:p>
            <w:r>
              <w:rPr>
                <w:sz w:val="15"/>
              </w:rPr>
              <w:t>Document 4: AI Architecture &amp; Prompt/Data Contracts</w:t>
            </w:r>
          </w:p>
        </w:tc>
        <w:tc>
          <w:tcPr>
            <w:tcW w:type="dxa" w:w="3408"/>
            <w:tcMar>
              <w:top w:w="70" w:type="dxa"/>
              <w:start w:w="80" w:type="dxa"/>
              <w:bottom w:w="70" w:type="dxa"/>
              <w:end w:w="80" w:type="dxa"/>
            </w:tcMar>
            <w:vAlign w:val="top"/>
          </w:tcPr>
          <w:p>
            <w:r>
              <w:rPr>
                <w:sz w:val="15"/>
              </w:rPr>
              <w:t>AI gateway/contracts</w:t>
            </w:r>
          </w:p>
        </w:tc>
        <w:tc>
          <w:tcPr>
            <w:tcW w:type="dxa" w:w="3408"/>
            <w:tcMar>
              <w:top w:w="70" w:type="dxa"/>
              <w:start w:w="80" w:type="dxa"/>
              <w:bottom w:w="70" w:type="dxa"/>
              <w:end w:w="80" w:type="dxa"/>
            </w:tcMar>
            <w:vAlign w:val="top"/>
          </w:tcPr>
          <w:p>
            <w:r>
              <w:rPr>
                <w:sz w:val="15"/>
              </w:rPr>
              <w:t>Directly cross-validated</w:t>
            </w:r>
          </w:p>
        </w:tc>
      </w:tr>
      <w:tr>
        <w:tc>
          <w:tcPr>
            <w:tcW w:type="dxa" w:w="3408"/>
            <w:tcMar>
              <w:top w:w="70" w:type="dxa"/>
              <w:start w:w="80" w:type="dxa"/>
              <w:bottom w:w="70" w:type="dxa"/>
              <w:end w:w="80" w:type="dxa"/>
            </w:tcMar>
            <w:vAlign w:val="top"/>
          </w:tcPr>
          <w:p>
            <w:r>
              <w:rPr>
                <w:sz w:val="15"/>
              </w:rPr>
              <w:t>Document 5: Job Intelligence Architecture</w:t>
            </w:r>
          </w:p>
        </w:tc>
        <w:tc>
          <w:tcPr>
            <w:tcW w:type="dxa" w:w="3408"/>
            <w:tcMar>
              <w:top w:w="70" w:type="dxa"/>
              <w:start w:w="80" w:type="dxa"/>
              <w:bottom w:w="70" w:type="dxa"/>
              <w:end w:w="80" w:type="dxa"/>
            </w:tcMar>
            <w:vAlign w:val="top"/>
          </w:tcPr>
          <w:p>
            <w:r>
              <w:rPr>
                <w:sz w:val="15"/>
              </w:rPr>
              <w:t>Opportunity intelligence</w:t>
            </w:r>
          </w:p>
        </w:tc>
        <w:tc>
          <w:tcPr>
            <w:tcW w:type="dxa" w:w="3408"/>
            <w:tcMar>
              <w:top w:w="70" w:type="dxa"/>
              <w:start w:w="80" w:type="dxa"/>
              <w:bottom w:w="70" w:type="dxa"/>
              <w:end w:w="80" w:type="dxa"/>
            </w:tcMar>
            <w:vAlign w:val="top"/>
          </w:tcPr>
          <w:p>
            <w:r>
              <w:rPr>
                <w:sz w:val="15"/>
              </w:rPr>
              <w:t>Directly cross-validated</w:t>
            </w:r>
          </w:p>
        </w:tc>
      </w:tr>
      <w:tr>
        <w:tc>
          <w:tcPr>
            <w:tcW w:type="dxa" w:w="3408"/>
            <w:tcMar>
              <w:top w:w="70" w:type="dxa"/>
              <w:start w:w="80" w:type="dxa"/>
              <w:bottom w:w="70" w:type="dxa"/>
              <w:end w:w="80" w:type="dxa"/>
            </w:tcMar>
            <w:vAlign w:val="top"/>
          </w:tcPr>
          <w:p>
            <w:r>
              <w:rPr>
                <w:sz w:val="15"/>
              </w:rPr>
              <w:t>Document 6: UX/Product Experience</w:t>
            </w:r>
          </w:p>
        </w:tc>
        <w:tc>
          <w:tcPr>
            <w:tcW w:type="dxa" w:w="3408"/>
            <w:tcMar>
              <w:top w:w="70" w:type="dxa"/>
              <w:start w:w="80" w:type="dxa"/>
              <w:bottom w:w="70" w:type="dxa"/>
              <w:end w:w="80" w:type="dxa"/>
            </w:tcMar>
            <w:vAlign w:val="top"/>
          </w:tcPr>
          <w:p>
            <w:r>
              <w:rPr>
                <w:sz w:val="15"/>
              </w:rPr>
              <w:t>Frontend/data presentation</w:t>
            </w:r>
          </w:p>
        </w:tc>
        <w:tc>
          <w:tcPr>
            <w:tcW w:type="dxa" w:w="3408"/>
            <w:tcMar>
              <w:top w:w="70" w:type="dxa"/>
              <w:start w:w="80" w:type="dxa"/>
              <w:bottom w:w="70" w:type="dxa"/>
              <w:end w:w="80" w:type="dxa"/>
            </w:tcMar>
            <w:vAlign w:val="top"/>
          </w:tcPr>
          <w:p>
            <w:r>
              <w:rPr>
                <w:sz w:val="15"/>
              </w:rPr>
              <w:t>Directly cross-validated</w:t>
            </w:r>
          </w:p>
        </w:tc>
      </w:tr>
      <w:tr>
        <w:tc>
          <w:tcPr>
            <w:tcW w:type="dxa" w:w="3408"/>
            <w:tcMar>
              <w:top w:w="70" w:type="dxa"/>
              <w:start w:w="80" w:type="dxa"/>
              <w:bottom w:w="70" w:type="dxa"/>
              <w:end w:w="80" w:type="dxa"/>
            </w:tcMar>
            <w:vAlign w:val="top"/>
          </w:tcPr>
          <w:p>
            <w:r>
              <w:rPr>
                <w:sz w:val="15"/>
              </w:rPr>
              <w:t>Document 7: Growth/Distribution</w:t>
            </w:r>
          </w:p>
        </w:tc>
        <w:tc>
          <w:tcPr>
            <w:tcW w:type="dxa" w:w="3408"/>
            <w:tcMar>
              <w:top w:w="70" w:type="dxa"/>
              <w:start w:w="80" w:type="dxa"/>
              <w:bottom w:w="70" w:type="dxa"/>
              <w:end w:w="80" w:type="dxa"/>
            </w:tcMar>
            <w:vAlign w:val="top"/>
          </w:tcPr>
          <w:p>
            <w:r>
              <w:rPr>
                <w:sz w:val="15"/>
              </w:rPr>
              <w:t>Downstream consumer of opportunity data</w:t>
            </w:r>
          </w:p>
        </w:tc>
        <w:tc>
          <w:tcPr>
            <w:tcW w:type="dxa" w:w="3408"/>
            <w:tcMar>
              <w:top w:w="70" w:type="dxa"/>
              <w:start w:w="80" w:type="dxa"/>
              <w:bottom w:w="70" w:type="dxa"/>
              <w:end w:w="80" w:type="dxa"/>
            </w:tcMar>
            <w:vAlign w:val="top"/>
          </w:tcPr>
          <w:p>
            <w:r>
              <w:rPr>
                <w:sz w:val="15"/>
              </w:rPr>
              <w:t>Cross-validated for canonical data and notification dependencies</w:t>
            </w:r>
          </w:p>
        </w:tc>
      </w:tr>
      <w:tr>
        <w:tc>
          <w:tcPr>
            <w:tcW w:type="dxa" w:w="3408"/>
            <w:tcMar>
              <w:top w:w="70" w:type="dxa"/>
              <w:start w:w="80" w:type="dxa"/>
              <w:bottom w:w="70" w:type="dxa"/>
              <w:end w:w="80" w:type="dxa"/>
            </w:tcMar>
            <w:vAlign w:val="top"/>
          </w:tcPr>
          <w:p>
            <w:r>
              <w:rPr>
                <w:sz w:val="15"/>
              </w:rPr>
              <w:t>Document 8: Security/Privacy/Trust</w:t>
            </w:r>
          </w:p>
        </w:tc>
        <w:tc>
          <w:tcPr>
            <w:tcW w:type="dxa" w:w="3408"/>
            <w:tcMar>
              <w:top w:w="70" w:type="dxa"/>
              <w:start w:w="80" w:type="dxa"/>
              <w:bottom w:w="70" w:type="dxa"/>
              <w:end w:w="80" w:type="dxa"/>
            </w:tcMar>
            <w:vAlign w:val="top"/>
          </w:tcPr>
          <w:p>
            <w:r>
              <w:rPr>
                <w:sz w:val="15"/>
              </w:rPr>
              <w:t>Security authority</w:t>
            </w:r>
          </w:p>
        </w:tc>
        <w:tc>
          <w:tcPr>
            <w:tcW w:type="dxa" w:w="3408"/>
            <w:tcMar>
              <w:top w:w="70" w:type="dxa"/>
              <w:start w:w="80" w:type="dxa"/>
              <w:bottom w:w="70" w:type="dxa"/>
              <w:end w:w="80" w:type="dxa"/>
            </w:tcMar>
            <w:vAlign w:val="top"/>
          </w:tcPr>
          <w:p>
            <w:r>
              <w:rPr>
                <w:sz w:val="15"/>
              </w:rPr>
              <w:t>Directly cross-validated</w:t>
            </w:r>
          </w:p>
        </w:tc>
      </w:tr>
      <w:tr>
        <w:tc>
          <w:tcPr>
            <w:tcW w:type="dxa" w:w="3408"/>
            <w:tcMar>
              <w:top w:w="70" w:type="dxa"/>
              <w:start w:w="80" w:type="dxa"/>
              <w:bottom w:w="70" w:type="dxa"/>
              <w:end w:w="80" w:type="dxa"/>
            </w:tcMar>
            <w:vAlign w:val="top"/>
          </w:tcPr>
          <w:p>
            <w:r>
              <w:rPr>
                <w:sz w:val="15"/>
              </w:rPr>
              <w:t>Document 9: Roadmap/Testing</w:t>
            </w:r>
          </w:p>
        </w:tc>
        <w:tc>
          <w:tcPr>
            <w:tcW w:type="dxa" w:w="3408"/>
            <w:tcMar>
              <w:top w:w="70" w:type="dxa"/>
              <w:start w:w="80" w:type="dxa"/>
              <w:bottom w:w="70" w:type="dxa"/>
              <w:end w:w="80" w:type="dxa"/>
            </w:tcMar>
            <w:vAlign w:val="top"/>
          </w:tcPr>
          <w:p>
            <w:r>
              <w:rPr>
                <w:sz w:val="15"/>
              </w:rPr>
              <w:t>Executable delivery gates</w:t>
            </w:r>
          </w:p>
        </w:tc>
        <w:tc>
          <w:tcPr>
            <w:tcW w:type="dxa" w:w="3408"/>
            <w:tcMar>
              <w:top w:w="70" w:type="dxa"/>
              <w:start w:w="80" w:type="dxa"/>
              <w:bottom w:w="70" w:type="dxa"/>
              <w:end w:w="80" w:type="dxa"/>
            </w:tcMar>
            <w:vAlign w:val="top"/>
          </w:tcPr>
          <w:p>
            <w:r>
              <w:rPr>
                <w:sz w:val="15"/>
              </w:rPr>
              <w:t>Directly cross-validated</w:t>
            </w:r>
          </w:p>
        </w:tc>
      </w:tr>
      <w:tr>
        <w:tc>
          <w:tcPr>
            <w:tcW w:type="dxa" w:w="3408"/>
            <w:tcMar>
              <w:top w:w="70" w:type="dxa"/>
              <w:start w:w="80" w:type="dxa"/>
              <w:bottom w:w="70" w:type="dxa"/>
              <w:end w:w="80" w:type="dxa"/>
            </w:tcMar>
            <w:vAlign w:val="top"/>
          </w:tcPr>
          <w:p>
            <w:r>
              <w:rPr>
                <w:sz w:val="15"/>
              </w:rPr>
              <w:t>Document 10: Claude Code Project Architecture</w:t>
            </w:r>
          </w:p>
        </w:tc>
        <w:tc>
          <w:tcPr>
            <w:tcW w:type="dxa" w:w="3408"/>
            <w:tcMar>
              <w:top w:w="70" w:type="dxa"/>
              <w:start w:w="80" w:type="dxa"/>
              <w:bottom w:w="70" w:type="dxa"/>
              <w:end w:w="80" w:type="dxa"/>
            </w:tcMar>
            <w:vAlign w:val="top"/>
          </w:tcPr>
          <w:p>
            <w:r>
              <w:rPr>
                <w:sz w:val="15"/>
              </w:rPr>
              <w:t>Workspace/tooling contract</w:t>
            </w:r>
          </w:p>
        </w:tc>
        <w:tc>
          <w:tcPr>
            <w:tcW w:type="dxa" w:w="3408"/>
            <w:tcMar>
              <w:top w:w="70" w:type="dxa"/>
              <w:start w:w="80" w:type="dxa"/>
              <w:bottom w:w="70" w:type="dxa"/>
              <w:end w:w="80" w:type="dxa"/>
            </w:tcMar>
            <w:vAlign w:val="top"/>
          </w:tcPr>
          <w:p>
            <w:r>
              <w:rPr>
                <w:sz w:val="15"/>
              </w:rPr>
              <w:t>Directly cross-validated</w:t>
            </w:r>
          </w:p>
        </w:tc>
      </w:tr>
      <w:tr>
        <w:tc>
          <w:tcPr>
            <w:tcW w:type="dxa" w:w="3408"/>
            <w:tcMar>
              <w:top w:w="70" w:type="dxa"/>
              <w:start w:w="80" w:type="dxa"/>
              <w:bottom w:w="70" w:type="dxa"/>
              <w:end w:w="80" w:type="dxa"/>
            </w:tcMar>
            <w:vAlign w:val="top"/>
          </w:tcPr>
          <w:p>
            <w:r>
              <w:rPr>
                <w:sz w:val="15"/>
              </w:rPr>
              <w:t>Document 11: Master Claude Instructions</w:t>
            </w:r>
          </w:p>
        </w:tc>
        <w:tc>
          <w:tcPr>
            <w:tcW w:type="dxa" w:w="3408"/>
            <w:tcMar>
              <w:top w:w="70" w:type="dxa"/>
              <w:start w:w="80" w:type="dxa"/>
              <w:bottom w:w="70" w:type="dxa"/>
              <w:end w:w="80" w:type="dxa"/>
            </w:tcMar>
            <w:vAlign w:val="top"/>
          </w:tcPr>
          <w:p>
            <w:r>
              <w:rPr>
                <w:sz w:val="15"/>
              </w:rPr>
              <w:t>Root operating constitution</w:t>
            </w:r>
          </w:p>
        </w:tc>
        <w:tc>
          <w:tcPr>
            <w:tcW w:type="dxa" w:w="3408"/>
            <w:tcMar>
              <w:top w:w="70" w:type="dxa"/>
              <w:start w:w="80" w:type="dxa"/>
              <w:bottom w:w="70" w:type="dxa"/>
              <w:end w:w="80" w:type="dxa"/>
            </w:tcMar>
            <w:vAlign w:val="top"/>
          </w:tcPr>
          <w:p>
            <w:r>
              <w:rPr>
                <w:sz w:val="15"/>
              </w:rPr>
              <w:t>Directly cross-validated</w:t>
            </w:r>
          </w:p>
        </w:tc>
      </w:tr>
      <w:tr>
        <w:tc>
          <w:tcPr>
            <w:tcW w:type="dxa" w:w="3408"/>
            <w:tcMar>
              <w:top w:w="70" w:type="dxa"/>
              <w:start w:w="80" w:type="dxa"/>
              <w:bottom w:w="70" w:type="dxa"/>
              <w:end w:w="80" w:type="dxa"/>
            </w:tcMar>
            <w:vAlign w:val="top"/>
          </w:tcPr>
          <w:p>
            <w:r>
              <w:rPr>
                <w:sz w:val="15"/>
              </w:rPr>
              <w:t>Document 12: Claude Skills Architecture</w:t>
            </w:r>
          </w:p>
        </w:tc>
        <w:tc>
          <w:tcPr>
            <w:tcW w:type="dxa" w:w="3408"/>
            <w:tcMar>
              <w:top w:w="70" w:type="dxa"/>
              <w:start w:w="80" w:type="dxa"/>
              <w:bottom w:w="70" w:type="dxa"/>
              <w:end w:w="80" w:type="dxa"/>
            </w:tcMar>
            <w:vAlign w:val="top"/>
          </w:tcPr>
          <w:p>
            <w:r>
              <w:rPr>
                <w:sz w:val="15"/>
              </w:rPr>
              <w:t>Domain skill system</w:t>
            </w:r>
          </w:p>
        </w:tc>
        <w:tc>
          <w:tcPr>
            <w:tcW w:type="dxa" w:w="3408"/>
            <w:tcMar>
              <w:top w:w="70" w:type="dxa"/>
              <w:start w:w="80" w:type="dxa"/>
              <w:bottom w:w="70" w:type="dxa"/>
              <w:end w:w="80" w:type="dxa"/>
            </w:tcMar>
            <w:vAlign w:val="top"/>
          </w:tcPr>
          <w:p>
            <w:r>
              <w:rPr>
                <w:sz w:val="15"/>
              </w:rPr>
              <w:t>Directly cross-validated against current artifact and official Skills model</w:t>
            </w:r>
          </w:p>
        </w:tc>
      </w:tr>
      <w:tr>
        <w:tc>
          <w:tcPr>
            <w:tcW w:type="dxa" w:w="3408"/>
            <w:tcMar>
              <w:top w:w="70" w:type="dxa"/>
              <w:start w:w="80" w:type="dxa"/>
              <w:bottom w:w="70" w:type="dxa"/>
              <w:end w:w="80" w:type="dxa"/>
            </w:tcMar>
            <w:vAlign w:val="top"/>
          </w:tcPr>
          <w:p>
            <w:r>
              <w:rPr>
                <w:sz w:val="15"/>
              </w:rPr>
              <w:t>Foundation Reconciliation Review v1.0</w:t>
            </w:r>
          </w:p>
        </w:tc>
        <w:tc>
          <w:tcPr>
            <w:tcW w:type="dxa" w:w="3408"/>
            <w:tcMar>
              <w:top w:w="70" w:type="dxa"/>
              <w:start w:w="80" w:type="dxa"/>
              <w:bottom w:w="70" w:type="dxa"/>
              <w:end w:w="80" w:type="dxa"/>
            </w:tcMar>
            <w:vAlign w:val="top"/>
          </w:tcPr>
          <w:p>
            <w:r>
              <w:rPr>
                <w:sz w:val="15"/>
              </w:rPr>
              <w:t>Prior decision baseline</w:t>
            </w:r>
          </w:p>
        </w:tc>
        <w:tc>
          <w:tcPr>
            <w:tcW w:type="dxa" w:w="3408"/>
            <w:tcMar>
              <w:top w:w="70" w:type="dxa"/>
              <w:start w:w="80" w:type="dxa"/>
              <w:bottom w:w="70" w:type="dxa"/>
              <w:end w:w="80" w:type="dxa"/>
            </w:tcMar>
            <w:vAlign w:val="top"/>
          </w:tcPr>
          <w:p>
            <w:r>
              <w:rPr>
                <w:sz w:val="15"/>
              </w:rPr>
              <w:t>Directly cross-validated; prior amendments treated as accepted unless superseded here</w:t>
            </w:r>
          </w:p>
        </w:tc>
      </w:tr>
    </w:tbl>
    <w:p>
      <w:pPr>
        <w:pStyle w:val="Heading1"/>
      </w:pPr>
      <w:r>
        <w:t>2. Severity and Resolution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tcMar>
              <w:top w:w="70" w:type="dxa"/>
              <w:start w:w="80" w:type="dxa"/>
              <w:bottom w:w="70" w:type="dxa"/>
              <w:end w:w="80" w:type="dxa"/>
            </w:tcMar>
            <w:vAlign w:val="center"/>
          </w:tcPr>
          <w:p>
            <w:r>
              <w:rPr>
                <w:b/>
                <w:sz w:val="16"/>
              </w:rPr>
              <w:t>Class</w:t>
            </w:r>
          </w:p>
        </w:tc>
        <w:tc>
          <w:tcPr>
            <w:tcW w:type="dxa" w:w="3408"/>
            <w:shd w:fill="D9E2F3"/>
            <w:tcMar>
              <w:top w:w="70" w:type="dxa"/>
              <w:start w:w="80" w:type="dxa"/>
              <w:bottom w:w="70" w:type="dxa"/>
              <w:end w:w="80" w:type="dxa"/>
            </w:tcMar>
            <w:vAlign w:val="center"/>
          </w:tcPr>
          <w:p>
            <w:r>
              <w:rPr>
                <w:b/>
                <w:sz w:val="16"/>
              </w:rPr>
              <w:t>Meaning</w:t>
            </w:r>
          </w:p>
        </w:tc>
        <w:tc>
          <w:tcPr>
            <w:tcW w:type="dxa" w:w="3408"/>
            <w:shd w:fill="D9E2F3"/>
            <w:tcMar>
              <w:top w:w="70" w:type="dxa"/>
              <w:start w:w="80" w:type="dxa"/>
              <w:bottom w:w="70" w:type="dxa"/>
              <w:end w:w="80" w:type="dxa"/>
            </w:tcMar>
            <w:vAlign w:val="center"/>
          </w:tcPr>
          <w:p>
            <w:r>
              <w:rPr>
                <w:b/>
                <w:sz w:val="16"/>
              </w:rPr>
              <w:t>Required treatment</w:t>
            </w:r>
          </w:p>
        </w:tc>
      </w:tr>
      <w:tr>
        <w:tc>
          <w:tcPr>
            <w:tcW w:type="dxa" w:w="3408"/>
            <w:tcMar>
              <w:top w:w="70" w:type="dxa"/>
              <w:start w:w="80" w:type="dxa"/>
              <w:bottom w:w="70" w:type="dxa"/>
              <w:end w:w="80" w:type="dxa"/>
            </w:tcMar>
            <w:vAlign w:val="top"/>
          </w:tcPr>
          <w:p>
            <w:r>
              <w:rPr>
                <w:sz w:val="15"/>
              </w:rPr>
              <w:t>BLOCKER</w:t>
            </w:r>
          </w:p>
        </w:tc>
        <w:tc>
          <w:tcPr>
            <w:tcW w:type="dxa" w:w="3408"/>
            <w:tcMar>
              <w:top w:w="70" w:type="dxa"/>
              <w:start w:w="80" w:type="dxa"/>
              <w:bottom w:w="70" w:type="dxa"/>
              <w:end w:w="80" w:type="dxa"/>
            </w:tcMar>
            <w:vAlign w:val="top"/>
          </w:tcPr>
          <w:p>
            <w:r>
              <w:rPr>
                <w:sz w:val="15"/>
              </w:rPr>
              <w:t>Can produce incorrect state, security boundary, schema, or implementation path in Phase 1</w:t>
            </w:r>
          </w:p>
        </w:tc>
        <w:tc>
          <w:tcPr>
            <w:tcW w:type="dxa" w:w="3408"/>
            <w:tcMar>
              <w:top w:w="70" w:type="dxa"/>
              <w:start w:w="80" w:type="dxa"/>
              <w:bottom w:w="70" w:type="dxa"/>
              <w:end w:w="80" w:type="dxa"/>
            </w:tcMar>
            <w:vAlign w:val="top"/>
          </w:tcPr>
          <w:p>
            <w:r>
              <w:rPr>
                <w:sz w:val="15"/>
              </w:rPr>
              <w:t>Must be patched before Document 13 execution</w:t>
            </w:r>
          </w:p>
        </w:tc>
      </w:tr>
      <w:tr>
        <w:tc>
          <w:tcPr>
            <w:tcW w:type="dxa" w:w="3408"/>
            <w:tcMar>
              <w:top w:w="70" w:type="dxa"/>
              <w:start w:w="80" w:type="dxa"/>
              <w:bottom w:w="70" w:type="dxa"/>
              <w:end w:w="80" w:type="dxa"/>
            </w:tcMar>
            <w:vAlign w:val="top"/>
          </w:tcPr>
          <w:p>
            <w:r>
              <w:rPr>
                <w:sz w:val="15"/>
              </w:rPr>
              <w:t>HIGH</w:t>
            </w:r>
          </w:p>
        </w:tc>
        <w:tc>
          <w:tcPr>
            <w:tcW w:type="dxa" w:w="3408"/>
            <w:tcMar>
              <w:top w:w="70" w:type="dxa"/>
              <w:start w:w="80" w:type="dxa"/>
              <w:bottom w:w="70" w:type="dxa"/>
              <w:end w:w="80" w:type="dxa"/>
            </w:tcMar>
            <w:vAlign w:val="top"/>
          </w:tcPr>
          <w:p>
            <w:r>
              <w:rPr>
                <w:sz w:val="15"/>
              </w:rPr>
              <w:t>Strong contract drift likely to cause implementation divergence</w:t>
            </w:r>
          </w:p>
        </w:tc>
        <w:tc>
          <w:tcPr>
            <w:tcW w:type="dxa" w:w="3408"/>
            <w:tcMar>
              <w:top w:w="70" w:type="dxa"/>
              <w:start w:w="80" w:type="dxa"/>
              <w:bottom w:w="70" w:type="dxa"/>
              <w:end w:w="80" w:type="dxa"/>
            </w:tcMar>
            <w:vAlign w:val="top"/>
          </w:tcPr>
          <w:p>
            <w:r>
              <w:rPr>
                <w:sz w:val="15"/>
              </w:rPr>
              <w:t>Patch in Document 13 and canonical-contracts before coding</w:t>
            </w:r>
          </w:p>
        </w:tc>
      </w:tr>
      <w:tr>
        <w:tc>
          <w:tcPr>
            <w:tcW w:type="dxa" w:w="3408"/>
            <w:tcMar>
              <w:top w:w="70" w:type="dxa"/>
              <w:start w:w="80" w:type="dxa"/>
              <w:bottom w:w="70" w:type="dxa"/>
              <w:end w:w="80" w:type="dxa"/>
            </w:tcMar>
            <w:vAlign w:val="top"/>
          </w:tcPr>
          <w:p>
            <w:r>
              <w:rPr>
                <w:sz w:val="15"/>
              </w:rPr>
              <w:t>MEDIUM</w:t>
            </w:r>
          </w:p>
        </w:tc>
        <w:tc>
          <w:tcPr>
            <w:tcW w:type="dxa" w:w="3408"/>
            <w:tcMar>
              <w:top w:w="70" w:type="dxa"/>
              <w:start w:w="80" w:type="dxa"/>
              <w:bottom w:w="70" w:type="dxa"/>
              <w:end w:w="80" w:type="dxa"/>
            </w:tcMar>
            <w:vAlign w:val="top"/>
          </w:tcPr>
          <w:p>
            <w:r>
              <w:rPr>
                <w:sz w:val="15"/>
              </w:rPr>
              <w:t>Terminology, endpoint, or maintainability drift</w:t>
            </w:r>
          </w:p>
        </w:tc>
        <w:tc>
          <w:tcPr>
            <w:tcW w:type="dxa" w:w="3408"/>
            <w:tcMar>
              <w:top w:w="70" w:type="dxa"/>
              <w:start w:w="80" w:type="dxa"/>
              <w:bottom w:w="70" w:type="dxa"/>
              <w:end w:w="80" w:type="dxa"/>
            </w:tcMar>
            <w:vAlign w:val="top"/>
          </w:tcPr>
          <w:p>
            <w:r>
              <w:rPr>
                <w:sz w:val="15"/>
              </w:rPr>
              <w:t>Freeze before implementation; may be documentation-only if no runtime effect</w:t>
            </w:r>
          </w:p>
        </w:tc>
      </w:tr>
      <w:tr>
        <w:tc>
          <w:tcPr>
            <w:tcW w:type="dxa" w:w="3408"/>
            <w:tcMar>
              <w:top w:w="70" w:type="dxa"/>
              <w:start w:w="80" w:type="dxa"/>
              <w:bottom w:w="70" w:type="dxa"/>
              <w:end w:w="80" w:type="dxa"/>
            </w:tcMar>
            <w:vAlign w:val="top"/>
          </w:tcPr>
          <w:p>
            <w:r>
              <w:rPr>
                <w:sz w:val="15"/>
              </w:rPr>
              <w:t>LOW</w:t>
            </w:r>
          </w:p>
        </w:tc>
        <w:tc>
          <w:tcPr>
            <w:tcW w:type="dxa" w:w="3408"/>
            <w:tcMar>
              <w:top w:w="70" w:type="dxa"/>
              <w:start w:w="80" w:type="dxa"/>
              <w:bottom w:w="70" w:type="dxa"/>
              <w:end w:w="80" w:type="dxa"/>
            </w:tcMar>
            <w:vAlign w:val="top"/>
          </w:tcPr>
          <w:p>
            <w:r>
              <w:rPr>
                <w:sz w:val="15"/>
              </w:rPr>
              <w:t>Historical or explanatory inconsistency with no runtime effect</w:t>
            </w:r>
          </w:p>
        </w:tc>
        <w:tc>
          <w:tcPr>
            <w:tcW w:type="dxa" w:w="3408"/>
            <w:tcMar>
              <w:top w:w="70" w:type="dxa"/>
              <w:start w:w="80" w:type="dxa"/>
              <w:bottom w:w="70" w:type="dxa"/>
              <w:end w:w="80" w:type="dxa"/>
            </w:tcMar>
            <w:vAlign w:val="top"/>
          </w:tcPr>
          <w:p>
            <w:r>
              <w:rPr>
                <w:sz w:val="15"/>
              </w:rPr>
              <w:t>Normalize when touching the document</w:t>
            </w:r>
          </w:p>
        </w:tc>
      </w:tr>
    </w:tbl>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2F3"/>
            <w:tcMar>
              <w:top w:w="70" w:type="dxa"/>
              <w:start w:w="80" w:type="dxa"/>
              <w:bottom w:w="70" w:type="dxa"/>
              <w:end w:w="80" w:type="dxa"/>
            </w:tcMar>
            <w:vAlign w:val="center"/>
          </w:tcPr>
          <w:p>
            <w:r>
              <w:rPr>
                <w:b/>
                <w:sz w:val="16"/>
              </w:rPr>
              <w:t>ID</w:t>
            </w:r>
          </w:p>
        </w:tc>
        <w:tc>
          <w:tcPr>
            <w:tcW w:type="dxa" w:w="1704"/>
            <w:shd w:fill="D9E2F3"/>
            <w:tcMar>
              <w:top w:w="70" w:type="dxa"/>
              <w:start w:w="80" w:type="dxa"/>
              <w:bottom w:w="70" w:type="dxa"/>
              <w:end w:w="80" w:type="dxa"/>
            </w:tcMar>
            <w:vAlign w:val="center"/>
          </w:tcPr>
          <w:p>
            <w:r>
              <w:rPr>
                <w:b/>
                <w:sz w:val="16"/>
              </w:rPr>
              <w:t>Severity</w:t>
            </w:r>
          </w:p>
        </w:tc>
        <w:tc>
          <w:tcPr>
            <w:tcW w:type="dxa" w:w="1704"/>
            <w:shd w:fill="D9E2F3"/>
            <w:tcMar>
              <w:top w:w="70" w:type="dxa"/>
              <w:start w:w="80" w:type="dxa"/>
              <w:bottom w:w="70" w:type="dxa"/>
              <w:end w:w="80" w:type="dxa"/>
            </w:tcMar>
            <w:vAlign w:val="center"/>
          </w:tcPr>
          <w:p>
            <w:r>
              <w:rPr>
                <w:b/>
                <w:sz w:val="16"/>
              </w:rPr>
              <w:t>Issue</w:t>
            </w:r>
          </w:p>
        </w:tc>
        <w:tc>
          <w:tcPr>
            <w:tcW w:type="dxa" w:w="1704"/>
            <w:shd w:fill="D9E2F3"/>
            <w:tcMar>
              <w:top w:w="70" w:type="dxa"/>
              <w:start w:w="80" w:type="dxa"/>
              <w:bottom w:w="70" w:type="dxa"/>
              <w:end w:w="80" w:type="dxa"/>
            </w:tcMar>
            <w:vAlign w:val="center"/>
          </w:tcPr>
          <w:p>
            <w:r>
              <w:rPr>
                <w:b/>
                <w:sz w:val="16"/>
              </w:rPr>
              <w:t>Evidence / discrepancy</w:t>
            </w:r>
          </w:p>
        </w:tc>
        <w:tc>
          <w:tcPr>
            <w:tcW w:type="dxa" w:w="1704"/>
            <w:shd w:fill="D9E2F3"/>
            <w:tcMar>
              <w:top w:w="70" w:type="dxa"/>
              <w:start w:w="80" w:type="dxa"/>
              <w:bottom w:w="70" w:type="dxa"/>
              <w:end w:w="80" w:type="dxa"/>
            </w:tcMar>
            <w:vAlign w:val="center"/>
          </w:tcPr>
          <w:p>
            <w:r>
              <w:rPr>
                <w:b/>
                <w:sz w:val="16"/>
              </w:rPr>
              <w:t>Why it matters</w:t>
            </w:r>
          </w:p>
        </w:tc>
        <w:tc>
          <w:tcPr>
            <w:tcW w:type="dxa" w:w="1704"/>
            <w:shd w:fill="D9E2F3"/>
            <w:tcMar>
              <w:top w:w="70" w:type="dxa"/>
              <w:start w:w="80" w:type="dxa"/>
              <w:bottom w:w="70" w:type="dxa"/>
              <w:end w:w="80" w:type="dxa"/>
            </w:tcMar>
            <w:vAlign w:val="center"/>
          </w:tcPr>
          <w:p>
            <w:r>
              <w:rPr>
                <w:b/>
                <w:sz w:val="16"/>
              </w:rPr>
              <w:t>Final resolution</w:t>
            </w:r>
          </w:p>
        </w:tc>
      </w:tr>
      <w:tr>
        <w:tc>
          <w:tcPr>
            <w:tcW w:type="dxa" w:w="1704"/>
            <w:tcMar>
              <w:top w:w="70" w:type="dxa"/>
              <w:start w:w="80" w:type="dxa"/>
              <w:bottom w:w="70" w:type="dxa"/>
              <w:end w:w="80" w:type="dxa"/>
            </w:tcMar>
            <w:vAlign w:val="top"/>
          </w:tcPr>
          <w:p>
            <w:r>
              <w:rPr>
                <w:sz w:val="15"/>
              </w:rPr>
              <w:t>R-13</w:t>
            </w:r>
          </w:p>
        </w:tc>
        <w:tc>
          <w:tcPr>
            <w:tcW w:type="dxa" w:w="1704"/>
            <w:tcMar>
              <w:top w:w="70" w:type="dxa"/>
              <w:start w:w="80" w:type="dxa"/>
              <w:bottom w:w="70" w:type="dxa"/>
              <w:end w:w="80" w:type="dxa"/>
            </w:tcMar>
            <w:vAlign w:val="top"/>
          </w:tcPr>
          <w:p>
            <w:r>
              <w:rPr>
                <w:sz w:val="15"/>
              </w:rPr>
              <w:t>BLOCKER</w:t>
            </w:r>
          </w:p>
        </w:tc>
        <w:tc>
          <w:tcPr>
            <w:tcW w:type="dxa" w:w="1704"/>
            <w:tcMar>
              <w:top w:w="70" w:type="dxa"/>
              <w:start w:w="80" w:type="dxa"/>
              <w:bottom w:w="70" w:type="dxa"/>
              <w:end w:w="80" w:type="dxa"/>
            </w:tcMar>
            <w:vAlign w:val="top"/>
          </w:tcPr>
          <w:p>
            <w:r>
              <w:rPr>
                <w:sz w:val="15"/>
              </w:rPr>
              <w:t>Root CLAUDE.md location</w:t>
            </w:r>
          </w:p>
        </w:tc>
        <w:tc>
          <w:tcPr>
            <w:tcW w:type="dxa" w:w="1704"/>
            <w:tcMar>
              <w:top w:w="70" w:type="dxa"/>
              <w:start w:w="80" w:type="dxa"/>
              <w:bottom w:w="70" w:type="dxa"/>
              <w:end w:w="80" w:type="dxa"/>
            </w:tcMar>
            <w:vAlign w:val="top"/>
          </w:tcPr>
          <w:p>
            <w:r>
              <w:rPr>
                <w:sz w:val="15"/>
              </w:rPr>
              <w:t>Document 10 places CLAUDE.md under /.claude; Document 11 defines root /CLAUDE.md.</w:t>
            </w:r>
          </w:p>
        </w:tc>
        <w:tc>
          <w:tcPr>
            <w:tcW w:type="dxa" w:w="1704"/>
            <w:tcMar>
              <w:top w:w="70" w:type="dxa"/>
              <w:start w:w="80" w:type="dxa"/>
              <w:bottom w:w="70" w:type="dxa"/>
              <w:end w:w="80" w:type="dxa"/>
            </w:tcMar>
            <w:vAlign w:val="top"/>
          </w:tcPr>
          <w:p>
            <w:r>
              <w:rPr>
                <w:sz w:val="15"/>
              </w:rPr>
              <w:t>Claude Code could load the wrong constitution or duplicate instructions.</w:t>
            </w:r>
          </w:p>
        </w:tc>
        <w:tc>
          <w:tcPr>
            <w:tcW w:type="dxa" w:w="1704"/>
            <w:tcMar>
              <w:top w:w="70" w:type="dxa"/>
              <w:start w:w="80" w:type="dxa"/>
              <w:bottom w:w="70" w:type="dxa"/>
              <w:end w:w="80" w:type="dxa"/>
            </w:tcMar>
            <w:vAlign w:val="top"/>
          </w:tcPr>
          <w:p>
            <w:r>
              <w:rPr>
                <w:sz w:val="15"/>
              </w:rPr>
              <w:t>Canonical location is repository root /CLAUDE.md. /.claude contains commands, skills, context, memory, agents and settings only. Update Document 10 restoration and rule references.</w:t>
            </w:r>
          </w:p>
        </w:tc>
      </w:tr>
      <w:tr>
        <w:tc>
          <w:tcPr>
            <w:tcW w:type="dxa" w:w="1704"/>
            <w:tcMar>
              <w:top w:w="70" w:type="dxa"/>
              <w:start w:w="80" w:type="dxa"/>
              <w:bottom w:w="70" w:type="dxa"/>
              <w:end w:w="80" w:type="dxa"/>
            </w:tcMar>
            <w:vAlign w:val="top"/>
          </w:tcPr>
          <w:p>
            <w:r>
              <w:rPr>
                <w:sz w:val="15"/>
              </w:rPr>
              <w:t>R-14</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Skill directory names</w:t>
            </w:r>
          </w:p>
        </w:tc>
        <w:tc>
          <w:tcPr>
            <w:tcW w:type="dxa" w:w="1704"/>
            <w:tcMar>
              <w:top w:w="70" w:type="dxa"/>
              <w:start w:w="80" w:type="dxa"/>
              <w:bottom w:w="70" w:type="dxa"/>
              <w:end w:w="80" w:type="dxa"/>
            </w:tcMar>
            <w:vAlign w:val="top"/>
          </w:tcPr>
          <w:p>
            <w:r>
              <w:rPr>
                <w:sz w:val="15"/>
              </w:rPr>
              <w:t>Document 10 uses database-change, ai-gateway-change, ingestion-adapter, matching-change, document-pipeline, release-verification; Document 12 defines seven canonical domain skills.</w:t>
            </w:r>
          </w:p>
        </w:tc>
        <w:tc>
          <w:tcPr>
            <w:tcW w:type="dxa" w:w="1704"/>
            <w:tcMar>
              <w:top w:w="70" w:type="dxa"/>
              <w:start w:w="80" w:type="dxa"/>
              <w:bottom w:w="70" w:type="dxa"/>
              <w:end w:w="80" w:type="dxa"/>
            </w:tcMar>
            <w:vAlign w:val="top"/>
          </w:tcPr>
          <w:p>
            <w:r>
              <w:rPr>
                <w:sz w:val="15"/>
              </w:rPr>
              <w:t>Two valid-looking skill libraries would cause duplicate or missing invocation.</w:t>
            </w:r>
          </w:p>
        </w:tc>
        <w:tc>
          <w:tcPr>
            <w:tcW w:type="dxa" w:w="1704"/>
            <w:tcMar>
              <w:top w:w="70" w:type="dxa"/>
              <w:start w:w="80" w:type="dxa"/>
              <w:bottom w:w="70" w:type="dxa"/>
              <w:end w:w="80" w:type="dxa"/>
            </w:tcMar>
            <w:vAlign w:val="top"/>
          </w:tcPr>
          <w:p>
            <w:r>
              <w:rPr>
                <w:sz w:val="15"/>
              </w:rPr>
              <w:t>Document 12 names are canonical for the implementation repository: db-migration-skill, ai-prompt-engineer-skill, doc-parser-skill, job-ingestion-skill, matching-engine-skill, ui-component-skill, security-audit-skill.</w:t>
            </w:r>
          </w:p>
        </w:tc>
      </w:tr>
      <w:tr>
        <w:tc>
          <w:tcPr>
            <w:tcW w:type="dxa" w:w="1704"/>
            <w:tcMar>
              <w:top w:w="70" w:type="dxa"/>
              <w:start w:w="80" w:type="dxa"/>
              <w:bottom w:w="70" w:type="dxa"/>
              <w:end w:w="80" w:type="dxa"/>
            </w:tcMar>
            <w:vAlign w:val="top"/>
          </w:tcPr>
          <w:p>
            <w:r>
              <w:rPr>
                <w:sz w:val="15"/>
              </w:rPr>
              <w:t>R-15</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Missing canonical-contracts context file</w:t>
            </w:r>
          </w:p>
        </w:tc>
        <w:tc>
          <w:tcPr>
            <w:tcW w:type="dxa" w:w="1704"/>
            <w:tcMar>
              <w:top w:w="70" w:type="dxa"/>
              <w:start w:w="80" w:type="dxa"/>
              <w:bottom w:w="70" w:type="dxa"/>
              <w:end w:w="80" w:type="dxa"/>
            </w:tcMar>
            <w:vAlign w:val="top"/>
          </w:tcPr>
          <w:p>
            <w:r>
              <w:rPr>
                <w:sz w:val="15"/>
              </w:rPr>
              <w:t>Document 12 requires /.claude/context/canonical-contracts.md; Document 10 tree does not include it.</w:t>
            </w:r>
          </w:p>
        </w:tc>
        <w:tc>
          <w:tcPr>
            <w:tcW w:type="dxa" w:w="1704"/>
            <w:tcMar>
              <w:top w:w="70" w:type="dxa"/>
              <w:start w:w="80" w:type="dxa"/>
              <w:bottom w:w="70" w:type="dxa"/>
              <w:end w:w="80" w:type="dxa"/>
            </w:tcMar>
            <w:vAlign w:val="top"/>
          </w:tcPr>
          <w:p>
            <w:r>
              <w:rPr>
                <w:sz w:val="15"/>
              </w:rPr>
              <w:t>Skills cannot reliably load the frozen patch matrix.</w:t>
            </w:r>
          </w:p>
        </w:tc>
        <w:tc>
          <w:tcPr>
            <w:tcW w:type="dxa" w:w="1704"/>
            <w:tcMar>
              <w:top w:w="70" w:type="dxa"/>
              <w:start w:w="80" w:type="dxa"/>
              <w:bottom w:w="70" w:type="dxa"/>
              <w:end w:w="80" w:type="dxa"/>
            </w:tcMar>
            <w:vAlign w:val="top"/>
          </w:tcPr>
          <w:p>
            <w:r>
              <w:rPr>
                <w:sz w:val="15"/>
              </w:rPr>
              <w:t>Add /.claude/context/canonical-contracts.md to the canonical workspace. It becomes the implementation-readable summary of this audit.</w:t>
            </w:r>
          </w:p>
        </w:tc>
      </w:tr>
      <w:tr>
        <w:tc>
          <w:tcPr>
            <w:tcW w:type="dxa" w:w="1704"/>
            <w:tcMar>
              <w:top w:w="70" w:type="dxa"/>
              <w:start w:w="80" w:type="dxa"/>
              <w:bottom w:w="70" w:type="dxa"/>
              <w:end w:w="80" w:type="dxa"/>
            </w:tcMar>
            <w:vAlign w:val="top"/>
          </w:tcPr>
          <w:p>
            <w:r>
              <w:rPr>
                <w:sz w:val="15"/>
              </w:rPr>
              <w:t>R-16</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Skill references point to DOCX foundation artifacts</w:t>
            </w:r>
          </w:p>
        </w:tc>
        <w:tc>
          <w:tcPr>
            <w:tcW w:type="dxa" w:w="1704"/>
            <w:tcMar>
              <w:top w:w="70" w:type="dxa"/>
              <w:start w:w="80" w:type="dxa"/>
              <w:bottom w:w="70" w:type="dxa"/>
              <w:end w:w="80" w:type="dxa"/>
            </w:tcMar>
            <w:vAlign w:val="top"/>
          </w:tcPr>
          <w:p>
            <w:r>
              <w:rPr>
                <w:sz w:val="15"/>
              </w:rPr>
              <w:t>Document 12 skill requirements name /docs/SINNARA_*.docx, while Document 10 defines markdown repository docs under /docs/.</w:t>
            </w:r>
          </w:p>
        </w:tc>
        <w:tc>
          <w:tcPr>
            <w:tcW w:type="dxa" w:w="1704"/>
            <w:tcMar>
              <w:top w:w="70" w:type="dxa"/>
              <w:start w:w="80" w:type="dxa"/>
              <w:bottom w:w="70" w:type="dxa"/>
              <w:end w:w="80" w:type="dxa"/>
            </w:tcMar>
            <w:vAlign w:val="top"/>
          </w:tcPr>
          <w:p>
            <w:r>
              <w:rPr>
                <w:sz w:val="15"/>
              </w:rPr>
              <w:t>The installed repository may not contain the binary foundation source files at those paths.</w:t>
            </w:r>
          </w:p>
        </w:tc>
        <w:tc>
          <w:tcPr>
            <w:tcW w:type="dxa" w:w="1704"/>
            <w:tcMar>
              <w:top w:w="70" w:type="dxa"/>
              <w:start w:w="80" w:type="dxa"/>
              <w:bottom w:w="70" w:type="dxa"/>
              <w:end w:w="80" w:type="dxa"/>
            </w:tcMar>
            <w:vAlign w:val="top"/>
          </w:tcPr>
          <w:p>
            <w:r>
              <w:rPr>
                <w:sz w:val="15"/>
              </w:rPr>
              <w:t>Skills reference repository docs by stable markdown paths (e.g. /docs/03-data-model-database-schema.md), not source DOCX filenames. DOCX remains archival/source material outside the runtime repo.</w:t>
            </w:r>
          </w:p>
        </w:tc>
      </w:tr>
      <w:tr>
        <w:tc>
          <w:tcPr>
            <w:tcW w:type="dxa" w:w="1704"/>
            <w:tcMar>
              <w:top w:w="70" w:type="dxa"/>
              <w:start w:w="80" w:type="dxa"/>
              <w:bottom w:w="70" w:type="dxa"/>
              <w:end w:w="80" w:type="dxa"/>
            </w:tcMar>
            <w:vAlign w:val="top"/>
          </w:tcPr>
          <w:p>
            <w:r>
              <w:rPr>
                <w:sz w:val="15"/>
              </w:rPr>
              <w:t>R-17</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Opportunity official URL nullability</w:t>
            </w:r>
          </w:p>
        </w:tc>
        <w:tc>
          <w:tcPr>
            <w:tcW w:type="dxa" w:w="1704"/>
            <w:tcMar>
              <w:top w:w="70" w:type="dxa"/>
              <w:start w:w="80" w:type="dxa"/>
              <w:bottom w:w="70" w:type="dxa"/>
              <w:end w:w="80" w:type="dxa"/>
            </w:tcMar>
            <w:vAlign w:val="top"/>
          </w:tcPr>
          <w:p>
            <w:r>
              <w:rPr>
                <w:sz w:val="15"/>
              </w:rPr>
              <w:t>Document 3 draft table makes official_apply_url NOT NULL; prior reconciliation says draft/review may lack it and only published/recommendable opportunities require it.</w:t>
            </w:r>
          </w:p>
        </w:tc>
        <w:tc>
          <w:tcPr>
            <w:tcW w:type="dxa" w:w="1704"/>
            <w:tcMar>
              <w:top w:w="70" w:type="dxa"/>
              <w:start w:w="80" w:type="dxa"/>
              <w:bottom w:w="70" w:type="dxa"/>
              <w:end w:w="80" w:type="dxa"/>
            </w:tcMar>
            <w:vAlign w:val="top"/>
          </w:tcPr>
          <w:p>
            <w:r>
              <w:rPr>
                <w:sz w:val="15"/>
              </w:rPr>
              <w:t>Draft ingestion would be impossible without violating the pipeline.</w:t>
            </w:r>
          </w:p>
        </w:tc>
        <w:tc>
          <w:tcPr>
            <w:tcW w:type="dxa" w:w="1704"/>
            <w:tcMar>
              <w:top w:w="70" w:type="dxa"/>
              <w:start w:w="80" w:type="dxa"/>
              <w:bottom w:w="70" w:type="dxa"/>
              <w:end w:w="80" w:type="dxa"/>
            </w:tcMar>
            <w:vAlign w:val="top"/>
          </w:tcPr>
          <w:p>
            <w:r>
              <w:rPr>
                <w:sz w:val="15"/>
              </w:rPr>
              <w:t>Make official_apply_url nullable. Enforce non-null at publication/recommendation gate; service validation is authoritative for provenance/freshness, with DB constraint for published status where practical.</w:t>
            </w:r>
          </w:p>
        </w:tc>
      </w:tr>
      <w:tr>
        <w:tc>
          <w:tcPr>
            <w:tcW w:type="dxa" w:w="1704"/>
            <w:tcMar>
              <w:top w:w="70" w:type="dxa"/>
              <w:start w:w="80" w:type="dxa"/>
              <w:bottom w:w="70" w:type="dxa"/>
              <w:end w:w="80" w:type="dxa"/>
            </w:tcMar>
            <w:vAlign w:val="top"/>
          </w:tcPr>
          <w:p>
            <w:r>
              <w:rPr>
                <w:sz w:val="15"/>
              </w:rPr>
              <w:t>R-18</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Opportunity taxonomy name and semantics</w:t>
            </w:r>
          </w:p>
        </w:tc>
        <w:tc>
          <w:tcPr>
            <w:tcW w:type="dxa" w:w="1704"/>
            <w:tcMar>
              <w:top w:w="70" w:type="dxa"/>
              <w:start w:w="80" w:type="dxa"/>
              <w:bottom w:w="70" w:type="dxa"/>
              <w:end w:w="80" w:type="dxa"/>
            </w:tcMar>
            <w:vAlign w:val="top"/>
          </w:tcPr>
          <w:p>
            <w:r>
              <w:rPr>
                <w:sz w:val="15"/>
              </w:rPr>
              <w:t>Document 3 has opportunity_type_id but global taxonomy lists job_types; no opportunity_types table is defined.</w:t>
            </w:r>
          </w:p>
        </w:tc>
        <w:tc>
          <w:tcPr>
            <w:tcW w:type="dxa" w:w="1704"/>
            <w:tcMar>
              <w:top w:w="70" w:type="dxa"/>
              <w:start w:w="80" w:type="dxa"/>
              <w:bottom w:w="70" w:type="dxa"/>
              <w:end w:w="80" w:type="dxa"/>
            </w:tcMar>
            <w:vAlign w:val="top"/>
          </w:tcPr>
          <w:p>
            <w:r>
              <w:rPr>
                <w:sz w:val="15"/>
              </w:rPr>
              <w:t>Foreign-key target and semantics are ambiguous.</w:t>
            </w:r>
          </w:p>
        </w:tc>
        <w:tc>
          <w:tcPr>
            <w:tcW w:type="dxa" w:w="1704"/>
            <w:tcMar>
              <w:top w:w="70" w:type="dxa"/>
              <w:start w:w="80" w:type="dxa"/>
              <w:bottom w:w="70" w:type="dxa"/>
              <w:end w:w="80" w:type="dxa"/>
            </w:tcMar>
            <w:vAlign w:val="top"/>
          </w:tcPr>
          <w:p>
            <w:r>
              <w:rPr>
                <w:sz w:val="15"/>
              </w:rPr>
              <w:t>Create canonical opportunity_types lookup: job, internship, fellowship, consultancy, volunteer, etc. Create separate employment_types lookup: full_time, part_time, contract, temporary, seasonal, etc. opportunity_type_id references opportunity_types.</w:t>
            </w:r>
          </w:p>
        </w:tc>
      </w:tr>
      <w:tr>
        <w:tc>
          <w:tcPr>
            <w:tcW w:type="dxa" w:w="1704"/>
            <w:tcMar>
              <w:top w:w="70" w:type="dxa"/>
              <w:start w:w="80" w:type="dxa"/>
              <w:bottom w:w="70" w:type="dxa"/>
              <w:end w:w="80" w:type="dxa"/>
            </w:tcMar>
            <w:vAlign w:val="top"/>
          </w:tcPr>
          <w:p>
            <w:r>
              <w:rPr>
                <w:sz w:val="15"/>
              </w:rPr>
              <w:t>R-19</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Candidate preference taxonomy drift</w:t>
            </w:r>
          </w:p>
        </w:tc>
        <w:tc>
          <w:tcPr>
            <w:tcW w:type="dxa" w:w="1704"/>
            <w:tcMar>
              <w:top w:w="70" w:type="dxa"/>
              <w:start w:w="80" w:type="dxa"/>
              <w:bottom w:w="70" w:type="dxa"/>
              <w:end w:w="80" w:type="dxa"/>
            </w:tcMar>
            <w:vAlign w:val="top"/>
          </w:tcPr>
          <w:p>
            <w:r>
              <w:rPr>
                <w:sz w:val="15"/>
              </w:rPr>
              <w:t>Document 3 lists internship inside candidate "Employment type" preferences.</w:t>
            </w:r>
          </w:p>
        </w:tc>
        <w:tc>
          <w:tcPr>
            <w:tcW w:type="dxa" w:w="1704"/>
            <w:tcMar>
              <w:top w:w="70" w:type="dxa"/>
              <w:start w:w="80" w:type="dxa"/>
              <w:bottom w:w="70" w:type="dxa"/>
              <w:end w:w="80" w:type="dxa"/>
            </w:tcMar>
            <w:vAlign w:val="top"/>
          </w:tcPr>
          <w:p>
            <w:r>
              <w:rPr>
                <w:sz w:val="15"/>
              </w:rPr>
              <w:t>Internship is an opportunity category, not an engagement arrangement, contradicting R-02.</w:t>
            </w:r>
          </w:p>
        </w:tc>
        <w:tc>
          <w:tcPr>
            <w:tcW w:type="dxa" w:w="1704"/>
            <w:tcMar>
              <w:top w:w="70" w:type="dxa"/>
              <w:start w:w="80" w:type="dxa"/>
              <w:bottom w:w="70" w:type="dxa"/>
              <w:end w:w="80" w:type="dxa"/>
            </w:tcMar>
            <w:vAlign w:val="top"/>
          </w:tcPr>
          <w:p>
            <w:r>
              <w:rPr>
                <w:sz w:val="15"/>
              </w:rPr>
              <w:t>Split candidate preferences into preferred_opportunity_types and preferred_employment_types. Keep them separate in Zod/API/UI.</w:t>
            </w:r>
          </w:p>
        </w:tc>
      </w:tr>
      <w:tr>
        <w:tc>
          <w:tcPr>
            <w:tcW w:type="dxa" w:w="1704"/>
            <w:tcMar>
              <w:top w:w="70" w:type="dxa"/>
              <w:start w:w="80" w:type="dxa"/>
              <w:bottom w:w="70" w:type="dxa"/>
              <w:end w:w="80" w:type="dxa"/>
            </w:tcMar>
            <w:vAlign w:val="top"/>
          </w:tcPr>
          <w:p>
            <w:r>
              <w:rPr>
                <w:sz w:val="15"/>
              </w:rPr>
              <w:t>R-20</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AI opportunity extraction enum drift</w:t>
            </w:r>
          </w:p>
        </w:tc>
        <w:tc>
          <w:tcPr>
            <w:tcW w:type="dxa" w:w="1704"/>
            <w:tcMar>
              <w:top w:w="70" w:type="dxa"/>
              <w:start w:w="80" w:type="dxa"/>
              <w:bottom w:w="70" w:type="dxa"/>
              <w:end w:w="80" w:type="dxa"/>
            </w:tcMar>
            <w:vAlign w:val="top"/>
          </w:tcPr>
          <w:p>
            <w:r>
              <w:rPr>
                <w:sz w:val="15"/>
              </w:rPr>
              <w:t>Document 4 example uses employment_type=fixed_term; canonical reconciliation defines employment_type around full_time, part_time, contract, temporary, seasonal.</w:t>
            </w:r>
          </w:p>
        </w:tc>
        <w:tc>
          <w:tcPr>
            <w:tcW w:type="dxa" w:w="1704"/>
            <w:tcMar>
              <w:top w:w="70" w:type="dxa"/>
              <w:start w:w="80" w:type="dxa"/>
              <w:bottom w:w="70" w:type="dxa"/>
              <w:end w:w="80" w:type="dxa"/>
            </w:tcMar>
            <w:vAlign w:val="top"/>
          </w:tcPr>
          <w:p>
            <w:r>
              <w:rPr>
                <w:sz w:val="15"/>
              </w:rPr>
              <w:t>A model may emit a value the DB taxonomy cannot persist.</w:t>
            </w:r>
          </w:p>
        </w:tc>
        <w:tc>
          <w:tcPr>
            <w:tcW w:type="dxa" w:w="1704"/>
            <w:tcMar>
              <w:top w:w="70" w:type="dxa"/>
              <w:start w:w="80" w:type="dxa"/>
              <w:bottom w:w="70" w:type="dxa"/>
              <w:end w:w="80" w:type="dxa"/>
            </w:tcMar>
            <w:vAlign w:val="top"/>
          </w:tcPr>
          <w:p>
            <w:r>
              <w:rPr>
                <w:sz w:val="15"/>
              </w:rPr>
              <w:t>Replace fixed_term with canonical contract or introduce fixed_term only through an accepted taxonomy change. For Phase 1, use contract.</w:t>
            </w:r>
          </w:p>
        </w:tc>
      </w:tr>
      <w:tr>
        <w:tc>
          <w:tcPr>
            <w:tcW w:type="dxa" w:w="1704"/>
            <w:tcMar>
              <w:top w:w="70" w:type="dxa"/>
              <w:start w:w="80" w:type="dxa"/>
              <w:bottom w:w="70" w:type="dxa"/>
              <w:end w:w="80" w:type="dxa"/>
            </w:tcMar>
            <w:vAlign w:val="top"/>
          </w:tcPr>
          <w:p>
            <w:r>
              <w:rPr>
                <w:sz w:val="15"/>
              </w:rPr>
              <w:t>R-21</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AI extraction URL field drift</w:t>
            </w:r>
          </w:p>
        </w:tc>
        <w:tc>
          <w:tcPr>
            <w:tcW w:type="dxa" w:w="1704"/>
            <w:tcMar>
              <w:top w:w="70" w:type="dxa"/>
              <w:start w:w="80" w:type="dxa"/>
              <w:bottom w:w="70" w:type="dxa"/>
              <w:end w:w="80" w:type="dxa"/>
            </w:tcMar>
            <w:vAlign w:val="top"/>
          </w:tcPr>
          <w:p>
            <w:r>
              <w:rPr>
                <w:sz w:val="15"/>
              </w:rPr>
              <w:t>Document 4 extraction example uses application_url; canonical database field is official_apply_url.</w:t>
            </w:r>
          </w:p>
        </w:tc>
        <w:tc>
          <w:tcPr>
            <w:tcW w:type="dxa" w:w="1704"/>
            <w:tcMar>
              <w:top w:w="70" w:type="dxa"/>
              <w:start w:w="80" w:type="dxa"/>
              <w:bottom w:w="70" w:type="dxa"/>
              <w:end w:w="80" w:type="dxa"/>
            </w:tcMar>
            <w:vAlign w:val="top"/>
          </w:tcPr>
          <w:p>
            <w:r>
              <w:rPr>
                <w:sz w:val="15"/>
              </w:rPr>
              <w:t>Field mapping can be lost between AI output and persistence.</w:t>
            </w:r>
          </w:p>
        </w:tc>
        <w:tc>
          <w:tcPr>
            <w:tcW w:type="dxa" w:w="1704"/>
            <w:tcMar>
              <w:top w:w="70" w:type="dxa"/>
              <w:start w:w="80" w:type="dxa"/>
              <w:bottom w:w="70" w:type="dxa"/>
              <w:end w:w="80" w:type="dxa"/>
            </w:tcMar>
            <w:vAlign w:val="top"/>
          </w:tcPr>
          <w:p>
            <w:r>
              <w:rPr>
                <w:sz w:val="15"/>
              </w:rPr>
              <w:t>Canonical extraction field is official_apply_url. Any source-level application link must map explicitly to this field before persistence.</w:t>
            </w:r>
          </w:p>
        </w:tc>
      </w:tr>
      <w:tr>
        <w:tc>
          <w:tcPr>
            <w:tcW w:type="dxa" w:w="1704"/>
            <w:tcMar>
              <w:top w:w="70" w:type="dxa"/>
              <w:start w:w="80" w:type="dxa"/>
              <w:bottom w:w="70" w:type="dxa"/>
              <w:end w:w="80" w:type="dxa"/>
            </w:tcMar>
            <w:vAlign w:val="top"/>
          </w:tcPr>
          <w:p>
            <w:r>
              <w:rPr>
                <w:sz w:val="15"/>
              </w:rPr>
              <w:t>R-22</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Match component drift</w:t>
            </w:r>
          </w:p>
        </w:tc>
        <w:tc>
          <w:tcPr>
            <w:tcW w:type="dxa" w:w="1704"/>
            <w:tcMar>
              <w:top w:w="70" w:type="dxa"/>
              <w:start w:w="80" w:type="dxa"/>
              <w:bottom w:w="70" w:type="dxa"/>
              <w:end w:w="80" w:type="dxa"/>
            </w:tcMar>
            <w:vAlign w:val="top"/>
          </w:tcPr>
          <w:p>
            <w:r>
              <w:rPr>
                <w:sz w:val="15"/>
              </w:rPr>
              <w:t>Document 3/AI match.v1 component lists omit language, evidence, and freshness while Roadmap Stage 2 includes them and reconciliation treats freshness/quality as a distinct layer.</w:t>
            </w:r>
          </w:p>
        </w:tc>
        <w:tc>
          <w:tcPr>
            <w:tcW w:type="dxa" w:w="1704"/>
            <w:tcMar>
              <w:top w:w="70" w:type="dxa"/>
              <w:start w:w="80" w:type="dxa"/>
              <w:bottom w:w="70" w:type="dxa"/>
              <w:end w:w="80" w:type="dxa"/>
            </w:tcMar>
            <w:vAlign w:val="top"/>
          </w:tcPr>
          <w:p>
            <w:r>
              <w:rPr>
                <w:sz w:val="15"/>
              </w:rPr>
              <w:t>Different clients/services could compute different scores.</w:t>
            </w:r>
          </w:p>
        </w:tc>
        <w:tc>
          <w:tcPr>
            <w:tcW w:type="dxa" w:w="1704"/>
            <w:tcMar>
              <w:top w:w="70" w:type="dxa"/>
              <w:start w:w="80" w:type="dxa"/>
              <w:bottom w:w="70" w:type="dxa"/>
              <w:end w:w="80" w:type="dxa"/>
            </w:tcMar>
            <w:vAlign w:val="top"/>
          </w:tcPr>
          <w:p>
            <w:r>
              <w:rPr>
                <w:sz w:val="15"/>
              </w:rPr>
              <w:t>Freeze match.v1 component contract before implementation. Minimum score decomposition: education, experience, skills, language, sector, location, preferences, career_alignment, evidence_strength, freshness_quality. Store explicit score_version/ranking-policy version.</w:t>
            </w:r>
          </w:p>
        </w:tc>
      </w:tr>
      <w:tr>
        <w:tc>
          <w:tcPr>
            <w:tcW w:type="dxa" w:w="1704"/>
            <w:tcMar>
              <w:top w:w="70" w:type="dxa"/>
              <w:start w:w="80" w:type="dxa"/>
              <w:bottom w:w="70" w:type="dxa"/>
              <w:end w:w="80" w:type="dxa"/>
            </w:tcMar>
            <w:vAlign w:val="top"/>
          </w:tcPr>
          <w:p>
            <w:r>
              <w:rPr>
                <w:sz w:val="15"/>
              </w:rPr>
              <w:t>R-23</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Current match selection</w:t>
            </w:r>
          </w:p>
        </w:tc>
        <w:tc>
          <w:tcPr>
            <w:tcW w:type="dxa" w:w="1704"/>
            <w:tcMar>
              <w:top w:w="70" w:type="dxa"/>
              <w:start w:w="80" w:type="dxa"/>
              <w:bottom w:w="70" w:type="dxa"/>
              <w:end w:w="80" w:type="dxa"/>
            </w:tcMar>
            <w:vAlign w:val="top"/>
          </w:tcPr>
          <w:p>
            <w:r>
              <w:rPr>
                <w:sz w:val="15"/>
              </w:rPr>
              <w:t>matches are immutable by algorithm_version, but UX needs one current result.</w:t>
            </w:r>
          </w:p>
        </w:tc>
        <w:tc>
          <w:tcPr>
            <w:tcW w:type="dxa" w:w="1704"/>
            <w:tcMar>
              <w:top w:w="70" w:type="dxa"/>
              <w:start w:w="80" w:type="dxa"/>
              <w:bottom w:w="70" w:type="dxa"/>
              <w:end w:w="80" w:type="dxa"/>
            </w:tcMar>
            <w:vAlign w:val="top"/>
          </w:tcPr>
          <w:p>
            <w:r>
              <w:rPr>
                <w:sz w:val="15"/>
              </w:rPr>
              <w:t>Feed/detail queries can surface stale or duplicate policy versions.</w:t>
            </w:r>
          </w:p>
        </w:tc>
        <w:tc>
          <w:tcPr>
            <w:tcW w:type="dxa" w:w="1704"/>
            <w:tcMar>
              <w:top w:w="70" w:type="dxa"/>
              <w:start w:w="80" w:type="dxa"/>
              <w:bottom w:w="70" w:type="dxa"/>
              <w:end w:w="80" w:type="dxa"/>
            </w:tcMar>
            <w:vAlign w:val="top"/>
          </w:tcPr>
          <w:p>
            <w:r>
              <w:rPr>
                <w:sz w:val="15"/>
              </w:rPr>
              <w:t>Add is_current or an equivalent deterministic latest-active selection strategy. Historical matches remain immutable. Feed only consumes the current valid result under the active ranking policy.</w:t>
            </w:r>
          </w:p>
        </w:tc>
      </w:tr>
      <w:tr>
        <w:tc>
          <w:tcPr>
            <w:tcW w:type="dxa" w:w="1704"/>
            <w:tcMar>
              <w:top w:w="70" w:type="dxa"/>
              <w:start w:w="80" w:type="dxa"/>
              <w:bottom w:w="70" w:type="dxa"/>
              <w:end w:w="80" w:type="dxa"/>
            </w:tcMar>
            <w:vAlign w:val="top"/>
          </w:tcPr>
          <w:p>
            <w:r>
              <w:rPr>
                <w:sz w:val="15"/>
              </w:rPr>
              <w:t>R-24</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AIRequest implementation contract drift</w:t>
            </w:r>
          </w:p>
        </w:tc>
        <w:tc>
          <w:tcPr>
            <w:tcW w:type="dxa" w:w="1704"/>
            <w:tcMar>
              <w:top w:w="70" w:type="dxa"/>
              <w:start w:w="80" w:type="dxa"/>
              <w:bottom w:w="70" w:type="dxa"/>
              <w:end w:w="80" w:type="dxa"/>
            </w:tcMar>
            <w:vAlign w:val="top"/>
          </w:tcPr>
          <w:p>
            <w:r>
              <w:rPr>
                <w:sz w:val="15"/>
              </w:rPr>
              <w:t>Document 4 allows priority interactive/background/batch; Roadmap adds idempotencyKey and redactionProfile and removes batch.</w:t>
            </w:r>
          </w:p>
        </w:tc>
        <w:tc>
          <w:tcPr>
            <w:tcW w:type="dxa" w:w="1704"/>
            <w:tcMar>
              <w:top w:w="70" w:type="dxa"/>
              <w:start w:w="80" w:type="dxa"/>
              <w:bottom w:w="70" w:type="dxa"/>
              <w:end w:w="80" w:type="dxa"/>
            </w:tcMar>
            <w:vAlign w:val="top"/>
          </w:tcPr>
          <w:p>
            <w:r>
              <w:rPr>
                <w:sz w:val="15"/>
              </w:rPr>
              <w:t>Gateway callers can disagree on required fields and job classes.</w:t>
            </w:r>
          </w:p>
        </w:tc>
        <w:tc>
          <w:tcPr>
            <w:tcW w:type="dxa" w:w="1704"/>
            <w:tcMar>
              <w:top w:w="70" w:type="dxa"/>
              <w:start w:w="80" w:type="dxa"/>
              <w:bottom w:w="70" w:type="dxa"/>
              <w:end w:w="80" w:type="dxa"/>
            </w:tcMar>
            <w:vAlign w:val="top"/>
          </w:tcPr>
          <w:p>
            <w:r>
              <w:rPr>
                <w:sz w:val="15"/>
              </w:rPr>
              <w:t>Canonical AIRequest for implementation: task, input, promptVersion, schemaVersion, policyVersion, priority (interactive|background|batch), idempotencyKey, redactionProfile. Gateway validates all fields.</w:t>
            </w:r>
          </w:p>
        </w:tc>
      </w:tr>
      <w:tr>
        <w:tc>
          <w:tcPr>
            <w:tcW w:type="dxa" w:w="1704"/>
            <w:tcMar>
              <w:top w:w="70" w:type="dxa"/>
              <w:start w:w="80" w:type="dxa"/>
              <w:bottom w:w="70" w:type="dxa"/>
              <w:end w:w="80" w:type="dxa"/>
            </w:tcMar>
            <w:vAlign w:val="top"/>
          </w:tcPr>
          <w:p>
            <w:r>
              <w:rPr>
                <w:sz w:val="15"/>
              </w:rPr>
              <w:t>R-25</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Processing job dead-letter state</w:t>
            </w:r>
          </w:p>
        </w:tc>
        <w:tc>
          <w:tcPr>
            <w:tcW w:type="dxa" w:w="1704"/>
            <w:tcMar>
              <w:top w:w="70" w:type="dxa"/>
              <w:start w:w="80" w:type="dxa"/>
              <w:bottom w:w="70" w:type="dxa"/>
              <w:end w:w="80" w:type="dxa"/>
            </w:tcMar>
            <w:vAlign w:val="top"/>
          </w:tcPr>
          <w:p>
            <w:r>
              <w:rPr>
                <w:sz w:val="15"/>
              </w:rPr>
              <w:t>Handover defines dead_letter, while Data Model code omits it and uses failed; AI reliability expects dead-letter after repeated failure.</w:t>
            </w:r>
          </w:p>
        </w:tc>
        <w:tc>
          <w:tcPr>
            <w:tcW w:type="dxa" w:w="1704"/>
            <w:tcMar>
              <w:top w:w="70" w:type="dxa"/>
              <w:start w:w="80" w:type="dxa"/>
              <w:bottom w:w="70" w:type="dxa"/>
              <w:end w:w="80" w:type="dxa"/>
            </w:tcMar>
            <w:vAlign w:val="top"/>
          </w:tcPr>
          <w:p>
            <w:r>
              <w:rPr>
                <w:sz w:val="15"/>
              </w:rPr>
              <w:t>Operations cannot distinguish retry-exhausted work from ordinary failure.</w:t>
            </w:r>
          </w:p>
        </w:tc>
        <w:tc>
          <w:tcPr>
            <w:tcW w:type="dxa" w:w="1704"/>
            <w:tcMar>
              <w:top w:w="70" w:type="dxa"/>
              <w:start w:w="80" w:type="dxa"/>
              <w:bottom w:w="70" w:type="dxa"/>
              <w:end w:w="80" w:type="dxa"/>
            </w:tcMar>
            <w:vAlign w:val="top"/>
          </w:tcPr>
          <w:p>
            <w:r>
              <w:rPr>
                <w:sz w:val="15"/>
              </w:rPr>
              <w:t>Freeze processing_jobs.status = queued | running | retrying | succeeded | failed | dead_letter. dead_letter is terminal and admin-visible.</w:t>
            </w:r>
          </w:p>
        </w:tc>
      </w:tr>
      <w:tr>
        <w:tc>
          <w:tcPr>
            <w:tcW w:type="dxa" w:w="1704"/>
            <w:tcMar>
              <w:top w:w="70" w:type="dxa"/>
              <w:start w:w="80" w:type="dxa"/>
              <w:bottom w:w="70" w:type="dxa"/>
              <w:end w:w="80" w:type="dxa"/>
            </w:tcMar>
            <w:vAlign w:val="top"/>
          </w:tcPr>
          <w:p>
            <w:r>
              <w:rPr>
                <w:sz w:val="15"/>
              </w:rPr>
              <w:t>R-26</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Document state machine split needs physical mapping</w:t>
            </w:r>
          </w:p>
        </w:tc>
        <w:tc>
          <w:tcPr>
            <w:tcW w:type="dxa" w:w="1704"/>
            <w:tcMar>
              <w:top w:w="70" w:type="dxa"/>
              <w:start w:w="80" w:type="dxa"/>
              <w:bottom w:w="70" w:type="dxa"/>
              <w:end w:w="80" w:type="dxa"/>
            </w:tcMar>
            <w:vAlign w:val="top"/>
          </w:tcPr>
          <w:p>
            <w:r>
              <w:rPr>
                <w:sz w:val="15"/>
              </w:rPr>
              <w:t>Roadmap has granular pipeline states; Data Model has coarse document.status. Document 12 correctly recognizes two state machines, but source schema itself must implement the mapping.</w:t>
            </w:r>
          </w:p>
        </w:tc>
        <w:tc>
          <w:tcPr>
            <w:tcW w:type="dxa" w:w="1704"/>
            <w:tcMar>
              <w:top w:w="70" w:type="dxa"/>
              <w:start w:w="80" w:type="dxa"/>
              <w:bottom w:w="70" w:type="dxa"/>
              <w:end w:w="80" w:type="dxa"/>
            </w:tcMar>
            <w:vAlign w:val="top"/>
          </w:tcPr>
          <w:p>
            <w:r>
              <w:rPr>
                <w:sz w:val="15"/>
              </w:rPr>
              <w:t>Without an explicit mapping, developers may add granular pipeline states to documents.status.</w:t>
            </w:r>
          </w:p>
        </w:tc>
        <w:tc>
          <w:tcPr>
            <w:tcW w:type="dxa" w:w="1704"/>
            <w:tcMar>
              <w:top w:w="70" w:type="dxa"/>
              <w:start w:w="80" w:type="dxa"/>
              <w:bottom w:w="70" w:type="dxa"/>
              <w:end w:w="80" w:type="dxa"/>
            </w:tcMar>
            <w:vAlign w:val="top"/>
          </w:tcPr>
          <w:p>
            <w:r>
              <w:rPr>
                <w:sz w:val="15"/>
              </w:rPr>
              <w:t>documents.status = uploaded | queued | processing | ready | failed | needs_attention | deleted. document_processing_runs.status = queued | processing | parsed | extracting | review_ready | partially_reviewed | promoted | failed | needs_attention. Service maps successful promotion to documents.ready.</w:t>
            </w:r>
          </w:p>
        </w:tc>
      </w:tr>
      <w:tr>
        <w:tc>
          <w:tcPr>
            <w:tcW w:type="dxa" w:w="1704"/>
            <w:tcMar>
              <w:top w:w="70" w:type="dxa"/>
              <w:start w:w="80" w:type="dxa"/>
              <w:bottom w:w="70" w:type="dxa"/>
              <w:end w:w="80" w:type="dxa"/>
            </w:tcMar>
            <w:vAlign w:val="top"/>
          </w:tcPr>
          <w:p>
            <w:r>
              <w:rPr>
                <w:sz w:val="15"/>
              </w:rPr>
              <w:t>R-27</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Analytics envelope mismatch</w:t>
            </w:r>
          </w:p>
        </w:tc>
        <w:tc>
          <w:tcPr>
            <w:tcW w:type="dxa" w:w="1704"/>
            <w:tcMar>
              <w:top w:w="70" w:type="dxa"/>
              <w:start w:w="80" w:type="dxa"/>
              <w:bottom w:w="70" w:type="dxa"/>
              <w:end w:w="80" w:type="dxa"/>
            </w:tcMar>
            <w:vAlign w:val="top"/>
          </w:tcPr>
          <w:p>
            <w:r>
              <w:rPr>
                <w:sz w:val="15"/>
              </w:rPr>
              <w:t>Prior reconciliation asks for object_type/object_id; Data Model has user_id/session_id and properties. Document 12 temporarily uses actor_ref instead of user_id.</w:t>
            </w:r>
          </w:p>
        </w:tc>
        <w:tc>
          <w:tcPr>
            <w:tcW w:type="dxa" w:w="1704"/>
            <w:tcMar>
              <w:top w:w="70" w:type="dxa"/>
              <w:start w:w="80" w:type="dxa"/>
              <w:bottom w:w="70" w:type="dxa"/>
              <w:end w:w="80" w:type="dxa"/>
            </w:tcMar>
            <w:vAlign w:val="top"/>
          </w:tcPr>
          <w:p>
            <w:r>
              <w:rPr>
                <w:sz w:val="15"/>
              </w:rPr>
              <w:t>Analytics types and DB columns can diverge.</w:t>
            </w:r>
          </w:p>
        </w:tc>
        <w:tc>
          <w:tcPr>
            <w:tcW w:type="dxa" w:w="1704"/>
            <w:tcMar>
              <w:top w:w="70" w:type="dxa"/>
              <w:start w:w="80" w:type="dxa"/>
              <w:bottom w:w="70" w:type="dxa"/>
              <w:end w:w="80" w:type="dxa"/>
            </w:tcMar>
            <w:vAlign w:val="top"/>
          </w:tcPr>
          <w:p>
            <w:r>
              <w:rPr>
                <w:sz w:val="15"/>
              </w:rPr>
              <w:t>Canonical envelope uses user_id, session_id, event_name, event_version, occurred_at, route, object_type, object_id, properties, source, experiment_key/variant. No actor_ref field.</w:t>
            </w:r>
          </w:p>
        </w:tc>
      </w:tr>
      <w:tr>
        <w:tc>
          <w:tcPr>
            <w:tcW w:type="dxa" w:w="1704"/>
            <w:tcMar>
              <w:top w:w="70" w:type="dxa"/>
              <w:start w:w="80" w:type="dxa"/>
              <w:bottom w:w="70" w:type="dxa"/>
              <w:end w:w="80" w:type="dxa"/>
            </w:tcMar>
            <w:vAlign w:val="top"/>
          </w:tcPr>
          <w:p>
            <w:r>
              <w:rPr>
                <w:sz w:val="15"/>
              </w:rPr>
              <w:t>R-28</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Notification contract persistence name</w:t>
            </w:r>
          </w:p>
        </w:tc>
        <w:tc>
          <w:tcPr>
            <w:tcW w:type="dxa" w:w="1704"/>
            <w:tcMar>
              <w:top w:w="70" w:type="dxa"/>
              <w:start w:w="80" w:type="dxa"/>
              <w:bottom w:w="70" w:type="dxa"/>
              <w:end w:w="80" w:type="dxa"/>
            </w:tcMar>
            <w:vAlign w:val="top"/>
          </w:tcPr>
          <w:p>
            <w:r>
              <w:rPr>
                <w:sz w:val="15"/>
              </w:rPr>
              <w:t>Document 4 lists notification.v1 persistence as notifications, but canonical DB has notification_preferences and notification_deliveries only.</w:t>
            </w:r>
          </w:p>
        </w:tc>
        <w:tc>
          <w:tcPr>
            <w:tcW w:type="dxa" w:w="1704"/>
            <w:tcMar>
              <w:top w:w="70" w:type="dxa"/>
              <w:start w:w="80" w:type="dxa"/>
              <w:bottom w:w="70" w:type="dxa"/>
              <w:end w:w="80" w:type="dxa"/>
            </w:tcMar>
            <w:vAlign w:val="top"/>
          </w:tcPr>
          <w:p>
            <w:r>
              <w:rPr>
                <w:sz w:val="15"/>
              </w:rPr>
              <w:t>AI contract could invent a non-existent persistence table.</w:t>
            </w:r>
          </w:p>
        </w:tc>
        <w:tc>
          <w:tcPr>
            <w:tcW w:type="dxa" w:w="1704"/>
            <w:tcMar>
              <w:top w:w="70" w:type="dxa"/>
              <w:start w:w="80" w:type="dxa"/>
              <w:bottom w:w="70" w:type="dxa"/>
              <w:end w:w="80" w:type="dxa"/>
            </w:tcMar>
            <w:vAlign w:val="top"/>
          </w:tcPr>
          <w:p>
            <w:r>
              <w:rPr>
                <w:sz w:val="15"/>
              </w:rPr>
              <w:t>notification.v1 is a message payload contract. Persistence target is notification_deliveries after preference evaluation; preference policy comes from notification_preferences.</w:t>
            </w:r>
          </w:p>
        </w:tc>
      </w:tr>
      <w:tr>
        <w:tc>
          <w:tcPr>
            <w:tcW w:type="dxa" w:w="1704"/>
            <w:tcMar>
              <w:top w:w="70" w:type="dxa"/>
              <w:start w:w="80" w:type="dxa"/>
              <w:bottom w:w="70" w:type="dxa"/>
              <w:end w:w="80" w:type="dxa"/>
            </w:tcMar>
            <w:vAlign w:val="top"/>
          </w:tcPr>
          <w:p>
            <w:r>
              <w:rPr>
                <w:sz w:val="15"/>
              </w:rPr>
              <w:t>R-29</w:t>
            </w:r>
          </w:p>
        </w:tc>
        <w:tc>
          <w:tcPr>
            <w:tcW w:type="dxa" w:w="1704"/>
            <w:tcMar>
              <w:top w:w="70" w:type="dxa"/>
              <w:start w:w="80" w:type="dxa"/>
              <w:bottom w:w="70" w:type="dxa"/>
              <w:end w:w="80" w:type="dxa"/>
            </w:tcMar>
            <w:vAlign w:val="top"/>
          </w:tcPr>
          <w:p>
            <w:r>
              <w:rPr>
                <w:sz w:val="15"/>
              </w:rPr>
              <w:t>MEDIUM</w:t>
            </w:r>
          </w:p>
        </w:tc>
        <w:tc>
          <w:tcPr>
            <w:tcW w:type="dxa" w:w="1704"/>
            <w:tcMar>
              <w:top w:w="70" w:type="dxa"/>
              <w:start w:w="80" w:type="dxa"/>
              <w:bottom w:w="70" w:type="dxa"/>
              <w:end w:w="80" w:type="dxa"/>
            </w:tcMar>
            <w:vAlign w:val="top"/>
          </w:tcPr>
          <w:p>
            <w:r>
              <w:rPr>
                <w:sz w:val="15"/>
              </w:rPr>
              <w:t>AI task identifiers vs prompt/schema identifiers</w:t>
            </w:r>
          </w:p>
        </w:tc>
        <w:tc>
          <w:tcPr>
            <w:tcW w:type="dxa" w:w="1704"/>
            <w:tcMar>
              <w:top w:w="70" w:type="dxa"/>
              <w:start w:w="80" w:type="dxa"/>
              <w:bottom w:w="70" w:type="dxa"/>
              <w:end w:w="80" w:type="dxa"/>
            </w:tcMar>
            <w:vAlign w:val="top"/>
          </w:tcPr>
          <w:p>
            <w:r>
              <w:rPr>
                <w:sz w:val="15"/>
              </w:rPr>
              <w:t>AITask uses profile_extract/opportunity_extract/match_explain; data contracts use candidate-profile-extraction.v1, opportunity-extraction.v1, match-explanation.v1.</w:t>
            </w:r>
          </w:p>
        </w:tc>
        <w:tc>
          <w:tcPr>
            <w:tcW w:type="dxa" w:w="1704"/>
            <w:tcMar>
              <w:top w:w="70" w:type="dxa"/>
              <w:start w:w="80" w:type="dxa"/>
              <w:bottom w:w="70" w:type="dxa"/>
              <w:end w:w="80" w:type="dxa"/>
            </w:tcMar>
            <w:vAlign w:val="top"/>
          </w:tcPr>
          <w:p>
            <w:r>
              <w:rPr>
                <w:sz w:val="15"/>
              </w:rPr>
              <w:t>Names are related but can be mistaken for the same registry key.</w:t>
            </w:r>
          </w:p>
        </w:tc>
        <w:tc>
          <w:tcPr>
            <w:tcW w:type="dxa" w:w="1704"/>
            <w:tcMar>
              <w:top w:w="70" w:type="dxa"/>
              <w:start w:w="80" w:type="dxa"/>
              <w:bottom w:w="70" w:type="dxa"/>
              <w:end w:w="80" w:type="dxa"/>
            </w:tcMar>
            <w:vAlign w:val="top"/>
          </w:tcPr>
          <w:p>
            <w:r>
              <w:rPr>
                <w:sz w:val="15"/>
              </w:rPr>
              <w:t>Freeze three distinct namespaces: task key, prompt version, schema version. Example: task=profile_extract; prompt=profile-extract.v1; schema=candidate-profile-extraction.v1.</w:t>
            </w:r>
          </w:p>
        </w:tc>
      </w:tr>
      <w:tr>
        <w:tc>
          <w:tcPr>
            <w:tcW w:type="dxa" w:w="1704"/>
            <w:tcMar>
              <w:top w:w="70" w:type="dxa"/>
              <w:start w:w="80" w:type="dxa"/>
              <w:bottom w:w="70" w:type="dxa"/>
              <w:end w:w="80" w:type="dxa"/>
            </w:tcMar>
            <w:vAlign w:val="top"/>
          </w:tcPr>
          <w:p>
            <w:r>
              <w:rPr>
                <w:sz w:val="15"/>
              </w:rPr>
              <w:t>R-30</w:t>
            </w:r>
          </w:p>
        </w:tc>
        <w:tc>
          <w:tcPr>
            <w:tcW w:type="dxa" w:w="1704"/>
            <w:tcMar>
              <w:top w:w="70" w:type="dxa"/>
              <w:start w:w="80" w:type="dxa"/>
              <w:bottom w:w="70" w:type="dxa"/>
              <w:end w:w="80" w:type="dxa"/>
            </w:tcMar>
            <w:vAlign w:val="top"/>
          </w:tcPr>
          <w:p>
            <w:r>
              <w:rPr>
                <w:sz w:val="15"/>
              </w:rPr>
              <w:t>MEDIUM</w:t>
            </w:r>
          </w:p>
        </w:tc>
        <w:tc>
          <w:tcPr>
            <w:tcW w:type="dxa" w:w="1704"/>
            <w:tcMar>
              <w:top w:w="70" w:type="dxa"/>
              <w:start w:w="80" w:type="dxa"/>
              <w:bottom w:w="70" w:type="dxa"/>
              <w:end w:w="80" w:type="dxa"/>
            </w:tcMar>
            <w:vAlign w:val="top"/>
          </w:tcPr>
          <w:p>
            <w:r>
              <w:rPr>
                <w:sz w:val="15"/>
              </w:rPr>
              <w:t>Conceptual AI endpoints vs public API surface</w:t>
            </w:r>
          </w:p>
        </w:tc>
        <w:tc>
          <w:tcPr>
            <w:tcW w:type="dxa" w:w="1704"/>
            <w:tcMar>
              <w:top w:w="70" w:type="dxa"/>
              <w:start w:w="80" w:type="dxa"/>
              <w:bottom w:w="70" w:type="dxa"/>
              <w:end w:w="80" w:type="dxa"/>
            </w:tcMar>
            <w:vAlign w:val="top"/>
          </w:tcPr>
          <w:p>
            <w:r>
              <w:rPr>
                <w:sz w:val="15"/>
              </w:rPr>
              <w:t>Document 4 lists /api/ai/* boundaries; Roadmap uses internal gateway/service functions and concrete document/opportunity endpoints.</w:t>
            </w:r>
          </w:p>
        </w:tc>
        <w:tc>
          <w:tcPr>
            <w:tcW w:type="dxa" w:w="1704"/>
            <w:tcMar>
              <w:top w:w="70" w:type="dxa"/>
              <w:start w:w="80" w:type="dxa"/>
              <w:bottom w:w="70" w:type="dxa"/>
              <w:end w:w="80" w:type="dxa"/>
            </w:tcMar>
            <w:vAlign w:val="top"/>
          </w:tcPr>
          <w:p>
            <w:r>
              <w:rPr>
                <w:sz w:val="15"/>
              </w:rPr>
              <w:t>Claude may create unnecessary public AI HTTP routes.</w:t>
            </w:r>
          </w:p>
        </w:tc>
        <w:tc>
          <w:tcPr>
            <w:tcW w:type="dxa" w:w="1704"/>
            <w:tcMar>
              <w:top w:w="70" w:type="dxa"/>
              <w:start w:w="80" w:type="dxa"/>
              <w:bottom w:w="70" w:type="dxa"/>
              <w:end w:w="80" w:type="dxa"/>
            </w:tcMar>
            <w:vAlign w:val="top"/>
          </w:tcPr>
          <w:p>
            <w:r>
              <w:rPr>
                <w:sz w:val="15"/>
              </w:rPr>
              <w:t>Treat /api/ai/* as internal service boundaries, not required public endpoints. Public routes expose domain operations. AI Gateway is server-only.</w:t>
            </w:r>
          </w:p>
        </w:tc>
      </w:tr>
      <w:tr>
        <w:tc>
          <w:tcPr>
            <w:tcW w:type="dxa" w:w="1704"/>
            <w:tcMar>
              <w:top w:w="70" w:type="dxa"/>
              <w:start w:w="80" w:type="dxa"/>
              <w:bottom w:w="70" w:type="dxa"/>
              <w:end w:w="80" w:type="dxa"/>
            </w:tcMar>
            <w:vAlign w:val="top"/>
          </w:tcPr>
          <w:p>
            <w:r>
              <w:rPr>
                <w:sz w:val="15"/>
              </w:rPr>
              <w:t>R-31</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Application tracker endpoint/state coverage</w:t>
            </w:r>
          </w:p>
        </w:tc>
        <w:tc>
          <w:tcPr>
            <w:tcW w:type="dxa" w:w="1704"/>
            <w:tcMar>
              <w:top w:w="70" w:type="dxa"/>
              <w:start w:w="80" w:type="dxa"/>
              <w:bottom w:w="70" w:type="dxa"/>
              <w:end w:w="80" w:type="dxa"/>
            </w:tcMar>
            <w:vAlign w:val="top"/>
          </w:tcPr>
          <w:p>
            <w:r>
              <w:rPr>
                <w:sz w:val="15"/>
              </w:rPr>
              <w:t>Data model defines applications + application_events, but concrete roadmap endpoints focus on apply-click and save.</w:t>
            </w:r>
          </w:p>
        </w:tc>
        <w:tc>
          <w:tcPr>
            <w:tcW w:type="dxa" w:w="1704"/>
            <w:tcMar>
              <w:top w:w="70" w:type="dxa"/>
              <w:start w:w="80" w:type="dxa"/>
              <w:bottom w:w="70" w:type="dxa"/>
              <w:end w:w="80" w:type="dxa"/>
            </w:tcMar>
            <w:vAlign w:val="top"/>
          </w:tcPr>
          <w:p>
            <w:r>
              <w:rPr>
                <w:sz w:val="15"/>
              </w:rPr>
              <w:t>There is no single explicit contract for creating/updating a tracker row and emitting timeline events.</w:t>
            </w:r>
          </w:p>
        </w:tc>
        <w:tc>
          <w:tcPr>
            <w:tcW w:type="dxa" w:w="1704"/>
            <w:tcMar>
              <w:top w:w="70" w:type="dxa"/>
              <w:start w:w="80" w:type="dxa"/>
              <w:bottom w:w="70" w:type="dxa"/>
              <w:end w:w="80" w:type="dxa"/>
            </w:tcMar>
            <w:vAlign w:val="top"/>
          </w:tcPr>
          <w:p>
            <w:r>
              <w:rPr>
                <w:sz w:val="15"/>
              </w:rPr>
              <w:t>Canonical Phase 1/4 service: create/upsert application when user starts tracking or clicks official apply; event taxonomy is immutable. apply-click must never imply applied_self_reported. Define explicit application service contracts before UI build.</w:t>
            </w:r>
          </w:p>
        </w:tc>
      </w:tr>
      <w:tr>
        <w:tc>
          <w:tcPr>
            <w:tcW w:type="dxa" w:w="1704"/>
            <w:tcMar>
              <w:top w:w="70" w:type="dxa"/>
              <w:start w:w="80" w:type="dxa"/>
              <w:bottom w:w="70" w:type="dxa"/>
              <w:end w:w="80" w:type="dxa"/>
            </w:tcMar>
            <w:vAlign w:val="top"/>
          </w:tcPr>
          <w:p>
            <w:r>
              <w:rPr>
                <w:sz w:val="15"/>
              </w:rPr>
              <w:t>R-32</w:t>
            </w:r>
          </w:p>
        </w:tc>
        <w:tc>
          <w:tcPr>
            <w:tcW w:type="dxa" w:w="1704"/>
            <w:tcMar>
              <w:top w:w="70" w:type="dxa"/>
              <w:start w:w="80" w:type="dxa"/>
              <w:bottom w:w="70" w:type="dxa"/>
              <w:end w:w="80" w:type="dxa"/>
            </w:tcMar>
            <w:vAlign w:val="top"/>
          </w:tcPr>
          <w:p>
            <w:r>
              <w:rPr>
                <w:sz w:val="15"/>
              </w:rPr>
              <w:t>MEDIUM</w:t>
            </w:r>
          </w:p>
        </w:tc>
        <w:tc>
          <w:tcPr>
            <w:tcW w:type="dxa" w:w="1704"/>
            <w:tcMar>
              <w:top w:w="70" w:type="dxa"/>
              <w:start w:w="80" w:type="dxa"/>
              <w:bottom w:w="70" w:type="dxa"/>
              <w:end w:w="80" w:type="dxa"/>
            </w:tcMar>
            <w:vAlign w:val="top"/>
          </w:tcPr>
          <w:p>
            <w:r>
              <w:rPr>
                <w:sz w:val="15"/>
              </w:rPr>
              <w:t>Numeric score leakage into UX/notifications</w:t>
            </w:r>
          </w:p>
        </w:tc>
        <w:tc>
          <w:tcPr>
            <w:tcW w:type="dxa" w:w="1704"/>
            <w:tcMar>
              <w:top w:w="70" w:type="dxa"/>
              <w:start w:w="80" w:type="dxa"/>
              <w:bottom w:w="70" w:type="dxa"/>
              <w:end w:w="80" w:type="dxa"/>
            </w:tcMar>
            <w:vAlign w:val="top"/>
          </w:tcPr>
          <w:p>
            <w:r>
              <w:rPr>
                <w:sz w:val="15"/>
              </w:rPr>
              <w:t>Numeric score exists internally while UX/growth correctly defaults to labels. Some notification configuration still calls the threshold min_match_score.</w:t>
            </w:r>
          </w:p>
        </w:tc>
        <w:tc>
          <w:tcPr>
            <w:tcW w:type="dxa" w:w="1704"/>
            <w:tcMar>
              <w:top w:w="70" w:type="dxa"/>
              <w:start w:w="80" w:type="dxa"/>
              <w:bottom w:w="70" w:type="dxa"/>
              <w:end w:w="80" w:type="dxa"/>
            </w:tcMar>
            <w:vAlign w:val="top"/>
          </w:tcPr>
          <w:p>
            <w:r>
              <w:rPr>
                <w:sz w:val="15"/>
              </w:rPr>
              <w:t>A numeric field could accidentally become user-facing or public analytics.</w:t>
            </w:r>
          </w:p>
        </w:tc>
        <w:tc>
          <w:tcPr>
            <w:tcW w:type="dxa" w:w="1704"/>
            <w:tcMar>
              <w:top w:w="70" w:type="dxa"/>
              <w:start w:w="80" w:type="dxa"/>
              <w:bottom w:w="70" w:type="dxa"/>
              <w:end w:w="80" w:type="dxa"/>
            </w:tcMar>
            <w:vAlign w:val="top"/>
          </w:tcPr>
          <w:p>
            <w:r>
              <w:rPr>
                <w:sz w:val="15"/>
              </w:rPr>
              <w:t>Keep match_score internal/secondary. Public API defaults to match_label. Notification thresholds may remain internal configuration but must not be rendered as numeric suitability or used in public links.</w:t>
            </w:r>
          </w:p>
        </w:tc>
      </w:tr>
      <w:tr>
        <w:tc>
          <w:tcPr>
            <w:tcW w:type="dxa" w:w="1704"/>
            <w:tcMar>
              <w:top w:w="70" w:type="dxa"/>
              <w:start w:w="80" w:type="dxa"/>
              <w:bottom w:w="70" w:type="dxa"/>
              <w:end w:w="80" w:type="dxa"/>
            </w:tcMar>
            <w:vAlign w:val="top"/>
          </w:tcPr>
          <w:p>
            <w:r>
              <w:rPr>
                <w:sz w:val="15"/>
              </w:rPr>
              <w:t>R-33</w:t>
            </w:r>
          </w:p>
        </w:tc>
        <w:tc>
          <w:tcPr>
            <w:tcW w:type="dxa" w:w="1704"/>
            <w:tcMar>
              <w:top w:w="70" w:type="dxa"/>
              <w:start w:w="80" w:type="dxa"/>
              <w:bottom w:w="70" w:type="dxa"/>
              <w:end w:w="80" w:type="dxa"/>
            </w:tcMar>
            <w:vAlign w:val="top"/>
          </w:tcPr>
          <w:p>
            <w:r>
              <w:rPr>
                <w:sz w:val="15"/>
              </w:rPr>
              <w:t>MEDIUM</w:t>
            </w:r>
          </w:p>
        </w:tc>
        <w:tc>
          <w:tcPr>
            <w:tcW w:type="dxa" w:w="1704"/>
            <w:tcMar>
              <w:top w:w="70" w:type="dxa"/>
              <w:start w:w="80" w:type="dxa"/>
              <w:bottom w:w="70" w:type="dxa"/>
              <w:end w:w="80" w:type="dxa"/>
            </w:tcMar>
            <w:vAlign w:val="top"/>
          </w:tcPr>
          <w:p>
            <w:r>
              <w:rPr>
                <w:sz w:val="15"/>
              </w:rPr>
              <w:t>Future capability identifiers remain available in current registries</w:t>
            </w:r>
          </w:p>
        </w:tc>
        <w:tc>
          <w:tcPr>
            <w:tcW w:type="dxa" w:w="1704"/>
            <w:tcMar>
              <w:top w:w="70" w:type="dxa"/>
              <w:start w:w="80" w:type="dxa"/>
              <w:bottom w:w="70" w:type="dxa"/>
              <w:end w:w="80" w:type="dxa"/>
            </w:tcMar>
            <w:vAlign w:val="top"/>
          </w:tcPr>
          <w:p>
            <w:r>
              <w:rPr>
                <w:sz w:val="15"/>
              </w:rPr>
              <w:t>AI task registry contains cv_tailor, cover_letter, application_answer, learning_rank, marketing_draft; some database tables already reserve generated_documents.</w:t>
            </w:r>
          </w:p>
        </w:tc>
        <w:tc>
          <w:tcPr>
            <w:tcW w:type="dxa" w:w="1704"/>
            <w:tcMar>
              <w:top w:w="70" w:type="dxa"/>
              <w:start w:w="80" w:type="dxa"/>
              <w:bottom w:w="70" w:type="dxa"/>
              <w:end w:w="80" w:type="dxa"/>
            </w:tcMar>
            <w:vAlign w:val="top"/>
          </w:tcPr>
          <w:p>
            <w:r>
              <w:rPr>
                <w:sz w:val="15"/>
              </w:rPr>
              <w:t>Claude could accidentally activate deferred features while scaffolding Phase 1.</w:t>
            </w:r>
          </w:p>
        </w:tc>
        <w:tc>
          <w:tcPr>
            <w:tcW w:type="dxa" w:w="1704"/>
            <w:tcMar>
              <w:top w:w="70" w:type="dxa"/>
              <w:start w:w="80" w:type="dxa"/>
              <w:bottom w:w="70" w:type="dxa"/>
              <w:end w:w="80" w:type="dxa"/>
            </w:tcMar>
            <w:vAlign w:val="top"/>
          </w:tcPr>
          <w:p>
            <w:r>
              <w:rPr>
                <w:sz w:val="15"/>
              </w:rPr>
              <w:t>Registry entries may exist but must be marked disabled/deferred. Phase 1 prompt must forbid implementing their production workflows. Architecture reservation is allowed; executable dependencies are not.</w:t>
            </w:r>
          </w:p>
        </w:tc>
      </w:tr>
      <w:tr>
        <w:tc>
          <w:tcPr>
            <w:tcW w:type="dxa" w:w="1704"/>
            <w:tcMar>
              <w:top w:w="70" w:type="dxa"/>
              <w:start w:w="80" w:type="dxa"/>
              <w:bottom w:w="70" w:type="dxa"/>
              <w:end w:w="80" w:type="dxa"/>
            </w:tcMar>
            <w:vAlign w:val="top"/>
          </w:tcPr>
          <w:p>
            <w:r>
              <w:rPr>
                <w:sz w:val="15"/>
              </w:rPr>
              <w:t>R-34</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Skill risk escalation</w:t>
            </w:r>
          </w:p>
        </w:tc>
        <w:tc>
          <w:tcPr>
            <w:tcW w:type="dxa" w:w="1704"/>
            <w:tcMar>
              <w:top w:w="70" w:type="dxa"/>
              <w:start w:w="80" w:type="dxa"/>
              <w:bottom w:w="70" w:type="dxa"/>
              <w:end w:w="80" w:type="dxa"/>
            </w:tcMar>
            <w:vAlign w:val="top"/>
          </w:tcPr>
          <w:p>
            <w:r>
              <w:rPr>
                <w:sz w:val="15"/>
              </w:rPr>
              <w:t>Document 12 labels ai-prompt-engineer and some implementation skills with base risk levels, while Document 11 treats critical AI contract changes as Red.</w:t>
            </w:r>
          </w:p>
        </w:tc>
        <w:tc>
          <w:tcPr>
            <w:tcW w:type="dxa" w:w="1704"/>
            <w:tcMar>
              <w:top w:w="70" w:type="dxa"/>
              <w:start w:w="80" w:type="dxa"/>
              <w:bottom w:w="70" w:type="dxa"/>
              <w:end w:w="80" w:type="dxa"/>
            </w:tcMar>
            <w:vAlign w:val="top"/>
          </w:tcPr>
          <w:p>
            <w:r>
              <w:rPr>
                <w:sz w:val="15"/>
              </w:rPr>
              <w:t>A skill could execute a protected change under a lower autonomy class.</w:t>
            </w:r>
          </w:p>
        </w:tc>
        <w:tc>
          <w:tcPr>
            <w:tcW w:type="dxa" w:w="1704"/>
            <w:tcMar>
              <w:top w:w="70" w:type="dxa"/>
              <w:start w:w="80" w:type="dxa"/>
              <w:bottom w:w="70" w:type="dxa"/>
              <w:end w:w="80" w:type="dxa"/>
            </w:tcMar>
            <w:vAlign w:val="top"/>
          </w:tcPr>
          <w:p>
            <w:r>
              <w:rPr>
                <w:sz w:val="15"/>
              </w:rPr>
              <w:t>Risk level is minimum/base risk. Any change affecting critical prompts, schemas, policy versions, matching semantics, PII, RLS, or provider enablement escalates to Red and requires ADR/review.</w:t>
            </w:r>
          </w:p>
        </w:tc>
      </w:tr>
      <w:tr>
        <w:tc>
          <w:tcPr>
            <w:tcW w:type="dxa" w:w="1704"/>
            <w:tcMar>
              <w:top w:w="70" w:type="dxa"/>
              <w:start w:w="80" w:type="dxa"/>
              <w:bottom w:w="70" w:type="dxa"/>
              <w:end w:w="80" w:type="dxa"/>
            </w:tcMar>
            <w:vAlign w:val="top"/>
          </w:tcPr>
          <w:p>
            <w:r>
              <w:rPr>
                <w:sz w:val="15"/>
              </w:rPr>
              <w:t>R-35</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Document 12 body size/progressive disclosure</w:t>
            </w:r>
          </w:p>
        </w:tc>
        <w:tc>
          <w:tcPr>
            <w:tcW w:type="dxa" w:w="1704"/>
            <w:tcMar>
              <w:top w:w="70" w:type="dxa"/>
              <w:start w:w="80" w:type="dxa"/>
              <w:bottom w:w="70" w:type="dxa"/>
              <w:end w:w="80" w:type="dxa"/>
            </w:tcMar>
            <w:vAlign w:val="top"/>
          </w:tcPr>
          <w:p>
            <w:r>
              <w:rPr>
                <w:sz w:val="15"/>
              </w:rPr>
              <w:t>The actual Document 12 contains large exact prompts and extensive operational content. Current official Skills guidance recommends concise SKILL.md bodies under 500 lines and one-level-deep references.</w:t>
            </w:r>
          </w:p>
        </w:tc>
        <w:tc>
          <w:tcPr>
            <w:tcW w:type="dxa" w:w="1704"/>
            <w:tcMar>
              <w:top w:w="70" w:type="dxa"/>
              <w:start w:w="80" w:type="dxa"/>
              <w:bottom w:w="70" w:type="dxa"/>
              <w:end w:w="80" w:type="dxa"/>
            </w:tcMar>
            <w:vAlign w:val="top"/>
          </w:tcPr>
          <w:p>
            <w:r>
              <w:rPr>
                <w:sz w:val="15"/>
              </w:rPr>
              <w:t>Loading a skill can consume unnecessary context and reduce agent focus.</w:t>
            </w:r>
          </w:p>
        </w:tc>
        <w:tc>
          <w:tcPr>
            <w:tcW w:type="dxa" w:w="1704"/>
            <w:tcMar>
              <w:top w:w="70" w:type="dxa"/>
              <w:start w:w="80" w:type="dxa"/>
              <w:bottom w:w="70" w:type="dxa"/>
              <w:end w:w="80" w:type="dxa"/>
            </w:tcMar>
            <w:vAlign w:val="top"/>
          </w:tcPr>
          <w:p>
            <w:r>
              <w:rPr>
                <w:sz w:val="15"/>
              </w:rPr>
              <w:t>Keep SKILL.md as a concise operational core. Move long tables, examples, evaluation methodology, RLS matrices, and reference contracts into one-level-deep reference files.</w:t>
            </w:r>
          </w:p>
        </w:tc>
      </w:tr>
      <w:tr>
        <w:tc>
          <w:tcPr>
            <w:tcW w:type="dxa" w:w="1704"/>
            <w:tcMar>
              <w:top w:w="70" w:type="dxa"/>
              <w:start w:w="80" w:type="dxa"/>
              <w:bottom w:w="70" w:type="dxa"/>
              <w:end w:w="80" w:type="dxa"/>
            </w:tcMar>
            <w:vAlign w:val="top"/>
          </w:tcPr>
          <w:p>
            <w:r>
              <w:rPr>
                <w:sz w:val="15"/>
              </w:rPr>
              <w:t>R-36</w:t>
            </w:r>
          </w:p>
        </w:tc>
        <w:tc>
          <w:tcPr>
            <w:tcW w:type="dxa" w:w="1704"/>
            <w:tcMar>
              <w:top w:w="70" w:type="dxa"/>
              <w:start w:w="80" w:type="dxa"/>
              <w:bottom w:w="70" w:type="dxa"/>
              <w:end w:w="80" w:type="dxa"/>
            </w:tcMar>
            <w:vAlign w:val="top"/>
          </w:tcPr>
          <w:p>
            <w:r>
              <w:rPr>
                <w:sz w:val="15"/>
              </w:rPr>
              <w:t>MEDIUM</w:t>
            </w:r>
          </w:p>
        </w:tc>
        <w:tc>
          <w:tcPr>
            <w:tcW w:type="dxa" w:w="1704"/>
            <w:tcMar>
              <w:top w:w="70" w:type="dxa"/>
              <w:start w:w="80" w:type="dxa"/>
              <w:bottom w:w="70" w:type="dxa"/>
              <w:end w:w="80" w:type="dxa"/>
            </w:tcMar>
            <w:vAlign w:val="top"/>
          </w:tcPr>
          <w:p>
            <w:r>
              <w:rPr>
                <w:sz w:val="15"/>
              </w:rPr>
              <w:t>Parser is named as Docling but production parser is not yet frozen</w:t>
            </w:r>
          </w:p>
        </w:tc>
        <w:tc>
          <w:tcPr>
            <w:tcW w:type="dxa" w:w="1704"/>
            <w:tcMar>
              <w:top w:w="70" w:type="dxa"/>
              <w:start w:w="80" w:type="dxa"/>
              <w:bottom w:w="70" w:type="dxa"/>
              <w:end w:w="80" w:type="dxa"/>
            </w:tcMar>
            <w:vAlign w:val="top"/>
          </w:tcPr>
          <w:p>
            <w:r>
              <w:rPr>
                <w:sz w:val="15"/>
              </w:rPr>
              <w:t>Document 4 says evaluate Docling first; Roadmap makes parser benchmark a Phase 0 gate.</w:t>
            </w:r>
          </w:p>
        </w:tc>
        <w:tc>
          <w:tcPr>
            <w:tcW w:type="dxa" w:w="1704"/>
            <w:tcMar>
              <w:top w:w="70" w:type="dxa"/>
              <w:start w:w="80" w:type="dxa"/>
              <w:bottom w:w="70" w:type="dxa"/>
              <w:end w:w="80" w:type="dxa"/>
            </w:tcMar>
            <w:vAlign w:val="top"/>
          </w:tcPr>
          <w:p>
            <w:r>
              <w:rPr>
                <w:sz w:val="15"/>
              </w:rPr>
              <w:t>Hard-wiring Docling before the spike can create avoidable rework.</w:t>
            </w:r>
          </w:p>
        </w:tc>
        <w:tc>
          <w:tcPr>
            <w:tcW w:type="dxa" w:w="1704"/>
            <w:tcMar>
              <w:top w:w="70" w:type="dxa"/>
              <w:start w:w="80" w:type="dxa"/>
              <w:bottom w:w="70" w:type="dxa"/>
              <w:end w:w="80" w:type="dxa"/>
            </w:tcMar>
            <w:vAlign w:val="top"/>
          </w:tcPr>
          <w:p>
            <w:r>
              <w:rPr>
                <w:sz w:val="15"/>
              </w:rPr>
              <w:t>Skill owns the parser adapter contract, not a permanent parser vendor. Phase 0 chooses the implementation after fixture benchmark.</w:t>
            </w:r>
          </w:p>
        </w:tc>
      </w:tr>
      <w:tr>
        <w:tc>
          <w:tcPr>
            <w:tcW w:type="dxa" w:w="1704"/>
            <w:tcMar>
              <w:top w:w="70" w:type="dxa"/>
              <w:start w:w="80" w:type="dxa"/>
              <w:bottom w:w="70" w:type="dxa"/>
              <w:end w:w="80" w:type="dxa"/>
            </w:tcMar>
            <w:vAlign w:val="top"/>
          </w:tcPr>
          <w:p>
            <w:r>
              <w:rPr>
                <w:sz w:val="15"/>
              </w:rPr>
              <w:t>R-37</w:t>
            </w:r>
          </w:p>
        </w:tc>
        <w:tc>
          <w:tcPr>
            <w:tcW w:type="dxa" w:w="1704"/>
            <w:tcMar>
              <w:top w:w="70" w:type="dxa"/>
              <w:start w:w="80" w:type="dxa"/>
              <w:bottom w:w="70" w:type="dxa"/>
              <w:end w:w="80" w:type="dxa"/>
            </w:tcMar>
            <w:vAlign w:val="top"/>
          </w:tcPr>
          <w:p>
            <w:r>
              <w:rPr>
                <w:sz w:val="15"/>
              </w:rPr>
              <w:t>HIGH</w:t>
            </w:r>
          </w:p>
        </w:tc>
        <w:tc>
          <w:tcPr>
            <w:tcW w:type="dxa" w:w="1704"/>
            <w:tcMar>
              <w:top w:w="70" w:type="dxa"/>
              <w:start w:w="80" w:type="dxa"/>
              <w:bottom w:w="70" w:type="dxa"/>
              <w:end w:w="80" w:type="dxa"/>
            </w:tcMar>
            <w:vAlign w:val="top"/>
          </w:tcPr>
          <w:p>
            <w:r>
              <w:rPr>
                <w:sz w:val="15"/>
              </w:rPr>
              <w:t>Root document naming and runtime source references</w:t>
            </w:r>
          </w:p>
        </w:tc>
        <w:tc>
          <w:tcPr>
            <w:tcW w:type="dxa" w:w="1704"/>
            <w:tcMar>
              <w:top w:w="70" w:type="dxa"/>
              <w:start w:w="80" w:type="dxa"/>
              <w:bottom w:w="70" w:type="dxa"/>
              <w:end w:w="80" w:type="dxa"/>
            </w:tcMar>
            <w:vAlign w:val="top"/>
          </w:tcPr>
          <w:p>
            <w:r>
              <w:rPr>
                <w:sz w:val="15"/>
              </w:rPr>
              <w:t>Document 10/11 mix root instructions, .claude-specific files, binary foundation filenames and repository markdown conventions.</w:t>
            </w:r>
          </w:p>
        </w:tc>
        <w:tc>
          <w:tcPr>
            <w:tcW w:type="dxa" w:w="1704"/>
            <w:tcMar>
              <w:top w:w="70" w:type="dxa"/>
              <w:start w:w="80" w:type="dxa"/>
              <w:bottom w:w="70" w:type="dxa"/>
              <w:end w:w="80" w:type="dxa"/>
            </w:tcMar>
            <w:vAlign w:val="top"/>
          </w:tcPr>
          <w:p>
            <w:r>
              <w:rPr>
                <w:sz w:val="15"/>
              </w:rPr>
              <w:t>Claude can load stale or nonexistent paths.</w:t>
            </w:r>
          </w:p>
        </w:tc>
        <w:tc>
          <w:tcPr>
            <w:tcW w:type="dxa" w:w="1704"/>
            <w:tcMar>
              <w:top w:w="70" w:type="dxa"/>
              <w:start w:w="80" w:type="dxa"/>
              <w:bottom w:w="70" w:type="dxa"/>
              <w:end w:w="80" w:type="dxa"/>
            </w:tcMar>
            <w:vAlign w:val="top"/>
          </w:tcPr>
          <w:p>
            <w:r>
              <w:rPr>
                <w:sz w:val="15"/>
              </w:rPr>
              <w:t>Document 13 must reference only runtime repository paths and canonical-contracts.md. Foundation DOCX files are evidence sources, not runtime dependencies.</w:t>
            </w:r>
          </w:p>
        </w:tc>
      </w:tr>
    </w:tbl>
    <w:p>
      <w:r>
        <w:br w:type="page"/>
      </w:r>
    </w:p>
    <w:p>
      <w:pPr>
        <w:pStyle w:val="Heading1"/>
      </w:pPr>
      <w:r>
        <w:t>4. Canonical Contracts to Freeze</w:t>
      </w:r>
    </w:p>
    <w:p>
      <w:pPr>
        <w:pStyle w:val="Heading2"/>
      </w:pPr>
      <w:r>
        <w:t>4.1 Entity and field vocabulary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tcMar>
              <w:top w:w="70" w:type="dxa"/>
              <w:start w:w="80" w:type="dxa"/>
              <w:bottom w:w="70" w:type="dxa"/>
              <w:end w:w="80" w:type="dxa"/>
            </w:tcMar>
            <w:vAlign w:val="center"/>
          </w:tcPr>
          <w:p>
            <w:r>
              <w:rPr>
                <w:b/>
                <w:sz w:val="16"/>
              </w:rPr>
              <w:t>Concept</w:t>
            </w:r>
          </w:p>
        </w:tc>
        <w:tc>
          <w:tcPr>
            <w:tcW w:type="dxa" w:w="3408"/>
            <w:shd w:fill="D9E2F3"/>
            <w:tcMar>
              <w:top w:w="70" w:type="dxa"/>
              <w:start w:w="80" w:type="dxa"/>
              <w:bottom w:w="70" w:type="dxa"/>
              <w:end w:w="80" w:type="dxa"/>
            </w:tcMar>
            <w:vAlign w:val="center"/>
          </w:tcPr>
          <w:p>
            <w:r>
              <w:rPr>
                <w:b/>
                <w:sz w:val="16"/>
              </w:rPr>
              <w:t>Canonical</w:t>
            </w:r>
          </w:p>
        </w:tc>
        <w:tc>
          <w:tcPr>
            <w:tcW w:type="dxa" w:w="3408"/>
            <w:shd w:fill="D9E2F3"/>
            <w:tcMar>
              <w:top w:w="70" w:type="dxa"/>
              <w:start w:w="80" w:type="dxa"/>
              <w:bottom w:w="70" w:type="dxa"/>
              <w:end w:w="80" w:type="dxa"/>
            </w:tcMar>
            <w:vAlign w:val="center"/>
          </w:tcPr>
          <w:p>
            <w:r>
              <w:rPr>
                <w:b/>
                <w:sz w:val="16"/>
              </w:rPr>
              <w:t>Do not use</w:t>
            </w:r>
          </w:p>
        </w:tc>
      </w:tr>
      <w:tr>
        <w:tc>
          <w:tcPr>
            <w:tcW w:type="dxa" w:w="3408"/>
            <w:tcMar>
              <w:top w:w="70" w:type="dxa"/>
              <w:start w:w="80" w:type="dxa"/>
              <w:bottom w:w="70" w:type="dxa"/>
              <w:end w:w="80" w:type="dxa"/>
            </w:tcMar>
            <w:vAlign w:val="top"/>
          </w:tcPr>
          <w:p>
            <w:r>
              <w:rPr>
                <w:sz w:val="15"/>
              </w:rPr>
              <w:t>Opportunity category</w:t>
            </w:r>
          </w:p>
        </w:tc>
        <w:tc>
          <w:tcPr>
            <w:tcW w:type="dxa" w:w="3408"/>
            <w:tcMar>
              <w:top w:w="70" w:type="dxa"/>
              <w:start w:w="80" w:type="dxa"/>
              <w:bottom w:w="70" w:type="dxa"/>
              <w:end w:w="80" w:type="dxa"/>
            </w:tcMar>
            <w:vAlign w:val="top"/>
          </w:tcPr>
          <w:p>
            <w:r>
              <w:rPr>
                <w:sz w:val="15"/>
              </w:rPr>
              <w:t>opportunity_type_id → opportunity_types</w:t>
            </w:r>
          </w:p>
        </w:tc>
        <w:tc>
          <w:tcPr>
            <w:tcW w:type="dxa" w:w="3408"/>
            <w:tcMar>
              <w:top w:w="70" w:type="dxa"/>
              <w:start w:w="80" w:type="dxa"/>
              <w:bottom w:w="70" w:type="dxa"/>
              <w:end w:w="80" w:type="dxa"/>
            </w:tcMar>
            <w:vAlign w:val="top"/>
          </w:tcPr>
          <w:p>
            <w:r>
              <w:rPr>
                <w:sz w:val="15"/>
              </w:rPr>
              <w:t>job_types, employment_type</w:t>
            </w:r>
          </w:p>
        </w:tc>
      </w:tr>
      <w:tr>
        <w:tc>
          <w:tcPr>
            <w:tcW w:type="dxa" w:w="3408"/>
            <w:tcMar>
              <w:top w:w="70" w:type="dxa"/>
              <w:start w:w="80" w:type="dxa"/>
              <w:bottom w:w="70" w:type="dxa"/>
              <w:end w:w="80" w:type="dxa"/>
            </w:tcMar>
            <w:vAlign w:val="top"/>
          </w:tcPr>
          <w:p>
            <w:r>
              <w:rPr>
                <w:sz w:val="15"/>
              </w:rPr>
              <w:t>Engagement arrangement</w:t>
            </w:r>
          </w:p>
        </w:tc>
        <w:tc>
          <w:tcPr>
            <w:tcW w:type="dxa" w:w="3408"/>
            <w:tcMar>
              <w:top w:w="70" w:type="dxa"/>
              <w:start w:w="80" w:type="dxa"/>
              <w:bottom w:w="70" w:type="dxa"/>
              <w:end w:w="80" w:type="dxa"/>
            </w:tcMar>
            <w:vAlign w:val="top"/>
          </w:tcPr>
          <w:p>
            <w:r>
              <w:rPr>
                <w:sz w:val="15"/>
              </w:rPr>
              <w:t>employment_type → employment_types</w:t>
            </w:r>
          </w:p>
        </w:tc>
        <w:tc>
          <w:tcPr>
            <w:tcW w:type="dxa" w:w="3408"/>
            <w:tcMar>
              <w:top w:w="70" w:type="dxa"/>
              <w:start w:w="80" w:type="dxa"/>
              <w:bottom w:w="70" w:type="dxa"/>
              <w:end w:w="80" w:type="dxa"/>
            </w:tcMar>
            <w:vAlign w:val="top"/>
          </w:tcPr>
          <w:p>
            <w:r>
              <w:rPr>
                <w:sz w:val="15"/>
              </w:rPr>
              <w:t>opportunity_type, fixed_term unless taxonomy explicitly adds it</w:t>
            </w:r>
          </w:p>
        </w:tc>
      </w:tr>
      <w:tr>
        <w:tc>
          <w:tcPr>
            <w:tcW w:type="dxa" w:w="3408"/>
            <w:tcMar>
              <w:top w:w="70" w:type="dxa"/>
              <w:start w:w="80" w:type="dxa"/>
              <w:bottom w:w="70" w:type="dxa"/>
              <w:end w:w="80" w:type="dxa"/>
            </w:tcMar>
            <w:vAlign w:val="top"/>
          </w:tcPr>
          <w:p>
            <w:r>
              <w:rPr>
                <w:sz w:val="15"/>
              </w:rPr>
              <w:t>Official application URL</w:t>
            </w:r>
          </w:p>
        </w:tc>
        <w:tc>
          <w:tcPr>
            <w:tcW w:type="dxa" w:w="3408"/>
            <w:tcMar>
              <w:top w:w="70" w:type="dxa"/>
              <w:start w:w="80" w:type="dxa"/>
              <w:bottom w:w="70" w:type="dxa"/>
              <w:end w:w="80" w:type="dxa"/>
            </w:tcMar>
            <w:vAlign w:val="top"/>
          </w:tcPr>
          <w:p>
            <w:r>
              <w:rPr>
                <w:sz w:val="15"/>
              </w:rPr>
              <w:t>official_apply_url</w:t>
            </w:r>
          </w:p>
        </w:tc>
        <w:tc>
          <w:tcPr>
            <w:tcW w:type="dxa" w:w="3408"/>
            <w:tcMar>
              <w:top w:w="70" w:type="dxa"/>
              <w:start w:w="80" w:type="dxa"/>
              <w:bottom w:w="70" w:type="dxa"/>
              <w:end w:w="80" w:type="dxa"/>
            </w:tcMar>
            <w:vAlign w:val="top"/>
          </w:tcPr>
          <w:p>
            <w:r>
              <w:rPr>
                <w:sz w:val="15"/>
              </w:rPr>
              <w:t>application_url at persistence boundary</w:t>
            </w:r>
          </w:p>
        </w:tc>
      </w:tr>
      <w:tr>
        <w:tc>
          <w:tcPr>
            <w:tcW w:type="dxa" w:w="3408"/>
            <w:tcMar>
              <w:top w:w="70" w:type="dxa"/>
              <w:start w:w="80" w:type="dxa"/>
              <w:bottom w:w="70" w:type="dxa"/>
              <w:end w:w="80" w:type="dxa"/>
            </w:tcMar>
            <w:vAlign w:val="top"/>
          </w:tcPr>
          <w:p>
            <w:r>
              <w:rPr>
                <w:sz w:val="15"/>
              </w:rPr>
              <w:t>Generated artifact table</w:t>
            </w:r>
          </w:p>
        </w:tc>
        <w:tc>
          <w:tcPr>
            <w:tcW w:type="dxa" w:w="3408"/>
            <w:tcMar>
              <w:top w:w="70" w:type="dxa"/>
              <w:start w:w="80" w:type="dxa"/>
              <w:bottom w:w="70" w:type="dxa"/>
              <w:end w:w="80" w:type="dxa"/>
            </w:tcMar>
            <w:vAlign w:val="top"/>
          </w:tcPr>
          <w:p>
            <w:r>
              <w:rPr>
                <w:sz w:val="15"/>
              </w:rPr>
              <w:t>generated_documents</w:t>
            </w:r>
          </w:p>
        </w:tc>
        <w:tc>
          <w:tcPr>
            <w:tcW w:type="dxa" w:w="3408"/>
            <w:tcMar>
              <w:top w:w="70" w:type="dxa"/>
              <w:start w:w="80" w:type="dxa"/>
              <w:bottom w:w="70" w:type="dxa"/>
              <w:end w:w="80" w:type="dxa"/>
            </w:tcMar>
            <w:vAlign w:val="top"/>
          </w:tcPr>
          <w:p>
            <w:r>
              <w:rPr>
                <w:sz w:val="15"/>
              </w:rPr>
              <w:t>generated_files</w:t>
            </w:r>
          </w:p>
        </w:tc>
      </w:tr>
      <w:tr>
        <w:tc>
          <w:tcPr>
            <w:tcW w:type="dxa" w:w="3408"/>
            <w:tcMar>
              <w:top w:w="70" w:type="dxa"/>
              <w:start w:w="80" w:type="dxa"/>
              <w:bottom w:w="70" w:type="dxa"/>
              <w:end w:w="80" w:type="dxa"/>
            </w:tcMar>
            <w:vAlign w:val="top"/>
          </w:tcPr>
          <w:p>
            <w:r>
              <w:rPr>
                <w:sz w:val="15"/>
              </w:rPr>
              <w:t>Delivery history</w:t>
            </w:r>
          </w:p>
        </w:tc>
        <w:tc>
          <w:tcPr>
            <w:tcW w:type="dxa" w:w="3408"/>
            <w:tcMar>
              <w:top w:w="70" w:type="dxa"/>
              <w:start w:w="80" w:type="dxa"/>
              <w:bottom w:w="70" w:type="dxa"/>
              <w:end w:w="80" w:type="dxa"/>
            </w:tcMar>
            <w:vAlign w:val="top"/>
          </w:tcPr>
          <w:p>
            <w:r>
              <w:rPr>
                <w:sz w:val="15"/>
              </w:rPr>
              <w:t>notification_deliveries</w:t>
            </w:r>
          </w:p>
        </w:tc>
        <w:tc>
          <w:tcPr>
            <w:tcW w:type="dxa" w:w="3408"/>
            <w:tcMar>
              <w:top w:w="70" w:type="dxa"/>
              <w:start w:w="80" w:type="dxa"/>
              <w:bottom w:w="70" w:type="dxa"/>
              <w:end w:w="80" w:type="dxa"/>
            </w:tcMar>
            <w:vAlign w:val="top"/>
          </w:tcPr>
          <w:p>
            <w:r>
              <w:rPr>
                <w:sz w:val="15"/>
              </w:rPr>
              <w:t>notification_events</w:t>
            </w:r>
          </w:p>
        </w:tc>
      </w:tr>
      <w:tr>
        <w:tc>
          <w:tcPr>
            <w:tcW w:type="dxa" w:w="3408"/>
            <w:tcMar>
              <w:top w:w="70" w:type="dxa"/>
              <w:start w:w="80" w:type="dxa"/>
              <w:bottom w:w="70" w:type="dxa"/>
              <w:end w:w="80" w:type="dxa"/>
            </w:tcMar>
            <w:vAlign w:val="top"/>
          </w:tcPr>
          <w:p>
            <w:r>
              <w:rPr>
                <w:sz w:val="15"/>
              </w:rPr>
              <w:t>Current match</w:t>
            </w:r>
          </w:p>
        </w:tc>
        <w:tc>
          <w:tcPr>
            <w:tcW w:type="dxa" w:w="3408"/>
            <w:tcMar>
              <w:top w:w="70" w:type="dxa"/>
              <w:start w:w="80" w:type="dxa"/>
              <w:bottom w:w="70" w:type="dxa"/>
              <w:end w:w="80" w:type="dxa"/>
            </w:tcMar>
            <w:vAlign w:val="top"/>
          </w:tcPr>
          <w:p>
            <w:r>
              <w:rPr>
                <w:sz w:val="15"/>
              </w:rPr>
              <w:t>matches.is_current / deterministic active-policy selection</w:t>
            </w:r>
          </w:p>
        </w:tc>
        <w:tc>
          <w:tcPr>
            <w:tcW w:type="dxa" w:w="3408"/>
            <w:tcMar>
              <w:top w:w="70" w:type="dxa"/>
              <w:start w:w="80" w:type="dxa"/>
              <w:bottom w:w="70" w:type="dxa"/>
              <w:end w:w="80" w:type="dxa"/>
            </w:tcMar>
            <w:vAlign w:val="top"/>
          </w:tcPr>
          <w:p>
            <w:r>
              <w:rPr>
                <w:sz w:val="15"/>
              </w:rPr>
              <w:t>ad hoc latest row</w:t>
            </w:r>
          </w:p>
        </w:tc>
      </w:tr>
      <w:tr>
        <w:tc>
          <w:tcPr>
            <w:tcW w:type="dxa" w:w="3408"/>
            <w:tcMar>
              <w:top w:w="70" w:type="dxa"/>
              <w:start w:w="80" w:type="dxa"/>
              <w:bottom w:w="70" w:type="dxa"/>
              <w:end w:w="80" w:type="dxa"/>
            </w:tcMar>
            <w:vAlign w:val="top"/>
          </w:tcPr>
          <w:p>
            <w:r>
              <w:rPr>
                <w:sz w:val="15"/>
              </w:rPr>
              <w:t>Match eligibility</w:t>
            </w:r>
          </w:p>
        </w:tc>
        <w:tc>
          <w:tcPr>
            <w:tcW w:type="dxa" w:w="3408"/>
            <w:tcMar>
              <w:top w:w="70" w:type="dxa"/>
              <w:start w:w="80" w:type="dxa"/>
              <w:bottom w:w="70" w:type="dxa"/>
              <w:end w:w="80" w:type="dxa"/>
            </w:tcMar>
            <w:vAlign w:val="top"/>
          </w:tcPr>
          <w:p>
            <w:r>
              <w:rPr>
                <w:sz w:val="15"/>
              </w:rPr>
              <w:t>eligible | ineligible | review</w:t>
            </w:r>
          </w:p>
        </w:tc>
        <w:tc>
          <w:tcPr>
            <w:tcW w:type="dxa" w:w="3408"/>
            <w:tcMar>
              <w:top w:w="70" w:type="dxa"/>
              <w:start w:w="80" w:type="dxa"/>
              <w:bottom w:w="70" w:type="dxa"/>
              <w:end w:w="80" w:type="dxa"/>
            </w:tcMar>
            <w:vAlign w:val="top"/>
          </w:tcPr>
          <w:p>
            <w:r>
              <w:rPr>
                <w:sz w:val="15"/>
              </w:rPr>
              <w:t>unclear</w:t>
            </w:r>
          </w:p>
        </w:tc>
      </w:tr>
      <w:tr>
        <w:tc>
          <w:tcPr>
            <w:tcW w:type="dxa" w:w="3408"/>
            <w:tcMar>
              <w:top w:w="70" w:type="dxa"/>
              <w:start w:w="80" w:type="dxa"/>
              <w:bottom w:w="70" w:type="dxa"/>
              <w:end w:w="80" w:type="dxa"/>
            </w:tcMar>
            <w:vAlign w:val="top"/>
          </w:tcPr>
          <w:p>
            <w:r>
              <w:rPr>
                <w:sz w:val="15"/>
              </w:rPr>
              <w:t>Candidate claim layer</w:t>
            </w:r>
          </w:p>
        </w:tc>
        <w:tc>
          <w:tcPr>
            <w:tcW w:type="dxa" w:w="3408"/>
            <w:tcMar>
              <w:top w:w="70" w:type="dxa"/>
              <w:start w:w="80" w:type="dxa"/>
              <w:bottom w:w="70" w:type="dxa"/>
              <w:end w:w="80" w:type="dxa"/>
            </w:tcMar>
            <w:vAlign w:val="top"/>
          </w:tcPr>
          <w:p>
            <w:r>
              <w:rPr>
                <w:sz w:val="15"/>
              </w:rPr>
              <w:t>profile_claims</w:t>
            </w:r>
          </w:p>
        </w:tc>
        <w:tc>
          <w:tcPr>
            <w:tcW w:type="dxa" w:w="3408"/>
            <w:tcMar>
              <w:top w:w="70" w:type="dxa"/>
              <w:start w:w="80" w:type="dxa"/>
              <w:bottom w:w="70" w:type="dxa"/>
              <w:end w:w="80" w:type="dxa"/>
            </w:tcMar>
            <w:vAlign w:val="top"/>
          </w:tcPr>
          <w:p>
            <w:r>
              <w:rPr>
                <w:sz w:val="15"/>
              </w:rPr>
              <w:t>canonical candidate profile</w:t>
            </w:r>
          </w:p>
        </w:tc>
      </w:tr>
      <w:tr>
        <w:tc>
          <w:tcPr>
            <w:tcW w:type="dxa" w:w="3408"/>
            <w:tcMar>
              <w:top w:w="70" w:type="dxa"/>
              <w:start w:w="80" w:type="dxa"/>
              <w:bottom w:w="70" w:type="dxa"/>
              <w:end w:w="80" w:type="dxa"/>
            </w:tcMar>
            <w:vAlign w:val="top"/>
          </w:tcPr>
          <w:p>
            <w:r>
              <w:rPr>
                <w:sz w:val="15"/>
              </w:rPr>
              <w:t>Processing attempt</w:t>
            </w:r>
          </w:p>
        </w:tc>
        <w:tc>
          <w:tcPr>
            <w:tcW w:type="dxa" w:w="3408"/>
            <w:tcMar>
              <w:top w:w="70" w:type="dxa"/>
              <w:start w:w="80" w:type="dxa"/>
              <w:bottom w:w="70" w:type="dxa"/>
              <w:end w:w="80" w:type="dxa"/>
            </w:tcMar>
            <w:vAlign w:val="top"/>
          </w:tcPr>
          <w:p>
            <w:r>
              <w:rPr>
                <w:sz w:val="15"/>
              </w:rPr>
              <w:t>document_processing_runs</w:t>
            </w:r>
          </w:p>
        </w:tc>
        <w:tc>
          <w:tcPr>
            <w:tcW w:type="dxa" w:w="3408"/>
            <w:tcMar>
              <w:top w:w="70" w:type="dxa"/>
              <w:start w:w="80" w:type="dxa"/>
              <w:bottom w:w="70" w:type="dxa"/>
              <w:end w:w="80" w:type="dxa"/>
            </w:tcMar>
            <w:vAlign w:val="top"/>
          </w:tcPr>
          <w:p>
            <w:r>
              <w:rPr>
                <w:sz w:val="15"/>
              </w:rPr>
              <w:t>document.status for granular steps</w:t>
            </w:r>
          </w:p>
        </w:tc>
      </w:tr>
      <w:tr>
        <w:tc>
          <w:tcPr>
            <w:tcW w:type="dxa" w:w="3408"/>
            <w:tcMar>
              <w:top w:w="70" w:type="dxa"/>
              <w:start w:w="80" w:type="dxa"/>
              <w:bottom w:w="70" w:type="dxa"/>
              <w:end w:w="80" w:type="dxa"/>
            </w:tcMar>
            <w:vAlign w:val="top"/>
          </w:tcPr>
          <w:p>
            <w:r>
              <w:rPr>
                <w:sz w:val="15"/>
              </w:rPr>
              <w:t>Application tracker</w:t>
            </w:r>
          </w:p>
        </w:tc>
        <w:tc>
          <w:tcPr>
            <w:tcW w:type="dxa" w:w="3408"/>
            <w:tcMar>
              <w:top w:w="70" w:type="dxa"/>
              <w:start w:w="80" w:type="dxa"/>
              <w:bottom w:w="70" w:type="dxa"/>
              <w:end w:w="80" w:type="dxa"/>
            </w:tcMar>
            <w:vAlign w:val="top"/>
          </w:tcPr>
          <w:p>
            <w:r>
              <w:rPr>
                <w:sz w:val="15"/>
              </w:rPr>
              <w:t>applications</w:t>
            </w:r>
          </w:p>
        </w:tc>
        <w:tc>
          <w:tcPr>
            <w:tcW w:type="dxa" w:w="3408"/>
            <w:tcMar>
              <w:top w:w="70" w:type="dxa"/>
              <w:start w:w="80" w:type="dxa"/>
              <w:bottom w:w="70" w:type="dxa"/>
              <w:end w:w="80" w:type="dxa"/>
            </w:tcMar>
            <w:vAlign w:val="top"/>
          </w:tcPr>
          <w:p>
            <w:r>
              <w:rPr>
                <w:sz w:val="15"/>
              </w:rPr>
              <w:t>external employer application record</w:t>
            </w:r>
          </w:p>
        </w:tc>
      </w:tr>
      <w:tr>
        <w:tc>
          <w:tcPr>
            <w:tcW w:type="dxa" w:w="3408"/>
            <w:tcMar>
              <w:top w:w="70" w:type="dxa"/>
              <w:start w:w="80" w:type="dxa"/>
              <w:bottom w:w="70" w:type="dxa"/>
              <w:end w:w="80" w:type="dxa"/>
            </w:tcMar>
            <w:vAlign w:val="top"/>
          </w:tcPr>
          <w:p>
            <w:r>
              <w:rPr>
                <w:sz w:val="15"/>
              </w:rPr>
              <w:t>Applied event</w:t>
            </w:r>
          </w:p>
        </w:tc>
        <w:tc>
          <w:tcPr>
            <w:tcW w:type="dxa" w:w="3408"/>
            <w:tcMar>
              <w:top w:w="70" w:type="dxa"/>
              <w:start w:w="80" w:type="dxa"/>
              <w:bottom w:w="70" w:type="dxa"/>
              <w:end w:w="80" w:type="dxa"/>
            </w:tcMar>
            <w:vAlign w:val="top"/>
          </w:tcPr>
          <w:p>
            <w:r>
              <w:rPr>
                <w:sz w:val="15"/>
              </w:rPr>
              <w:t>applied_self_reported</w:t>
            </w:r>
          </w:p>
        </w:tc>
        <w:tc>
          <w:tcPr>
            <w:tcW w:type="dxa" w:w="3408"/>
            <w:tcMar>
              <w:top w:w="70" w:type="dxa"/>
              <w:start w:w="80" w:type="dxa"/>
              <w:bottom w:w="70" w:type="dxa"/>
              <w:end w:w="80" w:type="dxa"/>
            </w:tcMar>
            <w:vAlign w:val="top"/>
          </w:tcPr>
          <w:p>
            <w:r>
              <w:rPr>
                <w:sz w:val="15"/>
              </w:rPr>
              <w:t>external click as proof of application</w:t>
            </w:r>
          </w:p>
        </w:tc>
      </w:tr>
      <w:tr>
        <w:tc>
          <w:tcPr>
            <w:tcW w:type="dxa" w:w="3408"/>
            <w:tcMar>
              <w:top w:w="70" w:type="dxa"/>
              <w:start w:w="80" w:type="dxa"/>
              <w:bottom w:w="70" w:type="dxa"/>
              <w:end w:w="80" w:type="dxa"/>
            </w:tcMar>
            <w:vAlign w:val="top"/>
          </w:tcPr>
          <w:p>
            <w:r>
              <w:rPr>
                <w:sz w:val="15"/>
              </w:rPr>
              <w:t>Processing dead-letter</w:t>
            </w:r>
          </w:p>
        </w:tc>
        <w:tc>
          <w:tcPr>
            <w:tcW w:type="dxa" w:w="3408"/>
            <w:tcMar>
              <w:top w:w="70" w:type="dxa"/>
              <w:start w:w="80" w:type="dxa"/>
              <w:bottom w:w="70" w:type="dxa"/>
              <w:end w:w="80" w:type="dxa"/>
            </w:tcMar>
            <w:vAlign w:val="top"/>
          </w:tcPr>
          <w:p>
            <w:r>
              <w:rPr>
                <w:sz w:val="15"/>
              </w:rPr>
              <w:t>dead_letter</w:t>
            </w:r>
          </w:p>
        </w:tc>
        <w:tc>
          <w:tcPr>
            <w:tcW w:type="dxa" w:w="3408"/>
            <w:tcMar>
              <w:top w:w="70" w:type="dxa"/>
              <w:start w:w="80" w:type="dxa"/>
              <w:bottom w:w="70" w:type="dxa"/>
              <w:end w:w="80" w:type="dxa"/>
            </w:tcMar>
            <w:vAlign w:val="top"/>
          </w:tcPr>
          <w:p>
            <w:r>
              <w:rPr>
                <w:sz w:val="15"/>
              </w:rPr>
              <w:t>ordinary failed</w:t>
            </w:r>
          </w:p>
        </w:tc>
      </w:tr>
    </w:tbl>
    <w:p>
      <w:pPr>
        <w:pStyle w:val="Heading2"/>
      </w:pPr>
      <w:r>
        <w:t>4.2 State machines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tcMar>
              <w:top w:w="70" w:type="dxa"/>
              <w:start w:w="80" w:type="dxa"/>
              <w:bottom w:w="70" w:type="dxa"/>
              <w:end w:w="80" w:type="dxa"/>
            </w:tcMar>
            <w:vAlign w:val="center"/>
          </w:tcPr>
          <w:p>
            <w:r>
              <w:rPr>
                <w:b/>
                <w:sz w:val="16"/>
              </w:rPr>
              <w:t>Object</w:t>
            </w:r>
          </w:p>
        </w:tc>
        <w:tc>
          <w:tcPr>
            <w:tcW w:type="dxa" w:w="3408"/>
            <w:shd w:fill="D9E2F3"/>
            <w:tcMar>
              <w:top w:w="70" w:type="dxa"/>
              <w:start w:w="80" w:type="dxa"/>
              <w:bottom w:w="70" w:type="dxa"/>
              <w:end w:w="80" w:type="dxa"/>
            </w:tcMar>
            <w:vAlign w:val="center"/>
          </w:tcPr>
          <w:p>
            <w:r>
              <w:rPr>
                <w:b/>
                <w:sz w:val="16"/>
              </w:rPr>
              <w:t>Canonical state set</w:t>
            </w:r>
          </w:p>
        </w:tc>
        <w:tc>
          <w:tcPr>
            <w:tcW w:type="dxa" w:w="3408"/>
            <w:shd w:fill="D9E2F3"/>
            <w:tcMar>
              <w:top w:w="70" w:type="dxa"/>
              <w:start w:w="80" w:type="dxa"/>
              <w:bottom w:w="70" w:type="dxa"/>
              <w:end w:w="80" w:type="dxa"/>
            </w:tcMar>
            <w:vAlign w:val="center"/>
          </w:tcPr>
          <w:p>
            <w:r>
              <w:rPr>
                <w:b/>
                <w:sz w:val="16"/>
              </w:rPr>
              <w:t>Boundary</w:t>
            </w:r>
          </w:p>
        </w:tc>
      </w:tr>
      <w:tr>
        <w:tc>
          <w:tcPr>
            <w:tcW w:type="dxa" w:w="3408"/>
            <w:tcMar>
              <w:top w:w="70" w:type="dxa"/>
              <w:start w:w="80" w:type="dxa"/>
              <w:bottom w:w="70" w:type="dxa"/>
              <w:end w:w="80" w:type="dxa"/>
            </w:tcMar>
            <w:vAlign w:val="top"/>
          </w:tcPr>
          <w:p>
            <w:r>
              <w:rPr>
                <w:sz w:val="15"/>
              </w:rPr>
              <w:t>documents.status</w:t>
            </w:r>
          </w:p>
        </w:tc>
        <w:tc>
          <w:tcPr>
            <w:tcW w:type="dxa" w:w="3408"/>
            <w:tcMar>
              <w:top w:w="70" w:type="dxa"/>
              <w:start w:w="80" w:type="dxa"/>
              <w:bottom w:w="70" w:type="dxa"/>
              <w:end w:w="80" w:type="dxa"/>
            </w:tcMar>
            <w:vAlign w:val="top"/>
          </w:tcPr>
          <w:p>
            <w:r>
              <w:rPr>
                <w:sz w:val="15"/>
              </w:rPr>
              <w:t>uploaded | queued | processing | ready | failed | needs_attention | deleted</w:t>
            </w:r>
          </w:p>
        </w:tc>
        <w:tc>
          <w:tcPr>
            <w:tcW w:type="dxa" w:w="3408"/>
            <w:tcMar>
              <w:top w:w="70" w:type="dxa"/>
              <w:start w:w="80" w:type="dxa"/>
              <w:bottom w:w="70" w:type="dxa"/>
              <w:end w:w="80" w:type="dxa"/>
            </w:tcMar>
            <w:vAlign w:val="top"/>
          </w:tcPr>
          <w:p>
            <w:r>
              <w:rPr>
                <w:sz w:val="15"/>
              </w:rPr>
              <w:t>File lifecycle only</w:t>
            </w:r>
          </w:p>
        </w:tc>
      </w:tr>
      <w:tr>
        <w:tc>
          <w:tcPr>
            <w:tcW w:type="dxa" w:w="3408"/>
            <w:tcMar>
              <w:top w:w="70" w:type="dxa"/>
              <w:start w:w="80" w:type="dxa"/>
              <w:bottom w:w="70" w:type="dxa"/>
              <w:end w:w="80" w:type="dxa"/>
            </w:tcMar>
            <w:vAlign w:val="top"/>
          </w:tcPr>
          <w:p>
            <w:r>
              <w:rPr>
                <w:sz w:val="15"/>
              </w:rPr>
              <w:t>document_processing_runs.status</w:t>
            </w:r>
          </w:p>
        </w:tc>
        <w:tc>
          <w:tcPr>
            <w:tcW w:type="dxa" w:w="3408"/>
            <w:tcMar>
              <w:top w:w="70" w:type="dxa"/>
              <w:start w:w="80" w:type="dxa"/>
              <w:bottom w:w="70" w:type="dxa"/>
              <w:end w:w="80" w:type="dxa"/>
            </w:tcMar>
            <w:vAlign w:val="top"/>
          </w:tcPr>
          <w:p>
            <w:r>
              <w:rPr>
                <w:sz w:val="15"/>
              </w:rPr>
              <w:t>queued | processing | parsed | extracting | review_ready | partially_reviewed | promoted | failed | needs_attention</w:t>
            </w:r>
          </w:p>
        </w:tc>
        <w:tc>
          <w:tcPr>
            <w:tcW w:type="dxa" w:w="3408"/>
            <w:tcMar>
              <w:top w:w="70" w:type="dxa"/>
              <w:start w:w="80" w:type="dxa"/>
              <w:bottom w:w="70" w:type="dxa"/>
              <w:end w:w="80" w:type="dxa"/>
            </w:tcMar>
            <w:vAlign w:val="top"/>
          </w:tcPr>
          <w:p>
            <w:r>
              <w:rPr>
                <w:sz w:val="15"/>
              </w:rPr>
              <w:t>One processing attempt</w:t>
            </w:r>
          </w:p>
        </w:tc>
      </w:tr>
      <w:tr>
        <w:tc>
          <w:tcPr>
            <w:tcW w:type="dxa" w:w="3408"/>
            <w:tcMar>
              <w:top w:w="70" w:type="dxa"/>
              <w:start w:w="80" w:type="dxa"/>
              <w:bottom w:w="70" w:type="dxa"/>
              <w:end w:w="80" w:type="dxa"/>
            </w:tcMar>
            <w:vAlign w:val="top"/>
          </w:tcPr>
          <w:p>
            <w:r>
              <w:rPr>
                <w:sz w:val="15"/>
              </w:rPr>
              <w:t>profile_claims.status</w:t>
            </w:r>
          </w:p>
        </w:tc>
        <w:tc>
          <w:tcPr>
            <w:tcW w:type="dxa" w:w="3408"/>
            <w:tcMar>
              <w:top w:w="70" w:type="dxa"/>
              <w:start w:w="80" w:type="dxa"/>
              <w:bottom w:w="70" w:type="dxa"/>
              <w:end w:w="80" w:type="dxa"/>
            </w:tcMar>
            <w:vAlign w:val="top"/>
          </w:tcPr>
          <w:p>
            <w:r>
              <w:rPr>
                <w:sz w:val="15"/>
              </w:rPr>
              <w:t>proposed | accepted | edited | rejected | conflict</w:t>
            </w:r>
          </w:p>
        </w:tc>
        <w:tc>
          <w:tcPr>
            <w:tcW w:type="dxa" w:w="3408"/>
            <w:tcMar>
              <w:top w:w="70" w:type="dxa"/>
              <w:start w:w="80" w:type="dxa"/>
              <w:bottom w:w="70" w:type="dxa"/>
              <w:end w:w="80" w:type="dxa"/>
            </w:tcMar>
            <w:vAlign w:val="top"/>
          </w:tcPr>
          <w:p>
            <w:r>
              <w:rPr>
                <w:sz w:val="15"/>
              </w:rPr>
              <w:t>Candidate review/provenance</w:t>
            </w:r>
          </w:p>
        </w:tc>
      </w:tr>
      <w:tr>
        <w:tc>
          <w:tcPr>
            <w:tcW w:type="dxa" w:w="3408"/>
            <w:tcMar>
              <w:top w:w="70" w:type="dxa"/>
              <w:start w:w="80" w:type="dxa"/>
              <w:bottom w:w="70" w:type="dxa"/>
              <w:end w:w="80" w:type="dxa"/>
            </w:tcMar>
            <w:vAlign w:val="top"/>
          </w:tcPr>
          <w:p>
            <w:r>
              <w:rPr>
                <w:sz w:val="15"/>
              </w:rPr>
              <w:t>candidate_profiles.profile_status</w:t>
            </w:r>
          </w:p>
        </w:tc>
        <w:tc>
          <w:tcPr>
            <w:tcW w:type="dxa" w:w="3408"/>
            <w:tcMar>
              <w:top w:w="70" w:type="dxa"/>
              <w:start w:w="80" w:type="dxa"/>
              <w:bottom w:w="70" w:type="dxa"/>
              <w:end w:w="80" w:type="dxa"/>
            </w:tcMar>
            <w:vAlign w:val="top"/>
          </w:tcPr>
          <w:p>
            <w:r>
              <w:rPr>
                <w:sz w:val="15"/>
              </w:rPr>
              <w:t>draft | processing | active | incomplete | archived</w:t>
            </w:r>
          </w:p>
        </w:tc>
        <w:tc>
          <w:tcPr>
            <w:tcW w:type="dxa" w:w="3408"/>
            <w:tcMar>
              <w:top w:w="70" w:type="dxa"/>
              <w:start w:w="80" w:type="dxa"/>
              <w:bottom w:w="70" w:type="dxa"/>
              <w:end w:w="80" w:type="dxa"/>
            </w:tcMar>
            <w:vAlign w:val="top"/>
          </w:tcPr>
          <w:p>
            <w:r>
              <w:rPr>
                <w:sz w:val="15"/>
              </w:rPr>
              <w:t>Overall profile state</w:t>
            </w:r>
          </w:p>
        </w:tc>
      </w:tr>
      <w:tr>
        <w:tc>
          <w:tcPr>
            <w:tcW w:type="dxa" w:w="3408"/>
            <w:tcMar>
              <w:top w:w="70" w:type="dxa"/>
              <w:start w:w="80" w:type="dxa"/>
              <w:bottom w:w="70" w:type="dxa"/>
              <w:end w:w="80" w:type="dxa"/>
            </w:tcMar>
            <w:vAlign w:val="top"/>
          </w:tcPr>
          <w:p>
            <w:r>
              <w:rPr>
                <w:sz w:val="15"/>
              </w:rPr>
              <w:t>opportunities.status</w:t>
            </w:r>
          </w:p>
        </w:tc>
        <w:tc>
          <w:tcPr>
            <w:tcW w:type="dxa" w:w="3408"/>
            <w:tcMar>
              <w:top w:w="70" w:type="dxa"/>
              <w:start w:w="80" w:type="dxa"/>
              <w:bottom w:w="70" w:type="dxa"/>
              <w:end w:w="80" w:type="dxa"/>
            </w:tcMar>
            <w:vAlign w:val="top"/>
          </w:tcPr>
          <w:p>
            <w:r>
              <w:rPr>
                <w:sz w:val="15"/>
              </w:rPr>
              <w:t>draft | review | published | expired | archived | rejected</w:t>
            </w:r>
          </w:p>
        </w:tc>
        <w:tc>
          <w:tcPr>
            <w:tcW w:type="dxa" w:w="3408"/>
            <w:tcMar>
              <w:top w:w="70" w:type="dxa"/>
              <w:start w:w="80" w:type="dxa"/>
              <w:bottom w:w="70" w:type="dxa"/>
              <w:end w:w="80" w:type="dxa"/>
            </w:tcMar>
            <w:vAlign w:val="top"/>
          </w:tcPr>
          <w:p>
            <w:r>
              <w:rPr>
                <w:sz w:val="15"/>
              </w:rPr>
              <w:t>Only published is recommendable</w:t>
            </w:r>
          </w:p>
        </w:tc>
      </w:tr>
      <w:tr>
        <w:tc>
          <w:tcPr>
            <w:tcW w:type="dxa" w:w="3408"/>
            <w:tcMar>
              <w:top w:w="70" w:type="dxa"/>
              <w:start w:w="80" w:type="dxa"/>
              <w:bottom w:w="70" w:type="dxa"/>
              <w:end w:w="80" w:type="dxa"/>
            </w:tcMar>
            <w:vAlign w:val="top"/>
          </w:tcPr>
          <w:p>
            <w:r>
              <w:rPr>
                <w:sz w:val="15"/>
              </w:rPr>
              <w:t>matches.eligibility_status</w:t>
            </w:r>
          </w:p>
        </w:tc>
        <w:tc>
          <w:tcPr>
            <w:tcW w:type="dxa" w:w="3408"/>
            <w:tcMar>
              <w:top w:w="70" w:type="dxa"/>
              <w:start w:w="80" w:type="dxa"/>
              <w:bottom w:w="70" w:type="dxa"/>
              <w:end w:w="80" w:type="dxa"/>
            </w:tcMar>
            <w:vAlign w:val="top"/>
          </w:tcPr>
          <w:p>
            <w:r>
              <w:rPr>
                <w:sz w:val="15"/>
              </w:rPr>
              <w:t>eligible | ineligible | review</w:t>
            </w:r>
          </w:p>
        </w:tc>
        <w:tc>
          <w:tcPr>
            <w:tcW w:type="dxa" w:w="3408"/>
            <w:tcMar>
              <w:top w:w="70" w:type="dxa"/>
              <w:start w:w="80" w:type="dxa"/>
              <w:bottom w:w="70" w:type="dxa"/>
              <w:end w:w="80" w:type="dxa"/>
            </w:tcMar>
            <w:vAlign w:val="top"/>
          </w:tcPr>
          <w:p>
            <w:r>
              <w:rPr>
                <w:sz w:val="15"/>
              </w:rPr>
              <w:t>Deterministic Stage 1 outcome</w:t>
            </w:r>
          </w:p>
        </w:tc>
      </w:tr>
      <w:tr>
        <w:tc>
          <w:tcPr>
            <w:tcW w:type="dxa" w:w="3408"/>
            <w:tcMar>
              <w:top w:w="70" w:type="dxa"/>
              <w:start w:w="80" w:type="dxa"/>
              <w:bottom w:w="70" w:type="dxa"/>
              <w:end w:w="80" w:type="dxa"/>
            </w:tcMar>
            <w:vAlign w:val="top"/>
          </w:tcPr>
          <w:p>
            <w:r>
              <w:rPr>
                <w:sz w:val="15"/>
              </w:rPr>
              <w:t>applications.status</w:t>
            </w:r>
          </w:p>
        </w:tc>
        <w:tc>
          <w:tcPr>
            <w:tcW w:type="dxa" w:w="3408"/>
            <w:tcMar>
              <w:top w:w="70" w:type="dxa"/>
              <w:start w:w="80" w:type="dxa"/>
              <w:bottom w:w="70" w:type="dxa"/>
              <w:end w:w="80" w:type="dxa"/>
            </w:tcMar>
            <w:vAlign w:val="top"/>
          </w:tcPr>
          <w:p>
            <w:r>
              <w:rPr>
                <w:sz w:val="15"/>
              </w:rPr>
              <w:t>saved | preparing | ready | clicked_external | applied_self_reported | withdrawn | archived</w:t>
            </w:r>
          </w:p>
        </w:tc>
        <w:tc>
          <w:tcPr>
            <w:tcW w:type="dxa" w:w="3408"/>
            <w:tcMar>
              <w:top w:w="70" w:type="dxa"/>
              <w:start w:w="80" w:type="dxa"/>
              <w:bottom w:w="70" w:type="dxa"/>
              <w:end w:w="80" w:type="dxa"/>
            </w:tcMar>
            <w:vAlign w:val="top"/>
          </w:tcPr>
          <w:p>
            <w:r>
              <w:rPr>
                <w:sz w:val="15"/>
              </w:rPr>
              <w:t>Candidate-owned tracker</w:t>
            </w:r>
          </w:p>
        </w:tc>
      </w:tr>
      <w:tr>
        <w:tc>
          <w:tcPr>
            <w:tcW w:type="dxa" w:w="3408"/>
            <w:tcMar>
              <w:top w:w="70" w:type="dxa"/>
              <w:start w:w="80" w:type="dxa"/>
              <w:bottom w:w="70" w:type="dxa"/>
              <w:end w:w="80" w:type="dxa"/>
            </w:tcMar>
            <w:vAlign w:val="top"/>
          </w:tcPr>
          <w:p>
            <w:r>
              <w:rPr>
                <w:sz w:val="15"/>
              </w:rPr>
              <w:t>generated_documents.status</w:t>
            </w:r>
          </w:p>
        </w:tc>
        <w:tc>
          <w:tcPr>
            <w:tcW w:type="dxa" w:w="3408"/>
            <w:tcMar>
              <w:top w:w="70" w:type="dxa"/>
              <w:start w:w="80" w:type="dxa"/>
              <w:bottom w:w="70" w:type="dxa"/>
              <w:end w:w="80" w:type="dxa"/>
            </w:tcMar>
            <w:vAlign w:val="top"/>
          </w:tcPr>
          <w:p>
            <w:r>
              <w:rPr>
                <w:sz w:val="15"/>
              </w:rPr>
              <w:t>generating | ready | failed | archived</w:t>
            </w:r>
          </w:p>
        </w:tc>
        <w:tc>
          <w:tcPr>
            <w:tcW w:type="dxa" w:w="3408"/>
            <w:tcMar>
              <w:top w:w="70" w:type="dxa"/>
              <w:start w:w="80" w:type="dxa"/>
              <w:bottom w:w="70" w:type="dxa"/>
              <w:end w:w="80" w:type="dxa"/>
            </w:tcMar>
            <w:vAlign w:val="top"/>
          </w:tcPr>
          <w:p>
            <w:r>
              <w:rPr>
                <w:sz w:val="15"/>
              </w:rPr>
              <w:t>Future workflow only; Phase 1 dependency prohibited</w:t>
            </w:r>
          </w:p>
        </w:tc>
      </w:tr>
      <w:tr>
        <w:tc>
          <w:tcPr>
            <w:tcW w:type="dxa" w:w="3408"/>
            <w:tcMar>
              <w:top w:w="70" w:type="dxa"/>
              <w:start w:w="80" w:type="dxa"/>
              <w:bottom w:w="70" w:type="dxa"/>
              <w:end w:w="80" w:type="dxa"/>
            </w:tcMar>
            <w:vAlign w:val="top"/>
          </w:tcPr>
          <w:p>
            <w:r>
              <w:rPr>
                <w:sz w:val="15"/>
              </w:rPr>
              <w:t>notification_deliveries.status</w:t>
            </w:r>
          </w:p>
        </w:tc>
        <w:tc>
          <w:tcPr>
            <w:tcW w:type="dxa" w:w="3408"/>
            <w:tcMar>
              <w:top w:w="70" w:type="dxa"/>
              <w:start w:w="80" w:type="dxa"/>
              <w:bottom w:w="70" w:type="dxa"/>
              <w:end w:w="80" w:type="dxa"/>
            </w:tcMar>
            <w:vAlign w:val="top"/>
          </w:tcPr>
          <w:p>
            <w:r>
              <w:rPr>
                <w:sz w:val="15"/>
              </w:rPr>
              <w:t>scheduled | sending | sent | failed | cancelled</w:t>
            </w:r>
          </w:p>
        </w:tc>
        <w:tc>
          <w:tcPr>
            <w:tcW w:type="dxa" w:w="3408"/>
            <w:tcMar>
              <w:top w:w="70" w:type="dxa"/>
              <w:start w:w="80" w:type="dxa"/>
              <w:bottom w:w="70" w:type="dxa"/>
              <w:end w:w="80" w:type="dxa"/>
            </w:tcMar>
            <w:vAlign w:val="top"/>
          </w:tcPr>
          <w:p>
            <w:r>
              <w:rPr>
                <w:sz w:val="15"/>
              </w:rPr>
              <w:t>Delivery attempt state</w:t>
            </w:r>
          </w:p>
        </w:tc>
      </w:tr>
      <w:tr>
        <w:tc>
          <w:tcPr>
            <w:tcW w:type="dxa" w:w="3408"/>
            <w:tcMar>
              <w:top w:w="70" w:type="dxa"/>
              <w:start w:w="80" w:type="dxa"/>
              <w:bottom w:w="70" w:type="dxa"/>
              <w:end w:w="80" w:type="dxa"/>
            </w:tcMar>
            <w:vAlign w:val="top"/>
          </w:tcPr>
          <w:p>
            <w:r>
              <w:rPr>
                <w:sz w:val="15"/>
              </w:rPr>
              <w:t>processing_jobs.status</w:t>
            </w:r>
          </w:p>
        </w:tc>
        <w:tc>
          <w:tcPr>
            <w:tcW w:type="dxa" w:w="3408"/>
            <w:tcMar>
              <w:top w:w="70" w:type="dxa"/>
              <w:start w:w="80" w:type="dxa"/>
              <w:bottom w:w="70" w:type="dxa"/>
              <w:end w:w="80" w:type="dxa"/>
            </w:tcMar>
            <w:vAlign w:val="top"/>
          </w:tcPr>
          <w:p>
            <w:r>
              <w:rPr>
                <w:sz w:val="15"/>
              </w:rPr>
              <w:t>queued | running | retrying | succeeded | failed | dead_letter</w:t>
            </w:r>
          </w:p>
        </w:tc>
        <w:tc>
          <w:tcPr>
            <w:tcW w:type="dxa" w:w="3408"/>
            <w:tcMar>
              <w:top w:w="70" w:type="dxa"/>
              <w:start w:w="80" w:type="dxa"/>
              <w:bottom w:w="70" w:type="dxa"/>
              <w:end w:w="80" w:type="dxa"/>
            </w:tcMar>
            <w:vAlign w:val="top"/>
          </w:tcPr>
          <w:p>
            <w:r>
              <w:rPr>
                <w:sz w:val="15"/>
              </w:rPr>
              <w:t>Operational job lifecycle</w:t>
            </w:r>
          </w:p>
        </w:tc>
      </w:tr>
    </w:tbl>
    <w:p>
      <w:pPr>
        <w:pStyle w:val="Heading2"/>
      </w:pPr>
      <w:r>
        <w:t>4.3 AI namespaces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tcMar>
              <w:top w:w="70" w:type="dxa"/>
              <w:start w:w="80" w:type="dxa"/>
              <w:bottom w:w="70" w:type="dxa"/>
              <w:end w:w="80" w:type="dxa"/>
            </w:tcMar>
            <w:vAlign w:val="center"/>
          </w:tcPr>
          <w:p>
            <w:r>
              <w:rPr>
                <w:b/>
                <w:sz w:val="16"/>
              </w:rPr>
              <w:t>Namespace</w:t>
            </w:r>
          </w:p>
        </w:tc>
        <w:tc>
          <w:tcPr>
            <w:tcW w:type="dxa" w:w="3408"/>
            <w:shd w:fill="D9E2F3"/>
            <w:tcMar>
              <w:top w:w="70" w:type="dxa"/>
              <w:start w:w="80" w:type="dxa"/>
              <w:bottom w:w="70" w:type="dxa"/>
              <w:end w:w="80" w:type="dxa"/>
            </w:tcMar>
            <w:vAlign w:val="center"/>
          </w:tcPr>
          <w:p>
            <w:r>
              <w:rPr>
                <w:b/>
                <w:sz w:val="16"/>
              </w:rPr>
              <w:t>Example</w:t>
            </w:r>
          </w:p>
        </w:tc>
        <w:tc>
          <w:tcPr>
            <w:tcW w:type="dxa" w:w="3408"/>
            <w:shd w:fill="D9E2F3"/>
            <w:tcMar>
              <w:top w:w="70" w:type="dxa"/>
              <w:start w:w="80" w:type="dxa"/>
              <w:bottom w:w="70" w:type="dxa"/>
              <w:end w:w="80" w:type="dxa"/>
            </w:tcMar>
            <w:vAlign w:val="center"/>
          </w:tcPr>
          <w:p>
            <w:r>
              <w:rPr>
                <w:b/>
                <w:sz w:val="16"/>
              </w:rPr>
              <w:t>Authority</w:t>
            </w:r>
          </w:p>
        </w:tc>
      </w:tr>
      <w:tr>
        <w:tc>
          <w:tcPr>
            <w:tcW w:type="dxa" w:w="3408"/>
            <w:tcMar>
              <w:top w:w="70" w:type="dxa"/>
              <w:start w:w="80" w:type="dxa"/>
              <w:bottom w:w="70" w:type="dxa"/>
              <w:end w:w="80" w:type="dxa"/>
            </w:tcMar>
            <w:vAlign w:val="top"/>
          </w:tcPr>
          <w:p>
            <w:r>
              <w:rPr>
                <w:sz w:val="15"/>
              </w:rPr>
              <w:t>Task key</w:t>
            </w:r>
          </w:p>
        </w:tc>
        <w:tc>
          <w:tcPr>
            <w:tcW w:type="dxa" w:w="3408"/>
            <w:tcMar>
              <w:top w:w="70" w:type="dxa"/>
              <w:start w:w="80" w:type="dxa"/>
              <w:bottom w:w="70" w:type="dxa"/>
              <w:end w:w="80" w:type="dxa"/>
            </w:tcMar>
            <w:vAlign w:val="top"/>
          </w:tcPr>
          <w:p>
            <w:r>
              <w:rPr>
                <w:sz w:val="15"/>
              </w:rPr>
              <w:t>profile_extract</w:t>
            </w:r>
          </w:p>
        </w:tc>
        <w:tc>
          <w:tcPr>
            <w:tcW w:type="dxa" w:w="3408"/>
            <w:tcMar>
              <w:top w:w="70" w:type="dxa"/>
              <w:start w:w="80" w:type="dxa"/>
              <w:bottom w:w="70" w:type="dxa"/>
              <w:end w:w="80" w:type="dxa"/>
            </w:tcMar>
            <w:vAlign w:val="top"/>
          </w:tcPr>
          <w:p>
            <w:r>
              <w:rPr>
                <w:sz w:val="15"/>
              </w:rPr>
              <w:t>AI Gateway task registry</w:t>
            </w:r>
          </w:p>
        </w:tc>
      </w:tr>
      <w:tr>
        <w:tc>
          <w:tcPr>
            <w:tcW w:type="dxa" w:w="3408"/>
            <w:tcMar>
              <w:top w:w="70" w:type="dxa"/>
              <w:start w:w="80" w:type="dxa"/>
              <w:bottom w:w="70" w:type="dxa"/>
              <w:end w:w="80" w:type="dxa"/>
            </w:tcMar>
            <w:vAlign w:val="top"/>
          </w:tcPr>
          <w:p>
            <w:r>
              <w:rPr>
                <w:sz w:val="15"/>
              </w:rPr>
              <w:t>Prompt version</w:t>
            </w:r>
          </w:p>
        </w:tc>
        <w:tc>
          <w:tcPr>
            <w:tcW w:type="dxa" w:w="3408"/>
            <w:tcMar>
              <w:top w:w="70" w:type="dxa"/>
              <w:start w:w="80" w:type="dxa"/>
              <w:bottom w:w="70" w:type="dxa"/>
              <w:end w:w="80" w:type="dxa"/>
            </w:tcMar>
            <w:vAlign w:val="top"/>
          </w:tcPr>
          <w:p>
            <w:r>
              <w:rPr>
                <w:sz w:val="15"/>
              </w:rPr>
              <w:t>profile-extract.v1</w:t>
            </w:r>
          </w:p>
        </w:tc>
        <w:tc>
          <w:tcPr>
            <w:tcW w:type="dxa" w:w="3408"/>
            <w:tcMar>
              <w:top w:w="70" w:type="dxa"/>
              <w:start w:w="80" w:type="dxa"/>
              <w:bottom w:w="70" w:type="dxa"/>
              <w:end w:w="80" w:type="dxa"/>
            </w:tcMar>
            <w:vAlign w:val="top"/>
          </w:tcPr>
          <w:p>
            <w:r>
              <w:rPr>
                <w:sz w:val="15"/>
              </w:rPr>
              <w:t>Prompt registry</w:t>
            </w:r>
          </w:p>
        </w:tc>
      </w:tr>
      <w:tr>
        <w:tc>
          <w:tcPr>
            <w:tcW w:type="dxa" w:w="3408"/>
            <w:tcMar>
              <w:top w:w="70" w:type="dxa"/>
              <w:start w:w="80" w:type="dxa"/>
              <w:bottom w:w="70" w:type="dxa"/>
              <w:end w:w="80" w:type="dxa"/>
            </w:tcMar>
            <w:vAlign w:val="top"/>
          </w:tcPr>
          <w:p>
            <w:r>
              <w:rPr>
                <w:sz w:val="15"/>
              </w:rPr>
              <w:t>Schema version</w:t>
            </w:r>
          </w:p>
        </w:tc>
        <w:tc>
          <w:tcPr>
            <w:tcW w:type="dxa" w:w="3408"/>
            <w:tcMar>
              <w:top w:w="70" w:type="dxa"/>
              <w:start w:w="80" w:type="dxa"/>
              <w:bottom w:w="70" w:type="dxa"/>
              <w:end w:w="80" w:type="dxa"/>
            </w:tcMar>
            <w:vAlign w:val="top"/>
          </w:tcPr>
          <w:p>
            <w:r>
              <w:rPr>
                <w:sz w:val="15"/>
              </w:rPr>
              <w:t>candidate-profile-extraction.v1</w:t>
            </w:r>
          </w:p>
        </w:tc>
        <w:tc>
          <w:tcPr>
            <w:tcW w:type="dxa" w:w="3408"/>
            <w:tcMar>
              <w:top w:w="70" w:type="dxa"/>
              <w:start w:w="80" w:type="dxa"/>
              <w:bottom w:w="70" w:type="dxa"/>
              <w:end w:w="80" w:type="dxa"/>
            </w:tcMar>
            <w:vAlign w:val="top"/>
          </w:tcPr>
          <w:p>
            <w:r>
              <w:rPr>
                <w:sz w:val="15"/>
              </w:rPr>
              <w:t>Zod/schema registry</w:t>
            </w:r>
          </w:p>
        </w:tc>
      </w:tr>
      <w:tr>
        <w:tc>
          <w:tcPr>
            <w:tcW w:type="dxa" w:w="3408"/>
            <w:tcMar>
              <w:top w:w="70" w:type="dxa"/>
              <w:start w:w="80" w:type="dxa"/>
              <w:bottom w:w="70" w:type="dxa"/>
              <w:end w:w="80" w:type="dxa"/>
            </w:tcMar>
            <w:vAlign w:val="top"/>
          </w:tcPr>
          <w:p>
            <w:r>
              <w:rPr>
                <w:sz w:val="15"/>
              </w:rPr>
              <w:t>Policy version</w:t>
            </w:r>
          </w:p>
        </w:tc>
        <w:tc>
          <w:tcPr>
            <w:tcW w:type="dxa" w:w="3408"/>
            <w:tcMar>
              <w:top w:w="70" w:type="dxa"/>
              <w:start w:w="80" w:type="dxa"/>
              <w:bottom w:w="70" w:type="dxa"/>
              <w:end w:w="80" w:type="dxa"/>
            </w:tcMar>
            <w:vAlign w:val="top"/>
          </w:tcPr>
          <w:p>
            <w:r>
              <w:rPr>
                <w:sz w:val="15"/>
              </w:rPr>
              <w:t>ai-policy-1</w:t>
            </w:r>
          </w:p>
        </w:tc>
        <w:tc>
          <w:tcPr>
            <w:tcW w:type="dxa" w:w="3408"/>
            <w:tcMar>
              <w:top w:w="70" w:type="dxa"/>
              <w:start w:w="80" w:type="dxa"/>
              <w:bottom w:w="70" w:type="dxa"/>
              <w:end w:w="80" w:type="dxa"/>
            </w:tcMar>
            <w:vAlign w:val="top"/>
          </w:tcPr>
          <w:p>
            <w:r>
              <w:rPr>
                <w:sz w:val="15"/>
              </w:rPr>
              <w:t>AI safety/policy registry</w:t>
            </w:r>
          </w:p>
        </w:tc>
      </w:tr>
      <w:tr>
        <w:tc>
          <w:tcPr>
            <w:tcW w:type="dxa" w:w="3408"/>
            <w:tcMar>
              <w:top w:w="70" w:type="dxa"/>
              <w:start w:w="80" w:type="dxa"/>
              <w:bottom w:w="70" w:type="dxa"/>
              <w:end w:w="80" w:type="dxa"/>
            </w:tcMar>
            <w:vAlign w:val="top"/>
          </w:tcPr>
          <w:p>
            <w:r>
              <w:rPr>
                <w:sz w:val="15"/>
              </w:rPr>
              <w:t>Ranking policy</w:t>
            </w:r>
          </w:p>
        </w:tc>
        <w:tc>
          <w:tcPr>
            <w:tcW w:type="dxa" w:w="3408"/>
            <w:tcMar>
              <w:top w:w="70" w:type="dxa"/>
              <w:start w:w="80" w:type="dxa"/>
              <w:bottom w:w="70" w:type="dxa"/>
              <w:end w:w="80" w:type="dxa"/>
            </w:tcMar>
            <w:vAlign w:val="top"/>
          </w:tcPr>
          <w:p>
            <w:r>
              <w:rPr>
                <w:sz w:val="15"/>
              </w:rPr>
              <w:t>ranking-policy.v1</w:t>
            </w:r>
          </w:p>
        </w:tc>
        <w:tc>
          <w:tcPr>
            <w:tcW w:type="dxa" w:w="3408"/>
            <w:tcMar>
              <w:top w:w="70" w:type="dxa"/>
              <w:start w:w="80" w:type="dxa"/>
              <w:bottom w:w="70" w:type="dxa"/>
              <w:end w:w="80" w:type="dxa"/>
            </w:tcMar>
            <w:vAlign w:val="top"/>
          </w:tcPr>
          <w:p>
            <w:r>
              <w:rPr>
                <w:sz w:val="15"/>
              </w:rPr>
              <w:t>Deterministic scoring configuration</w:t>
            </w:r>
          </w:p>
        </w:tc>
      </w:tr>
      <w:tr>
        <w:tc>
          <w:tcPr>
            <w:tcW w:type="dxa" w:w="3408"/>
            <w:tcMar>
              <w:top w:w="70" w:type="dxa"/>
              <w:start w:w="80" w:type="dxa"/>
              <w:bottom w:w="70" w:type="dxa"/>
              <w:end w:w="80" w:type="dxa"/>
            </w:tcMar>
            <w:vAlign w:val="top"/>
          </w:tcPr>
          <w:p>
            <w:r>
              <w:rPr>
                <w:sz w:val="15"/>
              </w:rPr>
              <w:t>Explanation schema</w:t>
            </w:r>
          </w:p>
        </w:tc>
        <w:tc>
          <w:tcPr>
            <w:tcW w:type="dxa" w:w="3408"/>
            <w:tcMar>
              <w:top w:w="70" w:type="dxa"/>
              <w:start w:w="80" w:type="dxa"/>
              <w:bottom w:w="70" w:type="dxa"/>
              <w:end w:w="80" w:type="dxa"/>
            </w:tcMar>
            <w:vAlign w:val="top"/>
          </w:tcPr>
          <w:p>
            <w:r>
              <w:rPr>
                <w:sz w:val="15"/>
              </w:rPr>
              <w:t>match-explanation.v1</w:t>
            </w:r>
          </w:p>
        </w:tc>
        <w:tc>
          <w:tcPr>
            <w:tcW w:type="dxa" w:w="3408"/>
            <w:tcMar>
              <w:top w:w="70" w:type="dxa"/>
              <w:start w:w="80" w:type="dxa"/>
              <w:bottom w:w="70" w:type="dxa"/>
              <w:end w:w="80" w:type="dxa"/>
            </w:tcMar>
            <w:vAlign w:val="top"/>
          </w:tcPr>
          <w:p>
            <w:r>
              <w:rPr>
                <w:sz w:val="15"/>
              </w:rPr>
              <w:t>Structured grounded explanation</w:t>
            </w:r>
          </w:p>
        </w:tc>
      </w:tr>
    </w:tbl>
    <w:p>
      <w:pPr>
        <w:pStyle w:val="Heading2"/>
      </w:pPr>
      <w:r>
        <w:t>4.4 Canonical API/service boundaries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tcMar>
              <w:top w:w="70" w:type="dxa"/>
              <w:start w:w="80" w:type="dxa"/>
              <w:bottom w:w="70" w:type="dxa"/>
              <w:end w:w="80" w:type="dxa"/>
            </w:tcMar>
            <w:vAlign w:val="center"/>
          </w:tcPr>
          <w:p>
            <w:r>
              <w:rPr>
                <w:b/>
                <w:sz w:val="16"/>
              </w:rPr>
              <w:t>Boundary</w:t>
            </w:r>
          </w:p>
        </w:tc>
        <w:tc>
          <w:tcPr>
            <w:tcW w:type="dxa" w:w="3408"/>
            <w:shd w:fill="D9E2F3"/>
            <w:tcMar>
              <w:top w:w="70" w:type="dxa"/>
              <w:start w:w="80" w:type="dxa"/>
              <w:bottom w:w="70" w:type="dxa"/>
              <w:end w:w="80" w:type="dxa"/>
            </w:tcMar>
            <w:vAlign w:val="center"/>
          </w:tcPr>
          <w:p>
            <w:r>
              <w:rPr>
                <w:b/>
                <w:sz w:val="16"/>
              </w:rPr>
              <w:t>Canonical action</w:t>
            </w:r>
          </w:p>
        </w:tc>
        <w:tc>
          <w:tcPr>
            <w:tcW w:type="dxa" w:w="3408"/>
            <w:shd w:fill="D9E2F3"/>
            <w:tcMar>
              <w:top w:w="70" w:type="dxa"/>
              <w:start w:w="80" w:type="dxa"/>
              <w:bottom w:w="70" w:type="dxa"/>
              <w:end w:w="80" w:type="dxa"/>
            </w:tcMar>
            <w:vAlign w:val="center"/>
          </w:tcPr>
          <w:p>
            <w:r>
              <w:rPr>
                <w:b/>
                <w:sz w:val="16"/>
              </w:rPr>
              <w:t>Visibility</w:t>
            </w:r>
          </w:p>
        </w:tc>
      </w:tr>
      <w:tr>
        <w:tc>
          <w:tcPr>
            <w:tcW w:type="dxa" w:w="3408"/>
            <w:tcMar>
              <w:top w:w="70" w:type="dxa"/>
              <w:start w:w="80" w:type="dxa"/>
              <w:bottom w:w="70" w:type="dxa"/>
              <w:end w:w="80" w:type="dxa"/>
            </w:tcMar>
            <w:vAlign w:val="top"/>
          </w:tcPr>
          <w:p>
            <w:r>
              <w:rPr>
                <w:sz w:val="15"/>
              </w:rPr>
              <w:t>POST /api/documents</w:t>
            </w:r>
          </w:p>
        </w:tc>
        <w:tc>
          <w:tcPr>
            <w:tcW w:type="dxa" w:w="3408"/>
            <w:tcMar>
              <w:top w:w="70" w:type="dxa"/>
              <w:start w:w="80" w:type="dxa"/>
              <w:bottom w:w="70" w:type="dxa"/>
              <w:end w:w="80" w:type="dxa"/>
            </w:tcMar>
            <w:vAlign w:val="top"/>
          </w:tcPr>
          <w:p>
            <w:r>
              <w:rPr>
                <w:sz w:val="15"/>
              </w:rPr>
              <w:t>Create upload intent</w:t>
            </w:r>
          </w:p>
        </w:tc>
        <w:tc>
          <w:tcPr>
            <w:tcW w:type="dxa" w:w="3408"/>
            <w:tcMar>
              <w:top w:w="70" w:type="dxa"/>
              <w:start w:w="80" w:type="dxa"/>
              <w:bottom w:w="70" w:type="dxa"/>
              <w:end w:w="80" w:type="dxa"/>
            </w:tcMar>
            <w:vAlign w:val="top"/>
          </w:tcPr>
          <w:p>
            <w:r>
              <w:rPr>
                <w:sz w:val="15"/>
              </w:rPr>
              <w:t>Public HTTP API, authenticated</w:t>
            </w:r>
          </w:p>
        </w:tc>
      </w:tr>
      <w:tr>
        <w:tc>
          <w:tcPr>
            <w:tcW w:type="dxa" w:w="3408"/>
            <w:tcMar>
              <w:top w:w="70" w:type="dxa"/>
              <w:start w:w="80" w:type="dxa"/>
              <w:bottom w:w="70" w:type="dxa"/>
              <w:end w:w="80" w:type="dxa"/>
            </w:tcMar>
            <w:vAlign w:val="top"/>
          </w:tcPr>
          <w:p>
            <w:r>
              <w:rPr>
                <w:sz w:val="15"/>
              </w:rPr>
              <w:t>GET /api/profile</w:t>
            </w:r>
          </w:p>
        </w:tc>
        <w:tc>
          <w:tcPr>
            <w:tcW w:type="dxa" w:w="3408"/>
            <w:tcMar>
              <w:top w:w="70" w:type="dxa"/>
              <w:start w:w="80" w:type="dxa"/>
              <w:bottom w:w="70" w:type="dxa"/>
              <w:end w:w="80" w:type="dxa"/>
            </w:tcMar>
            <w:vAlign w:val="top"/>
          </w:tcPr>
          <w:p>
            <w:r>
              <w:rPr>
                <w:sz w:val="15"/>
              </w:rPr>
              <w:t>Read canonical profile</w:t>
            </w:r>
          </w:p>
        </w:tc>
        <w:tc>
          <w:tcPr>
            <w:tcW w:type="dxa" w:w="3408"/>
            <w:tcMar>
              <w:top w:w="70" w:type="dxa"/>
              <w:start w:w="80" w:type="dxa"/>
              <w:bottom w:w="70" w:type="dxa"/>
              <w:end w:w="80" w:type="dxa"/>
            </w:tcMar>
            <w:vAlign w:val="top"/>
          </w:tcPr>
          <w:p>
            <w:r>
              <w:rPr>
                <w:sz w:val="15"/>
              </w:rPr>
              <w:t>Authenticated owner</w:t>
            </w:r>
          </w:p>
        </w:tc>
      </w:tr>
      <w:tr>
        <w:tc>
          <w:tcPr>
            <w:tcW w:type="dxa" w:w="3408"/>
            <w:tcMar>
              <w:top w:w="70" w:type="dxa"/>
              <w:start w:w="80" w:type="dxa"/>
              <w:bottom w:w="70" w:type="dxa"/>
              <w:end w:w="80" w:type="dxa"/>
            </w:tcMar>
            <w:vAlign w:val="top"/>
          </w:tcPr>
          <w:p>
            <w:r>
              <w:rPr>
                <w:sz w:val="15"/>
              </w:rPr>
              <w:t>PATCH /api/profile</w:t>
            </w:r>
          </w:p>
        </w:tc>
        <w:tc>
          <w:tcPr>
            <w:tcW w:type="dxa" w:w="3408"/>
            <w:tcMar>
              <w:top w:w="70" w:type="dxa"/>
              <w:start w:w="80" w:type="dxa"/>
              <w:bottom w:w="70" w:type="dxa"/>
              <w:end w:w="80" w:type="dxa"/>
            </w:tcMar>
            <w:vAlign w:val="top"/>
          </w:tcPr>
          <w:p>
            <w:r>
              <w:rPr>
                <w:sz w:val="15"/>
              </w:rPr>
              <w:t>Edit canonical profile fields</w:t>
            </w:r>
          </w:p>
        </w:tc>
        <w:tc>
          <w:tcPr>
            <w:tcW w:type="dxa" w:w="3408"/>
            <w:tcMar>
              <w:top w:w="70" w:type="dxa"/>
              <w:start w:w="80" w:type="dxa"/>
              <w:bottom w:w="70" w:type="dxa"/>
              <w:end w:w="80" w:type="dxa"/>
            </w:tcMar>
            <w:vAlign w:val="top"/>
          </w:tcPr>
          <w:p>
            <w:r>
              <w:rPr>
                <w:sz w:val="15"/>
              </w:rPr>
              <w:t>Authenticated owner</w:t>
            </w:r>
          </w:p>
        </w:tc>
      </w:tr>
      <w:tr>
        <w:tc>
          <w:tcPr>
            <w:tcW w:type="dxa" w:w="3408"/>
            <w:tcMar>
              <w:top w:w="70" w:type="dxa"/>
              <w:start w:w="80" w:type="dxa"/>
              <w:bottom w:w="70" w:type="dxa"/>
              <w:end w:w="80" w:type="dxa"/>
            </w:tcMar>
            <w:vAlign w:val="top"/>
          </w:tcPr>
          <w:p>
            <w:r>
              <w:rPr>
                <w:sz w:val="15"/>
              </w:rPr>
              <w:t>POST /api/documents/:id/process</w:t>
            </w:r>
          </w:p>
        </w:tc>
        <w:tc>
          <w:tcPr>
            <w:tcW w:type="dxa" w:w="3408"/>
            <w:tcMar>
              <w:top w:w="70" w:type="dxa"/>
              <w:start w:w="80" w:type="dxa"/>
              <w:bottom w:w="70" w:type="dxa"/>
              <w:end w:w="80" w:type="dxa"/>
            </w:tcMar>
            <w:vAlign w:val="top"/>
          </w:tcPr>
          <w:p>
            <w:r>
              <w:rPr>
                <w:sz w:val="15"/>
              </w:rPr>
              <w:t>Queue/replay document processing</w:t>
            </w:r>
          </w:p>
        </w:tc>
        <w:tc>
          <w:tcPr>
            <w:tcW w:type="dxa" w:w="3408"/>
            <w:tcMar>
              <w:top w:w="70" w:type="dxa"/>
              <w:start w:w="80" w:type="dxa"/>
              <w:bottom w:w="70" w:type="dxa"/>
              <w:end w:w="80" w:type="dxa"/>
            </w:tcMar>
            <w:vAlign w:val="top"/>
          </w:tcPr>
          <w:p>
            <w:r>
              <w:rPr>
                <w:sz w:val="15"/>
              </w:rPr>
              <w:t>Authenticated owner/service</w:t>
            </w:r>
          </w:p>
        </w:tc>
      </w:tr>
      <w:tr>
        <w:tc>
          <w:tcPr>
            <w:tcW w:type="dxa" w:w="3408"/>
            <w:tcMar>
              <w:top w:w="70" w:type="dxa"/>
              <w:start w:w="80" w:type="dxa"/>
              <w:bottom w:w="70" w:type="dxa"/>
              <w:end w:w="80" w:type="dxa"/>
            </w:tcMar>
            <w:vAlign w:val="top"/>
          </w:tcPr>
          <w:p>
            <w:r>
              <w:rPr>
                <w:sz w:val="15"/>
              </w:rPr>
              <w:t>GET /api/documents/:id/status</w:t>
            </w:r>
          </w:p>
        </w:tc>
        <w:tc>
          <w:tcPr>
            <w:tcW w:type="dxa" w:w="3408"/>
            <w:tcMar>
              <w:top w:w="70" w:type="dxa"/>
              <w:start w:w="80" w:type="dxa"/>
              <w:bottom w:w="70" w:type="dxa"/>
              <w:end w:w="80" w:type="dxa"/>
            </w:tcMar>
            <w:vAlign w:val="top"/>
          </w:tcPr>
          <w:p>
            <w:r>
              <w:rPr>
                <w:sz w:val="15"/>
              </w:rPr>
              <w:t>Read safe processing state</w:t>
            </w:r>
          </w:p>
        </w:tc>
        <w:tc>
          <w:tcPr>
            <w:tcW w:type="dxa" w:w="3408"/>
            <w:tcMar>
              <w:top w:w="70" w:type="dxa"/>
              <w:start w:w="80" w:type="dxa"/>
              <w:bottom w:w="70" w:type="dxa"/>
              <w:end w:w="80" w:type="dxa"/>
            </w:tcMar>
            <w:vAlign w:val="top"/>
          </w:tcPr>
          <w:p>
            <w:r>
              <w:rPr>
                <w:sz w:val="15"/>
              </w:rPr>
              <w:t>Authenticated owner</w:t>
            </w:r>
          </w:p>
        </w:tc>
      </w:tr>
      <w:tr>
        <w:tc>
          <w:tcPr>
            <w:tcW w:type="dxa" w:w="3408"/>
            <w:tcMar>
              <w:top w:w="70" w:type="dxa"/>
              <w:start w:w="80" w:type="dxa"/>
              <w:bottom w:w="70" w:type="dxa"/>
              <w:end w:w="80" w:type="dxa"/>
            </w:tcMar>
            <w:vAlign w:val="top"/>
          </w:tcPr>
          <w:p>
            <w:r>
              <w:rPr>
                <w:sz w:val="15"/>
              </w:rPr>
              <w:t>GET /api/documents/:id/claims</w:t>
            </w:r>
          </w:p>
        </w:tc>
        <w:tc>
          <w:tcPr>
            <w:tcW w:type="dxa" w:w="3408"/>
            <w:tcMar>
              <w:top w:w="70" w:type="dxa"/>
              <w:start w:w="80" w:type="dxa"/>
              <w:bottom w:w="70" w:type="dxa"/>
              <w:end w:w="80" w:type="dxa"/>
            </w:tcMar>
            <w:vAlign w:val="top"/>
          </w:tcPr>
          <w:p>
            <w:r>
              <w:rPr>
                <w:sz w:val="15"/>
              </w:rPr>
              <w:t>Read claims/evidence metadata</w:t>
            </w:r>
          </w:p>
        </w:tc>
        <w:tc>
          <w:tcPr>
            <w:tcW w:type="dxa" w:w="3408"/>
            <w:tcMar>
              <w:top w:w="70" w:type="dxa"/>
              <w:start w:w="80" w:type="dxa"/>
              <w:bottom w:w="70" w:type="dxa"/>
              <w:end w:w="80" w:type="dxa"/>
            </w:tcMar>
            <w:vAlign w:val="top"/>
          </w:tcPr>
          <w:p>
            <w:r>
              <w:rPr>
                <w:sz w:val="15"/>
              </w:rPr>
              <w:t>Authenticated owner</w:t>
            </w:r>
          </w:p>
        </w:tc>
      </w:tr>
      <w:tr>
        <w:tc>
          <w:tcPr>
            <w:tcW w:type="dxa" w:w="3408"/>
            <w:tcMar>
              <w:top w:w="70" w:type="dxa"/>
              <w:start w:w="80" w:type="dxa"/>
              <w:bottom w:w="70" w:type="dxa"/>
              <w:end w:w="80" w:type="dxa"/>
            </w:tcMar>
            <w:vAlign w:val="top"/>
          </w:tcPr>
          <w:p>
            <w:r>
              <w:rPr>
                <w:sz w:val="15"/>
              </w:rPr>
              <w:t>PATCH /api/claims/:id</w:t>
            </w:r>
          </w:p>
        </w:tc>
        <w:tc>
          <w:tcPr>
            <w:tcW w:type="dxa" w:w="3408"/>
            <w:tcMar>
              <w:top w:w="70" w:type="dxa"/>
              <w:start w:w="80" w:type="dxa"/>
              <w:bottom w:w="70" w:type="dxa"/>
              <w:end w:w="80" w:type="dxa"/>
            </w:tcMar>
            <w:vAlign w:val="top"/>
          </w:tcPr>
          <w:p>
            <w:r>
              <w:rPr>
                <w:sz w:val="15"/>
              </w:rPr>
              <w:t>Accept/edit/reject claim</w:t>
            </w:r>
          </w:p>
        </w:tc>
        <w:tc>
          <w:tcPr>
            <w:tcW w:type="dxa" w:w="3408"/>
            <w:tcMar>
              <w:top w:w="70" w:type="dxa"/>
              <w:start w:w="80" w:type="dxa"/>
              <w:bottom w:w="70" w:type="dxa"/>
              <w:end w:w="80" w:type="dxa"/>
            </w:tcMar>
            <w:vAlign w:val="top"/>
          </w:tcPr>
          <w:p>
            <w:r>
              <w:rPr>
                <w:sz w:val="15"/>
              </w:rPr>
              <w:t>Authenticated owner</w:t>
            </w:r>
          </w:p>
        </w:tc>
      </w:tr>
      <w:tr>
        <w:tc>
          <w:tcPr>
            <w:tcW w:type="dxa" w:w="3408"/>
            <w:tcMar>
              <w:top w:w="70" w:type="dxa"/>
              <w:start w:w="80" w:type="dxa"/>
              <w:bottom w:w="70" w:type="dxa"/>
              <w:end w:w="80" w:type="dxa"/>
            </w:tcMar>
            <w:vAlign w:val="top"/>
          </w:tcPr>
          <w:p>
            <w:r>
              <w:rPr>
                <w:sz w:val="15"/>
              </w:rPr>
              <w:t>POST /api/claims/promote</w:t>
            </w:r>
          </w:p>
        </w:tc>
        <w:tc>
          <w:tcPr>
            <w:tcW w:type="dxa" w:w="3408"/>
            <w:tcMar>
              <w:top w:w="70" w:type="dxa"/>
              <w:start w:w="80" w:type="dxa"/>
              <w:bottom w:w="70" w:type="dxa"/>
              <w:end w:w="80" w:type="dxa"/>
            </w:tcMar>
            <w:vAlign w:val="top"/>
          </w:tcPr>
          <w:p>
            <w:r>
              <w:rPr>
                <w:sz w:val="15"/>
              </w:rPr>
              <w:t>Transactional canonical promotion</w:t>
            </w:r>
          </w:p>
        </w:tc>
        <w:tc>
          <w:tcPr>
            <w:tcW w:type="dxa" w:w="3408"/>
            <w:tcMar>
              <w:top w:w="70" w:type="dxa"/>
              <w:start w:w="80" w:type="dxa"/>
              <w:bottom w:w="70" w:type="dxa"/>
              <w:end w:w="80" w:type="dxa"/>
            </w:tcMar>
            <w:vAlign w:val="top"/>
          </w:tcPr>
          <w:p>
            <w:r>
              <w:rPr>
                <w:sz w:val="15"/>
              </w:rPr>
              <w:t>Authenticated owner</w:t>
            </w:r>
          </w:p>
        </w:tc>
      </w:tr>
      <w:tr>
        <w:tc>
          <w:tcPr>
            <w:tcW w:type="dxa" w:w="3408"/>
            <w:tcMar>
              <w:top w:w="70" w:type="dxa"/>
              <w:start w:w="80" w:type="dxa"/>
              <w:bottom w:w="70" w:type="dxa"/>
              <w:end w:w="80" w:type="dxa"/>
            </w:tcMar>
            <w:vAlign w:val="top"/>
          </w:tcPr>
          <w:p>
            <w:r>
              <w:rPr>
                <w:sz w:val="15"/>
              </w:rPr>
              <w:t>POST /api/profile/review/complete</w:t>
            </w:r>
          </w:p>
        </w:tc>
        <w:tc>
          <w:tcPr>
            <w:tcW w:type="dxa" w:w="3408"/>
            <w:tcMar>
              <w:top w:w="70" w:type="dxa"/>
              <w:start w:w="80" w:type="dxa"/>
              <w:bottom w:w="70" w:type="dxa"/>
              <w:end w:w="80" w:type="dxa"/>
            </w:tcMar>
            <w:vAlign w:val="top"/>
          </w:tcPr>
          <w:p>
            <w:r>
              <w:rPr>
                <w:sz w:val="15"/>
              </w:rPr>
              <w:t>Complete review/activate profile</w:t>
            </w:r>
          </w:p>
        </w:tc>
        <w:tc>
          <w:tcPr>
            <w:tcW w:type="dxa" w:w="3408"/>
            <w:tcMar>
              <w:top w:w="70" w:type="dxa"/>
              <w:start w:w="80" w:type="dxa"/>
              <w:bottom w:w="70" w:type="dxa"/>
              <w:end w:w="80" w:type="dxa"/>
            </w:tcMar>
            <w:vAlign w:val="top"/>
          </w:tcPr>
          <w:p>
            <w:r>
              <w:rPr>
                <w:sz w:val="15"/>
              </w:rPr>
              <w:t>Authenticated owner</w:t>
            </w:r>
          </w:p>
        </w:tc>
      </w:tr>
      <w:tr>
        <w:tc>
          <w:tcPr>
            <w:tcW w:type="dxa" w:w="3408"/>
            <w:tcMar>
              <w:top w:w="70" w:type="dxa"/>
              <w:start w:w="80" w:type="dxa"/>
              <w:bottom w:w="70" w:type="dxa"/>
              <w:end w:w="80" w:type="dxa"/>
            </w:tcMar>
            <w:vAlign w:val="top"/>
          </w:tcPr>
          <w:p>
            <w:r>
              <w:rPr>
                <w:sz w:val="15"/>
              </w:rPr>
              <w:t>GET /api/opportunities</w:t>
            </w:r>
          </w:p>
        </w:tc>
        <w:tc>
          <w:tcPr>
            <w:tcW w:type="dxa" w:w="3408"/>
            <w:tcMar>
              <w:top w:w="70" w:type="dxa"/>
              <w:start w:w="80" w:type="dxa"/>
              <w:bottom w:w="70" w:type="dxa"/>
              <w:end w:w="80" w:type="dxa"/>
            </w:tcMar>
            <w:vAlign w:val="top"/>
          </w:tcPr>
          <w:p>
            <w:r>
              <w:rPr>
                <w:sz w:val="15"/>
              </w:rPr>
              <w:t>Published filtered feed</w:t>
            </w:r>
          </w:p>
        </w:tc>
        <w:tc>
          <w:tcPr>
            <w:tcW w:type="dxa" w:w="3408"/>
            <w:tcMar>
              <w:top w:w="70" w:type="dxa"/>
              <w:start w:w="80" w:type="dxa"/>
              <w:bottom w:w="70" w:type="dxa"/>
              <w:end w:w="80" w:type="dxa"/>
            </w:tcMar>
            <w:vAlign w:val="top"/>
          </w:tcPr>
          <w:p>
            <w:r>
              <w:rPr>
                <w:sz w:val="15"/>
              </w:rPr>
              <w:t>Public/authenticated per product rule</w:t>
            </w:r>
          </w:p>
        </w:tc>
      </w:tr>
      <w:tr>
        <w:tc>
          <w:tcPr>
            <w:tcW w:type="dxa" w:w="3408"/>
            <w:tcMar>
              <w:top w:w="70" w:type="dxa"/>
              <w:start w:w="80" w:type="dxa"/>
              <w:bottom w:w="70" w:type="dxa"/>
              <w:end w:w="80" w:type="dxa"/>
            </w:tcMar>
            <w:vAlign w:val="top"/>
          </w:tcPr>
          <w:p>
            <w:r>
              <w:rPr>
                <w:sz w:val="15"/>
              </w:rPr>
              <w:t>GET /api/opportunities/:id</w:t>
            </w:r>
          </w:p>
        </w:tc>
        <w:tc>
          <w:tcPr>
            <w:tcW w:type="dxa" w:w="3408"/>
            <w:tcMar>
              <w:top w:w="70" w:type="dxa"/>
              <w:start w:w="80" w:type="dxa"/>
              <w:bottom w:w="70" w:type="dxa"/>
              <w:end w:w="80" w:type="dxa"/>
            </w:tcMar>
            <w:vAlign w:val="top"/>
          </w:tcPr>
          <w:p>
            <w:r>
              <w:rPr>
                <w:sz w:val="15"/>
              </w:rPr>
              <w:t>Opportunity detail</w:t>
            </w:r>
          </w:p>
        </w:tc>
        <w:tc>
          <w:tcPr>
            <w:tcW w:type="dxa" w:w="3408"/>
            <w:tcMar>
              <w:top w:w="70" w:type="dxa"/>
              <w:start w:w="80" w:type="dxa"/>
              <w:bottom w:w="70" w:type="dxa"/>
              <w:end w:w="80" w:type="dxa"/>
            </w:tcMar>
            <w:vAlign w:val="top"/>
          </w:tcPr>
          <w:p>
            <w:r>
              <w:rPr>
                <w:sz w:val="15"/>
              </w:rPr>
              <w:t>Public/authenticated per product rule</w:t>
            </w:r>
          </w:p>
        </w:tc>
      </w:tr>
      <w:tr>
        <w:tc>
          <w:tcPr>
            <w:tcW w:type="dxa" w:w="3408"/>
            <w:tcMar>
              <w:top w:w="70" w:type="dxa"/>
              <w:start w:w="80" w:type="dxa"/>
              <w:bottom w:w="70" w:type="dxa"/>
              <w:end w:w="80" w:type="dxa"/>
            </w:tcMar>
            <w:vAlign w:val="top"/>
          </w:tcPr>
          <w:p>
            <w:r>
              <w:rPr>
                <w:sz w:val="15"/>
              </w:rPr>
              <w:t>POST /api/opportunities/:id/save</w:t>
            </w:r>
          </w:p>
        </w:tc>
        <w:tc>
          <w:tcPr>
            <w:tcW w:type="dxa" w:w="3408"/>
            <w:tcMar>
              <w:top w:w="70" w:type="dxa"/>
              <w:start w:w="80" w:type="dxa"/>
              <w:bottom w:w="70" w:type="dxa"/>
              <w:end w:w="80" w:type="dxa"/>
            </w:tcMar>
            <w:vAlign w:val="top"/>
          </w:tcPr>
          <w:p>
            <w:r>
              <w:rPr>
                <w:sz w:val="15"/>
              </w:rPr>
              <w:t>Save/unsave</w:t>
            </w:r>
          </w:p>
        </w:tc>
        <w:tc>
          <w:tcPr>
            <w:tcW w:type="dxa" w:w="3408"/>
            <w:tcMar>
              <w:top w:w="70" w:type="dxa"/>
              <w:start w:w="80" w:type="dxa"/>
              <w:bottom w:w="70" w:type="dxa"/>
              <w:end w:w="80" w:type="dxa"/>
            </w:tcMar>
            <w:vAlign w:val="top"/>
          </w:tcPr>
          <w:p>
            <w:r>
              <w:rPr>
                <w:sz w:val="15"/>
              </w:rPr>
              <w:t>Authenticated owner</w:t>
            </w:r>
          </w:p>
        </w:tc>
      </w:tr>
      <w:tr>
        <w:tc>
          <w:tcPr>
            <w:tcW w:type="dxa" w:w="3408"/>
            <w:tcMar>
              <w:top w:w="70" w:type="dxa"/>
              <w:start w:w="80" w:type="dxa"/>
              <w:bottom w:w="70" w:type="dxa"/>
              <w:end w:w="80" w:type="dxa"/>
            </w:tcMar>
            <w:vAlign w:val="top"/>
          </w:tcPr>
          <w:p>
            <w:r>
              <w:rPr>
                <w:sz w:val="15"/>
              </w:rPr>
              <w:t>POST /api/opportunities/:id/apply-click</w:t>
            </w:r>
          </w:p>
        </w:tc>
        <w:tc>
          <w:tcPr>
            <w:tcW w:type="dxa" w:w="3408"/>
            <w:tcMar>
              <w:top w:w="70" w:type="dxa"/>
              <w:start w:w="80" w:type="dxa"/>
              <w:bottom w:w="70" w:type="dxa"/>
              <w:end w:w="80" w:type="dxa"/>
            </w:tcMar>
            <w:vAlign w:val="top"/>
          </w:tcPr>
          <w:p>
            <w:r>
              <w:rPr>
                <w:sz w:val="15"/>
              </w:rPr>
              <w:t>Record official click and application tracker transition</w:t>
            </w:r>
          </w:p>
        </w:tc>
        <w:tc>
          <w:tcPr>
            <w:tcW w:type="dxa" w:w="3408"/>
            <w:tcMar>
              <w:top w:w="70" w:type="dxa"/>
              <w:start w:w="80" w:type="dxa"/>
              <w:bottom w:w="70" w:type="dxa"/>
              <w:end w:w="80" w:type="dxa"/>
            </w:tcMar>
            <w:vAlign w:val="top"/>
          </w:tcPr>
          <w:p>
            <w:r>
              <w:rPr>
                <w:sz w:val="15"/>
              </w:rPr>
              <w:t>Authenticated owner</w:t>
            </w:r>
          </w:p>
        </w:tc>
      </w:tr>
      <w:tr>
        <w:tc>
          <w:tcPr>
            <w:tcW w:type="dxa" w:w="3408"/>
            <w:tcMar>
              <w:top w:w="70" w:type="dxa"/>
              <w:start w:w="80" w:type="dxa"/>
              <w:bottom w:w="70" w:type="dxa"/>
              <w:end w:w="80" w:type="dxa"/>
            </w:tcMar>
            <w:vAlign w:val="top"/>
          </w:tcPr>
          <w:p>
            <w:r>
              <w:rPr>
                <w:sz w:val="15"/>
              </w:rPr>
              <w:t>GET /api/matches</w:t>
            </w:r>
          </w:p>
        </w:tc>
        <w:tc>
          <w:tcPr>
            <w:tcW w:type="dxa" w:w="3408"/>
            <w:tcMar>
              <w:top w:w="70" w:type="dxa"/>
              <w:start w:w="80" w:type="dxa"/>
              <w:bottom w:w="70" w:type="dxa"/>
              <w:end w:w="80" w:type="dxa"/>
            </w:tcMar>
            <w:vAlign w:val="top"/>
          </w:tcPr>
          <w:p>
            <w:r>
              <w:rPr>
                <w:sz w:val="15"/>
              </w:rPr>
              <w:t>Current candidate recommendations</w:t>
            </w:r>
          </w:p>
        </w:tc>
        <w:tc>
          <w:tcPr>
            <w:tcW w:type="dxa" w:w="3408"/>
            <w:tcMar>
              <w:top w:w="70" w:type="dxa"/>
              <w:start w:w="80" w:type="dxa"/>
              <w:bottom w:w="70" w:type="dxa"/>
              <w:end w:w="80" w:type="dxa"/>
            </w:tcMar>
            <w:vAlign w:val="top"/>
          </w:tcPr>
          <w:p>
            <w:r>
              <w:rPr>
                <w:sz w:val="15"/>
              </w:rPr>
              <w:t>Authenticated owner</w:t>
            </w:r>
          </w:p>
        </w:tc>
      </w:tr>
      <w:tr>
        <w:tc>
          <w:tcPr>
            <w:tcW w:type="dxa" w:w="3408"/>
            <w:tcMar>
              <w:top w:w="70" w:type="dxa"/>
              <w:start w:w="80" w:type="dxa"/>
              <w:bottom w:w="70" w:type="dxa"/>
              <w:end w:w="80" w:type="dxa"/>
            </w:tcMar>
            <w:vAlign w:val="top"/>
          </w:tcPr>
          <w:p>
            <w:r>
              <w:rPr>
                <w:sz w:val="15"/>
              </w:rPr>
              <w:t>POST /api/ingestion/sources/:id/run</w:t>
            </w:r>
          </w:p>
        </w:tc>
        <w:tc>
          <w:tcPr>
            <w:tcW w:type="dxa" w:w="3408"/>
            <w:tcMar>
              <w:top w:w="70" w:type="dxa"/>
              <w:start w:w="80" w:type="dxa"/>
              <w:bottom w:w="70" w:type="dxa"/>
              <w:end w:w="80" w:type="dxa"/>
            </w:tcMar>
            <w:vAlign w:val="top"/>
          </w:tcPr>
          <w:p>
            <w:r>
              <w:rPr>
                <w:sz w:val="15"/>
              </w:rPr>
              <w:t>Run source ingestion</w:t>
            </w:r>
          </w:p>
        </w:tc>
        <w:tc>
          <w:tcPr>
            <w:tcW w:type="dxa" w:w="3408"/>
            <w:tcMar>
              <w:top w:w="70" w:type="dxa"/>
              <w:start w:w="80" w:type="dxa"/>
              <w:bottom w:w="70" w:type="dxa"/>
              <w:end w:w="80" w:type="dxa"/>
            </w:tcMar>
            <w:vAlign w:val="top"/>
          </w:tcPr>
          <w:p>
            <w:r>
              <w:rPr>
                <w:sz w:val="15"/>
              </w:rPr>
              <w:t>Admin/internal only</w:t>
            </w:r>
          </w:p>
        </w:tc>
      </w:tr>
      <w:tr>
        <w:tc>
          <w:tcPr>
            <w:tcW w:type="dxa" w:w="3408"/>
            <w:tcMar>
              <w:top w:w="70" w:type="dxa"/>
              <w:start w:w="80" w:type="dxa"/>
              <w:bottom w:w="70" w:type="dxa"/>
              <w:end w:w="80" w:type="dxa"/>
            </w:tcMar>
            <w:vAlign w:val="top"/>
          </w:tcPr>
          <w:p>
            <w:r>
              <w:rPr>
                <w:sz w:val="15"/>
              </w:rPr>
              <w:t>GET /api/admin/health</w:t>
            </w:r>
          </w:p>
        </w:tc>
        <w:tc>
          <w:tcPr>
            <w:tcW w:type="dxa" w:w="3408"/>
            <w:tcMar>
              <w:top w:w="70" w:type="dxa"/>
              <w:start w:w="80" w:type="dxa"/>
              <w:bottom w:w="70" w:type="dxa"/>
              <w:end w:w="80" w:type="dxa"/>
            </w:tcMar>
            <w:vAlign w:val="top"/>
          </w:tcPr>
          <w:p>
            <w:r>
              <w:rPr>
                <w:sz w:val="15"/>
              </w:rPr>
              <w:t>Operational health</w:t>
            </w:r>
          </w:p>
        </w:tc>
        <w:tc>
          <w:tcPr>
            <w:tcW w:type="dxa" w:w="3408"/>
            <w:tcMar>
              <w:top w:w="70" w:type="dxa"/>
              <w:start w:w="80" w:type="dxa"/>
              <w:bottom w:w="70" w:type="dxa"/>
              <w:end w:w="80" w:type="dxa"/>
            </w:tcMar>
            <w:vAlign w:val="top"/>
          </w:tcPr>
          <w:p>
            <w:r>
              <w:rPr>
                <w:sz w:val="15"/>
              </w:rPr>
              <w:t>Admin only; no document contents</w:t>
            </w:r>
          </w:p>
        </w:tc>
      </w:tr>
      <w:tr>
        <w:tc>
          <w:tcPr>
            <w:tcW w:type="dxa" w:w="3408"/>
            <w:tcMar>
              <w:top w:w="70" w:type="dxa"/>
              <w:start w:w="80" w:type="dxa"/>
              <w:bottom w:w="70" w:type="dxa"/>
              <w:end w:w="80" w:type="dxa"/>
            </w:tcMar>
            <w:vAlign w:val="top"/>
          </w:tcPr>
          <w:p>
            <w:r>
              <w:rPr>
                <w:sz w:val="15"/>
              </w:rPr>
              <w:t>Internal AI Gateway</w:t>
            </w:r>
          </w:p>
        </w:tc>
        <w:tc>
          <w:tcPr>
            <w:tcW w:type="dxa" w:w="3408"/>
            <w:tcMar>
              <w:top w:w="70" w:type="dxa"/>
              <w:start w:w="80" w:type="dxa"/>
              <w:bottom w:w="70" w:type="dxa"/>
              <w:end w:w="80" w:type="dxa"/>
            </w:tcMar>
            <w:vAlign w:val="top"/>
          </w:tcPr>
          <w:p>
            <w:r>
              <w:rPr>
                <w:sz w:val="15"/>
              </w:rPr>
              <w:t>All AI tasks</w:t>
            </w:r>
          </w:p>
        </w:tc>
        <w:tc>
          <w:tcPr>
            <w:tcW w:type="dxa" w:w="3408"/>
            <w:tcMar>
              <w:top w:w="70" w:type="dxa"/>
              <w:start w:w="80" w:type="dxa"/>
              <w:bottom w:w="70" w:type="dxa"/>
              <w:end w:w="80" w:type="dxa"/>
            </w:tcMar>
            <w:vAlign w:val="top"/>
          </w:tcPr>
          <w:p>
            <w:r>
              <w:rPr>
                <w:sz w:val="15"/>
              </w:rPr>
              <w:t>Server-only; not a public Phase 1 endpoint</w:t>
            </w:r>
          </w:p>
        </w:tc>
      </w:tr>
      <w:tr>
        <w:tc>
          <w:tcPr>
            <w:tcW w:type="dxa" w:w="3408"/>
            <w:tcMar>
              <w:top w:w="70" w:type="dxa"/>
              <w:start w:w="80" w:type="dxa"/>
              <w:bottom w:w="70" w:type="dxa"/>
              <w:end w:w="80" w:type="dxa"/>
            </w:tcMar>
            <w:vAlign w:val="top"/>
          </w:tcPr>
          <w:p>
            <w:r>
              <w:rPr>
                <w:sz w:val="15"/>
              </w:rPr>
              <w:t>Internal notification dispatcher</w:t>
            </w:r>
          </w:p>
        </w:tc>
        <w:tc>
          <w:tcPr>
            <w:tcW w:type="dxa" w:w="3408"/>
            <w:tcMar>
              <w:top w:w="70" w:type="dxa"/>
              <w:start w:w="80" w:type="dxa"/>
              <w:bottom w:w="70" w:type="dxa"/>
              <w:end w:w="80" w:type="dxa"/>
            </w:tcMar>
            <w:vAlign w:val="top"/>
          </w:tcPr>
          <w:p>
            <w:r>
              <w:rPr>
                <w:sz w:val="15"/>
              </w:rPr>
              <w:t>Evaluate preferences and deliver</w:t>
            </w:r>
          </w:p>
        </w:tc>
        <w:tc>
          <w:tcPr>
            <w:tcW w:type="dxa" w:w="3408"/>
            <w:tcMar>
              <w:top w:w="70" w:type="dxa"/>
              <w:start w:w="80" w:type="dxa"/>
              <w:bottom w:w="70" w:type="dxa"/>
              <w:end w:w="80" w:type="dxa"/>
            </w:tcMar>
            <w:vAlign w:val="top"/>
          </w:tcPr>
          <w:p>
            <w:r>
              <w:rPr>
                <w:sz w:val="15"/>
              </w:rPr>
              <w:t>Server/worker only</w:t>
            </w:r>
          </w:p>
        </w:tc>
      </w:tr>
      <w:tr>
        <w:tc>
          <w:tcPr>
            <w:tcW w:type="dxa" w:w="3408"/>
            <w:tcMar>
              <w:top w:w="70" w:type="dxa"/>
              <w:start w:w="80" w:type="dxa"/>
              <w:bottom w:w="70" w:type="dxa"/>
              <w:end w:w="80" w:type="dxa"/>
            </w:tcMar>
            <w:vAlign w:val="top"/>
          </w:tcPr>
          <w:p>
            <w:r>
              <w:rPr>
                <w:sz w:val="15"/>
              </w:rPr>
              <w:t>POST /api/analytics/events</w:t>
            </w:r>
          </w:p>
        </w:tc>
        <w:tc>
          <w:tcPr>
            <w:tcW w:type="dxa" w:w="3408"/>
            <w:tcMar>
              <w:top w:w="70" w:type="dxa"/>
              <w:start w:w="80" w:type="dxa"/>
              <w:bottom w:w="70" w:type="dxa"/>
              <w:end w:w="80" w:type="dxa"/>
            </w:tcMar>
            <w:vAlign w:val="top"/>
          </w:tcPr>
          <w:p>
            <w:r>
              <w:rPr>
                <w:sz w:val="15"/>
              </w:rPr>
              <w:t>Record allowlisted non-PII events</w:t>
            </w:r>
          </w:p>
        </w:tc>
        <w:tc>
          <w:tcPr>
            <w:tcW w:type="dxa" w:w="3408"/>
            <w:tcMar>
              <w:top w:w="70" w:type="dxa"/>
              <w:start w:w="80" w:type="dxa"/>
              <w:bottom w:w="70" w:type="dxa"/>
              <w:end w:w="80" w:type="dxa"/>
            </w:tcMar>
            <w:vAlign w:val="top"/>
          </w:tcPr>
          <w:p>
            <w:r>
              <w:rPr>
                <w:sz w:val="15"/>
              </w:rPr>
              <w:t>Authenticated/anonymous as designed; validated envelope</w:t>
            </w:r>
          </w:p>
        </w:tc>
      </w:tr>
    </w:tbl>
    <w:p>
      <w:pPr>
        <w:pStyle w:val="Heading2"/>
      </w:pPr>
      <w:r>
        <w:t>4.5 Canonical AIRequest / AIResult</w:t>
      </w:r>
    </w:p>
    <w:tbl>
      <w:tblPr>
        <w:tblStyle w:val="TableGrid"/>
        <w:tblW w:type="auto" w:w="0"/>
        <w:tblLook w:firstColumn="1" w:firstRow="1" w:lastColumn="0" w:lastRow="0" w:noHBand="0" w:noVBand="1" w:val="04A0"/>
      </w:tblPr>
      <w:tblGrid>
        <w:gridCol w:w="10224"/>
      </w:tblGrid>
      <w:tr>
        <w:trPr>
          <w:tblHeader w:val="true"/>
        </w:trPr>
        <w:tc>
          <w:tcPr>
            <w:tcW w:type="dxa" w:w="10224"/>
            <w:shd w:fill="F5F7FA"/>
            <w:tcMar>
              <w:top w:w="70" w:type="dxa"/>
              <w:start w:w="80" w:type="dxa"/>
              <w:bottom w:w="70" w:type="dxa"/>
              <w:end w:w="80" w:type="dxa"/>
            </w:tcMar>
          </w:tcPr>
          <w:p>
            <w:r>
              <w:rPr>
                <w:rFonts w:ascii="Consolas" w:hAnsi="Consolas"/>
                <w:sz w:val="15"/>
              </w:rPr>
              <w:t>type AIRequest&lt;TInput&gt; = {</w:t>
              <w:br/>
              <w:t xml:space="preserve">  task: AITask;</w:t>
              <w:br/>
              <w:t xml:space="preserve">  input: TInput;</w:t>
              <w:br/>
              <w:t xml:space="preserve">  promptVersion: string;</w:t>
              <w:br/>
              <w:t xml:space="preserve">  schemaVersion: string;</w:t>
              <w:br/>
              <w:t xml:space="preserve">  policyVersion: string;</w:t>
              <w:br/>
              <w:t xml:space="preserve">  priority: "interactive" | "background" | "batch";</w:t>
              <w:br/>
              <w:t xml:space="preserve">  idempotencyKey: string;</w:t>
              <w:br/>
              <w:t xml:space="preserve">  redactionProfile: "none" | "pii-minimized" | "synthetic";</w:t>
              <w:br/>
              <w:t>};</w:t>
              <w:br/>
              <w:br/>
              <w:t>type AIResult&lt;TOutput&gt; = {</w:t>
              <w:br/>
              <w:t xml:space="preserve">  output: TOutput;</w:t>
              <w:br/>
              <w:t xml:space="preserve">  model: string;</w:t>
              <w:br/>
              <w:t xml:space="preserve">  provider: string;</w:t>
              <w:br/>
              <w:t xml:space="preserve">  usage?: Usage;</w:t>
              <w:br/>
              <w:t xml:space="preserve">  latencyMs: number;</w:t>
              <w:br/>
              <w:t xml:space="preserve">  aiRunId: string;</w:t>
              <w:br/>
              <w:t xml:space="preserve">  validation: ValidationResult;</w:t>
              <w:br/>
              <w:t>};</w:t>
            </w:r>
          </w:p>
        </w:tc>
      </w:tr>
    </w:tbl>
    <w:p>
      <w:pPr>
        <w:pStyle w:val="Heading2"/>
      </w:pPr>
      <w:r>
        <w:t>4.6 Canonical analytics envelope</w:t>
      </w:r>
    </w:p>
    <w:tbl>
      <w:tblPr>
        <w:tblStyle w:val="TableGrid"/>
        <w:tblW w:type="auto" w:w="0"/>
        <w:tblLook w:firstColumn="1" w:firstRow="1" w:lastColumn="0" w:lastRow="0" w:noHBand="0" w:noVBand="1" w:val="04A0"/>
      </w:tblPr>
      <w:tblGrid>
        <w:gridCol w:w="10224"/>
      </w:tblGrid>
      <w:tr>
        <w:trPr>
          <w:tblHeader w:val="true"/>
        </w:trPr>
        <w:tc>
          <w:tcPr>
            <w:tcW w:type="dxa" w:w="10224"/>
            <w:shd w:fill="F5F7FA"/>
            <w:tcMar>
              <w:top w:w="70" w:type="dxa"/>
              <w:start w:w="80" w:type="dxa"/>
              <w:bottom w:w="70" w:type="dxa"/>
              <w:end w:w="80" w:type="dxa"/>
            </w:tcMar>
          </w:tcPr>
          <w:p>
            <w:r>
              <w:rPr>
                <w:rFonts w:ascii="Consolas" w:hAnsi="Consolas"/>
                <w:sz w:val="15"/>
              </w:rPr>
              <w:t>type AnalyticsEventV1 = {</w:t>
              <w:br/>
              <w:t xml:space="preserve">  event_name: string;</w:t>
              <w:br/>
              <w:t xml:space="preserve">  event_version: number;</w:t>
              <w:br/>
              <w:t xml:space="preserve">  occurred_at: string;</w:t>
              <w:br/>
              <w:t xml:space="preserve">  user_id?: string;</w:t>
              <w:br/>
              <w:t xml:space="preserve">  session_id?: string;</w:t>
              <w:br/>
              <w:t xml:space="preserve">  route?: string;</w:t>
              <w:br/>
              <w:t xml:space="preserve">  object_type?: string;</w:t>
              <w:br/>
              <w:t xml:space="preserve">  object_id?: string;</w:t>
              <w:br/>
              <w:t xml:space="preserve">  properties: Record&lt;string, unknown&gt;; // strictly non-sensitive</w:t>
              <w:br/>
              <w:t xml:space="preserve">  source: "web" | "system" | "notification";</w:t>
              <w:br/>
              <w:t xml:space="preserve">  experiment_key?: string;</w:t>
              <w:br/>
              <w:t xml:space="preserve">  variant?: string;</w:t>
              <w:br/>
              <w:t>};</w:t>
            </w:r>
          </w:p>
        </w:tc>
      </w:tr>
    </w:tbl>
    <w:p>
      <w:r>
        <w:br w:type="page"/>
      </w:r>
    </w:p>
    <w:p>
      <w:pPr>
        <w:pStyle w:val="Heading1"/>
      </w:pPr>
      <w:r>
        <w:t>5. Golden Invariants for Document 13</w:t>
      </w:r>
    </w:p>
    <w:p>
      <w:pPr>
        <w:pStyle w:val="ListBullet"/>
        <w:spacing w:after="20"/>
      </w:pPr>
      <w:r>
        <w:t>Canonical database records, applied migrations and validated domain services are authoritative. AI output is never canonical by itself.</w:t>
      </w:r>
    </w:p>
    <w:p>
      <w:pPr>
        <w:pStyle w:val="ListBullet"/>
        <w:spacing w:after="20"/>
      </w:pPr>
      <w:r>
        <w:t>Candidate documents follow upload → parse → AI extraction → profile claims → user review → canonical promotion. Parser artifacts and claims preserve provenance.</w:t>
      </w:r>
    </w:p>
    <w:p>
      <w:pPr>
        <w:pStyle w:val="ListBullet"/>
        <w:spacing w:after="20"/>
      </w:pPr>
      <w:r>
        <w:t>documents.status and document_processing_runs.status are separate state machines and must never be conflated.</w:t>
      </w:r>
    </w:p>
    <w:p>
      <w:pPr>
        <w:pStyle w:val="ListBullet"/>
        <w:spacing w:after="20"/>
      </w:pPr>
      <w:r>
        <w:t>User-authored canonical profile facts outrank later AI extraction. Later extraction creates claims and never silently overwrites them.</w:t>
      </w:r>
    </w:p>
    <w:p>
      <w:pPr>
        <w:pStyle w:val="ListBullet"/>
        <w:spacing w:after="20"/>
      </w:pPr>
      <w:r>
        <w:t>Opportunity data follows source → capture → normalize → deduplicate → verify → publish → expire. Only published, fresh, quality-gated records reach recommendations or growth distribution.</w:t>
      </w:r>
    </w:p>
    <w:p>
      <w:pPr>
        <w:pStyle w:val="ListBullet"/>
        <w:spacing w:after="20"/>
      </w:pPr>
      <w:r>
        <w:t>official_apply_url is optional only before publication. Published/recommendable opportunities require an official application path and trusted provenance.</w:t>
      </w:r>
    </w:p>
    <w:p>
      <w:pPr>
        <w:pStyle w:val="ListBullet"/>
        <w:spacing w:after="20"/>
      </w:pPr>
      <w:r>
        <w:t>opportunity_type and employment_type are separate dimensions with separate taxonomies.</w:t>
      </w:r>
    </w:p>
    <w:p>
      <w:pPr>
        <w:pStyle w:val="ListBullet"/>
        <w:spacing w:after="20"/>
      </w:pPr>
      <w:r>
        <w:t>Matching Stage 1 eligibility and Stage 2 scoring are deterministic and versioned. AI only explains already-calculated results.</w:t>
      </w:r>
    </w:p>
    <w:p>
      <w:pPr>
        <w:pStyle w:val="ListBullet"/>
        <w:spacing w:after="20"/>
      </w:pPr>
      <w:r>
        <w:t>match_score is an internal ranking signal. User-facing surfaces default to Strong/Good/Potential labels. Numeric score visibility is feature-flagged and never presented as hiring probability.</w:t>
      </w:r>
    </w:p>
    <w:p>
      <w:pPr>
        <w:pStyle w:val="ListBullet"/>
        <w:spacing w:after="20"/>
      </w:pPr>
      <w:r>
        <w:t>Every current match has one deterministic current-selection rule. Historical match versions remain immutable.</w:t>
      </w:r>
    </w:p>
    <w:p>
      <w:pPr>
        <w:pStyle w:val="ListBullet"/>
        <w:spacing w:after="20"/>
      </w:pPr>
      <w:r>
        <w:t>All AI access goes through the internal AI Gateway. Provider SDKs never appear in feature/UI modules.</w:t>
      </w:r>
    </w:p>
    <w:p>
      <w:pPr>
        <w:pStyle w:val="ListBullet"/>
        <w:spacing w:after="20"/>
      </w:pPr>
      <w:r>
        <w:t>AI output passes JSON parse → Zod → domain validation → evidence validation → safety/policy checks → normalization → domain-controlled persistence.</w:t>
      </w:r>
    </w:p>
    <w:p>
      <w:pPr>
        <w:pStyle w:val="ListBullet"/>
        <w:spacing w:after="20"/>
      </w:pPr>
      <w:r>
        <w:t>External text from CVs, job postings, social posts or web pages is untrusted data, never system instructions.</w:t>
      </w:r>
    </w:p>
    <w:p>
      <w:pPr>
        <w:pStyle w:val="ListBullet"/>
        <w:spacing w:after="20"/>
      </w:pPr>
      <w:r>
        <w:t>Private candidate files live in private storage and are served through server-authorized short-lived signed URLs.</w:t>
      </w:r>
    </w:p>
    <w:p>
      <w:pPr>
        <w:pStyle w:val="ListBullet"/>
        <w:spacing w:after="20"/>
      </w:pPr>
      <w:r>
        <w:t>Analytics contain no raw CV/certificate content or unnecessary PII and use a canonical event envelope.</w:t>
      </w:r>
    </w:p>
    <w:p>
      <w:pPr>
        <w:pStyle w:val="ListBullet"/>
        <w:spacing w:after="20"/>
      </w:pPr>
      <w:r>
        <w:t>External application outcomes are unknown. Apply clicks are not proof of application; applied_self_reported is the MVP truth state.</w:t>
      </w:r>
    </w:p>
    <w:p>
      <w:pPr>
        <w:pStyle w:val="ListBullet"/>
        <w:spacing w:after="20"/>
      </w:pPr>
      <w:r>
        <w:t>WhatsApp is a channel adapter and retention mechanism, not a domain dependency. Provider enablement is conditional.</w:t>
      </w:r>
    </w:p>
    <w:p>
      <w:pPr>
        <w:pStyle w:val="ListBullet"/>
        <w:spacing w:after="20"/>
      </w:pPr>
      <w:r>
        <w:t>Native mobile, employer platform, document generation, learning marketplace, full career coach, embeddings/semantic ranking, and public social autopilot remain deferred and must not be Phase 1 dependencies.</w:t>
      </w:r>
    </w:p>
    <w:p>
      <w:pPr>
        <w:pStyle w:val="ListBullet"/>
        <w:spacing w:after="20"/>
      </w:pPr>
      <w:r>
        <w:t>Claude Code may challenge architecture, but protected changes require explicit approval, ADR evidence, tests and rollback/recovery planning.</w:t>
      </w:r>
    </w:p>
    <w:p>
      <w:pPr>
        <w:pStyle w:val="ListBullet"/>
        <w:spacing w:after="20"/>
      </w:pPr>
      <w:r>
        <w:t>Skills are progressive-disclosure procedures. Their native SKILL.md frontmatter contains only name and description; domain metadata and detailed procedures remain in the body/references.</w:t>
      </w:r>
    </w:p>
    <w:p>
      <w:pPr>
        <w:pStyle w:val="ListBullet"/>
        <w:spacing w:after="20"/>
      </w:pPr>
      <w:r>
        <w:t>Every Phase 1 task must verify against canonical-contracts.md, not against memory or copied prompt text.</w:t>
      </w:r>
    </w:p>
    <w:p>
      <w:pPr>
        <w:pStyle w:val="Heading1"/>
      </w:pPr>
      <w:r>
        <w:t>6. Phase 1 Boundary Lock</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tcMar>
              <w:top w:w="70" w:type="dxa"/>
              <w:start w:w="80" w:type="dxa"/>
              <w:bottom w:w="70" w:type="dxa"/>
              <w:end w:w="80" w:type="dxa"/>
            </w:tcMar>
            <w:vAlign w:val="center"/>
          </w:tcPr>
          <w:p>
            <w:r>
              <w:rPr>
                <w:b/>
                <w:sz w:val="16"/>
              </w:rPr>
              <w:t>In Phase 1</w:t>
            </w:r>
          </w:p>
        </w:tc>
        <w:tc>
          <w:tcPr>
            <w:tcW w:type="dxa" w:w="5112"/>
            <w:shd w:fill="D9E2F3"/>
            <w:tcMar>
              <w:top w:w="70" w:type="dxa"/>
              <w:start w:w="80" w:type="dxa"/>
              <w:bottom w:w="70" w:type="dxa"/>
              <w:end w:w="80" w:type="dxa"/>
            </w:tcMar>
            <w:vAlign w:val="center"/>
          </w:tcPr>
          <w:p>
            <w:r>
              <w:rPr>
                <w:b/>
                <w:sz w:val="16"/>
              </w:rPr>
              <w:t>Explicitly prohibited as a dependency</w:t>
            </w:r>
          </w:p>
        </w:tc>
      </w:tr>
      <w:tr>
        <w:tc>
          <w:tcPr>
            <w:tcW w:type="dxa" w:w="5112"/>
            <w:tcMar>
              <w:top w:w="70" w:type="dxa"/>
              <w:start w:w="80" w:type="dxa"/>
              <w:bottom w:w="70" w:type="dxa"/>
              <w:end w:w="80" w:type="dxa"/>
            </w:tcMar>
            <w:vAlign w:val="top"/>
          </w:tcPr>
          <w:p>
            <w:r>
              <w:rPr>
                <w:sz w:val="15"/>
              </w:rPr>
              <w:t>Auth and candidate profile shell</w:t>
            </w:r>
          </w:p>
        </w:tc>
        <w:tc>
          <w:tcPr>
            <w:tcW w:type="dxa" w:w="5112"/>
            <w:tcMar>
              <w:top w:w="70" w:type="dxa"/>
              <w:start w:w="80" w:type="dxa"/>
              <w:bottom w:w="70" w:type="dxa"/>
              <w:end w:w="80" w:type="dxa"/>
            </w:tcMar>
            <w:vAlign w:val="top"/>
          </w:tcPr>
          <w:p>
            <w:r>
              <w:rPr>
                <w:sz w:val="15"/>
              </w:rPr>
              <w:t>Native mobile apps</w:t>
            </w:r>
          </w:p>
        </w:tc>
      </w:tr>
      <w:tr>
        <w:tc>
          <w:tcPr>
            <w:tcW w:type="dxa" w:w="5112"/>
            <w:tcMar>
              <w:top w:w="70" w:type="dxa"/>
              <w:start w:w="80" w:type="dxa"/>
              <w:bottom w:w="70" w:type="dxa"/>
              <w:end w:w="80" w:type="dxa"/>
            </w:tcMar>
            <w:vAlign w:val="top"/>
          </w:tcPr>
          <w:p>
            <w:r>
              <w:rPr>
                <w:sz w:val="15"/>
              </w:rPr>
              <w:t>Private CV/certificate upload</w:t>
            </w:r>
          </w:p>
        </w:tc>
        <w:tc>
          <w:tcPr>
            <w:tcW w:type="dxa" w:w="5112"/>
            <w:tcMar>
              <w:top w:w="70" w:type="dxa"/>
              <w:start w:w="80" w:type="dxa"/>
              <w:bottom w:w="70" w:type="dxa"/>
              <w:end w:w="80" w:type="dxa"/>
            </w:tcMar>
            <w:vAlign w:val="top"/>
          </w:tcPr>
          <w:p>
            <w:r>
              <w:rPr>
                <w:sz w:val="15"/>
              </w:rPr>
              <w:t>Employer portal / employer accounts</w:t>
            </w:r>
          </w:p>
        </w:tc>
      </w:tr>
      <w:tr>
        <w:tc>
          <w:tcPr>
            <w:tcW w:type="dxa" w:w="5112"/>
            <w:tcMar>
              <w:top w:w="70" w:type="dxa"/>
              <w:start w:w="80" w:type="dxa"/>
              <w:bottom w:w="70" w:type="dxa"/>
              <w:end w:w="80" w:type="dxa"/>
            </w:tcMar>
            <w:vAlign w:val="top"/>
          </w:tcPr>
          <w:p>
            <w:r>
              <w:rPr>
                <w:sz w:val="15"/>
              </w:rPr>
              <w:t>Document processing job harness</w:t>
            </w:r>
          </w:p>
        </w:tc>
        <w:tc>
          <w:tcPr>
            <w:tcW w:type="dxa" w:w="5112"/>
            <w:tcMar>
              <w:top w:w="70" w:type="dxa"/>
              <w:start w:w="80" w:type="dxa"/>
              <w:bottom w:w="70" w:type="dxa"/>
              <w:end w:w="80" w:type="dxa"/>
            </w:tcMar>
            <w:vAlign w:val="top"/>
          </w:tcPr>
          <w:p>
            <w:r>
              <w:rPr>
                <w:sz w:val="15"/>
              </w:rPr>
              <w:t>Automated cover letters/CV tailoring</w:t>
            </w:r>
          </w:p>
        </w:tc>
      </w:tr>
      <w:tr>
        <w:tc>
          <w:tcPr>
            <w:tcW w:type="dxa" w:w="5112"/>
            <w:tcMar>
              <w:top w:w="70" w:type="dxa"/>
              <w:start w:w="80" w:type="dxa"/>
              <w:bottom w:w="70" w:type="dxa"/>
              <w:end w:w="80" w:type="dxa"/>
            </w:tcMar>
            <w:vAlign w:val="top"/>
          </w:tcPr>
          <w:p>
            <w:r>
              <w:rPr>
                <w:sz w:val="15"/>
              </w:rPr>
              <w:t>Parser adapter contract + benchmark</w:t>
            </w:r>
          </w:p>
        </w:tc>
        <w:tc>
          <w:tcPr>
            <w:tcW w:type="dxa" w:w="5112"/>
            <w:tcMar>
              <w:top w:w="70" w:type="dxa"/>
              <w:start w:w="80" w:type="dxa"/>
              <w:bottom w:w="70" w:type="dxa"/>
              <w:end w:w="80" w:type="dxa"/>
            </w:tcMar>
            <w:vAlign w:val="top"/>
          </w:tcPr>
          <w:p>
            <w:r>
              <w:rPr>
                <w:sz w:val="15"/>
              </w:rPr>
              <w:t>Full career coach or learning marketplace</w:t>
            </w:r>
          </w:p>
        </w:tc>
      </w:tr>
      <w:tr>
        <w:tc>
          <w:tcPr>
            <w:tcW w:type="dxa" w:w="5112"/>
            <w:tcMar>
              <w:top w:w="70" w:type="dxa"/>
              <w:start w:w="80" w:type="dxa"/>
              <w:bottom w:w="70" w:type="dxa"/>
              <w:end w:w="80" w:type="dxa"/>
            </w:tcMar>
            <w:vAlign w:val="top"/>
          </w:tcPr>
          <w:p>
            <w:r>
              <w:rPr>
                <w:sz w:val="15"/>
              </w:rPr>
              <w:t>AI Gateway + candidate extraction contract</w:t>
            </w:r>
          </w:p>
        </w:tc>
        <w:tc>
          <w:tcPr>
            <w:tcW w:type="dxa" w:w="5112"/>
            <w:tcMar>
              <w:top w:w="70" w:type="dxa"/>
              <w:start w:w="80" w:type="dxa"/>
              <w:bottom w:w="70" w:type="dxa"/>
              <w:end w:w="80" w:type="dxa"/>
            </w:tcMar>
            <w:vAlign w:val="top"/>
          </w:tcPr>
          <w:p>
            <w:r>
              <w:rPr>
                <w:sz w:val="15"/>
              </w:rPr>
              <w:t>Embeddings / pgvector for matching</w:t>
            </w:r>
          </w:p>
        </w:tc>
      </w:tr>
      <w:tr>
        <w:tc>
          <w:tcPr>
            <w:tcW w:type="dxa" w:w="5112"/>
            <w:tcMar>
              <w:top w:w="70" w:type="dxa"/>
              <w:start w:w="80" w:type="dxa"/>
              <w:bottom w:w="70" w:type="dxa"/>
              <w:end w:w="80" w:type="dxa"/>
            </w:tcMar>
            <w:vAlign w:val="top"/>
          </w:tcPr>
          <w:p>
            <w:r>
              <w:rPr>
                <w:sz w:val="15"/>
              </w:rPr>
              <w:t>Profile claims and review/promotion flow</w:t>
            </w:r>
          </w:p>
        </w:tc>
        <w:tc>
          <w:tcPr>
            <w:tcW w:type="dxa" w:w="5112"/>
            <w:tcMar>
              <w:top w:w="70" w:type="dxa"/>
              <w:start w:w="80" w:type="dxa"/>
              <w:bottom w:w="70" w:type="dxa"/>
              <w:end w:w="80" w:type="dxa"/>
            </w:tcMar>
            <w:vAlign w:val="top"/>
          </w:tcPr>
          <w:p>
            <w:r>
              <w:rPr>
                <w:sz w:val="15"/>
              </w:rPr>
              <w:t>Live WhatsApp provider/webhooks</w:t>
            </w:r>
          </w:p>
        </w:tc>
      </w:tr>
      <w:tr>
        <w:tc>
          <w:tcPr>
            <w:tcW w:type="dxa" w:w="5112"/>
            <w:tcMar>
              <w:top w:w="70" w:type="dxa"/>
              <w:start w:w="80" w:type="dxa"/>
              <w:bottom w:w="70" w:type="dxa"/>
              <w:end w:w="80" w:type="dxa"/>
            </w:tcMar>
            <w:vAlign w:val="top"/>
          </w:tcPr>
          <w:p>
            <w:r>
              <w:rPr>
                <w:sz w:val="15"/>
              </w:rPr>
              <w:t>Canonical DB/RLS/storage</w:t>
            </w:r>
          </w:p>
        </w:tc>
        <w:tc>
          <w:tcPr>
            <w:tcW w:type="dxa" w:w="5112"/>
            <w:tcMar>
              <w:top w:w="70" w:type="dxa"/>
              <w:start w:w="80" w:type="dxa"/>
              <w:bottom w:w="70" w:type="dxa"/>
              <w:end w:w="80" w:type="dxa"/>
            </w:tcMar>
            <w:vAlign w:val="top"/>
          </w:tcPr>
          <w:p>
            <w:r>
              <w:rPr>
                <w:sz w:val="15"/>
              </w:rPr>
              <w:t>Public social publishing autopilot</w:t>
            </w:r>
          </w:p>
        </w:tc>
      </w:tr>
      <w:tr>
        <w:tc>
          <w:tcPr>
            <w:tcW w:type="dxa" w:w="5112"/>
            <w:tcMar>
              <w:top w:w="70" w:type="dxa"/>
              <w:start w:w="80" w:type="dxa"/>
              <w:bottom w:w="70" w:type="dxa"/>
              <w:end w:w="80" w:type="dxa"/>
            </w:tcMar>
            <w:vAlign w:val="top"/>
          </w:tcPr>
          <w:p>
            <w:r>
              <w:rPr>
                <w:sz w:val="15"/>
              </w:rPr>
              <w:t>Evaluation fixtures + tests</w:t>
            </w:r>
          </w:p>
        </w:tc>
        <w:tc>
          <w:tcPr>
            <w:tcW w:type="dxa" w:w="5112"/>
            <w:tcMar>
              <w:top w:w="70" w:type="dxa"/>
              <w:start w:w="80" w:type="dxa"/>
              <w:bottom w:w="70" w:type="dxa"/>
              <w:end w:w="80" w:type="dxa"/>
            </w:tcMar>
            <w:vAlign w:val="top"/>
          </w:tcPr>
          <w:p>
            <w:r>
              <w:rPr>
                <w:sz w:val="15"/>
              </w:rPr>
              <w:t>Production multi-provider complexity without need</w:t>
            </w:r>
          </w:p>
        </w:tc>
      </w:tr>
      <w:tr>
        <w:tc>
          <w:tcPr>
            <w:tcW w:type="dxa" w:w="5112"/>
            <w:tcMar>
              <w:top w:w="70" w:type="dxa"/>
              <w:start w:w="80" w:type="dxa"/>
              <w:bottom w:w="70" w:type="dxa"/>
              <w:end w:w="80" w:type="dxa"/>
            </w:tcMar>
            <w:vAlign w:val="top"/>
          </w:tcPr>
          <w:p>
            <w:r>
              <w:rPr>
                <w:sz w:val="15"/>
              </w:rPr>
              <w:t>Internal job/AI processing infrastructure</w:t>
            </w:r>
          </w:p>
        </w:tc>
        <w:tc>
          <w:tcPr>
            <w:tcW w:type="dxa" w:w="5112"/>
            <w:tcMar>
              <w:top w:w="70" w:type="dxa"/>
              <w:start w:w="80" w:type="dxa"/>
              <w:bottom w:w="70" w:type="dxa"/>
              <w:end w:w="80" w:type="dxa"/>
            </w:tcMar>
            <w:vAlign w:val="top"/>
          </w:tcPr>
          <w:p>
            <w:r>
              <w:rPr>
                <w:sz w:val="15"/>
              </w:rPr>
              <w:t>Microservices extraction</w:t>
            </w:r>
          </w:p>
        </w:tc>
      </w:tr>
    </w:tbl>
    <w:p>
      <w:pPr>
        <w:pStyle w:val="Heading1"/>
      </w:pPr>
      <w:r>
        <w:t>7. Required Pre-Document 13 Patch Closure</w:t>
      </w:r>
    </w:p>
    <w:p>
      <w:pPr>
        <w:pStyle w:val="ListBullet"/>
        <w:spacing w:after="20"/>
      </w:pPr>
      <w:r>
        <w:t>Create /docs/implementation/canonical-contracts.md from Section 4 of this audit.</w:t>
      </w:r>
    </w:p>
    <w:p>
      <w:pPr>
        <w:pStyle w:val="ListBullet"/>
        <w:spacing w:after="20"/>
      </w:pPr>
      <w:r>
        <w:t>Patch Document 10 conceptual workspace references to root /CLAUDE.md, canonical skill names, and canonical-contracts.md.</w:t>
      </w:r>
    </w:p>
    <w:p>
      <w:pPr>
        <w:pStyle w:val="ListBullet"/>
        <w:spacing w:after="20"/>
      </w:pPr>
      <w:r>
        <w:t>Patch Document 3 schema model for opportunity_types/employment_types, official_apply_url publication constraint, processing job dead_letter, current match selection, analytics object fields, and candidate preference taxonomy.</w:t>
      </w:r>
    </w:p>
    <w:p>
      <w:pPr>
        <w:pStyle w:val="ListBullet"/>
        <w:spacing w:after="20"/>
      </w:pPr>
      <w:r>
        <w:t>Patch Document 4 contracts for official_apply_url, canonical employment_type values, match component contract, AIRequest, notification persistence, and namespace separation.</w:t>
      </w:r>
    </w:p>
    <w:p>
      <w:pPr>
        <w:pStyle w:val="ListBullet"/>
        <w:spacing w:after="20"/>
      </w:pPr>
      <w:r>
        <w:t>Patch Document 9 state machine/API references to match the final enums and service boundaries.</w:t>
      </w:r>
    </w:p>
    <w:p>
      <w:pPr>
        <w:pStyle w:val="ListBullet"/>
        <w:spacing w:after="20"/>
      </w:pPr>
      <w:r>
        <w:t>Patch Document 12 skill references to runtime markdown paths and keep SKILL.md bodies progressive-disclosure compliant.</w:t>
      </w:r>
    </w:p>
    <w:p>
      <w:pPr>
        <w:pStyle w:val="ListBullet"/>
        <w:spacing w:after="20"/>
      </w:pPr>
      <w:r>
        <w:t>Freeze the golden invariants in Document 11 or canonical-contracts.md before Phase 1 implementation.</w:t>
      </w:r>
    </w:p>
    <w:p>
      <w:pPr>
        <w:pStyle w:val="ListBullet"/>
        <w:spacing w:after="20"/>
      </w:pPr>
      <w:r>
        <w:t>Run the Phase 0 technical spikes for parser, AI structured output, matching, and environment/provider terms before enabling live PII.</w:t>
      </w:r>
    </w:p>
    <w:p>
      <w:pPr>
        <w:pStyle w:val="ListBullet"/>
        <w:spacing w:after="20"/>
      </w:pPr>
      <w:r>
        <w:t>Only then write Document 13 against the patched contracts.</w:t>
      </w:r>
    </w:p>
    <w:p>
      <w:pPr>
        <w:pStyle w:val="Heading1"/>
      </w:pPr>
      <w:r>
        <w:t>8. Final Readiness Assessment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tcMar>
              <w:top w:w="70" w:type="dxa"/>
              <w:start w:w="80" w:type="dxa"/>
              <w:bottom w:w="70" w:type="dxa"/>
              <w:end w:w="80" w:type="dxa"/>
            </w:tcMar>
            <w:vAlign w:val="center"/>
          </w:tcPr>
          <w:p>
            <w:r>
              <w:rPr>
                <w:b/>
                <w:sz w:val="16"/>
              </w:rPr>
              <w:t>Gate</w:t>
            </w:r>
          </w:p>
        </w:tc>
        <w:tc>
          <w:tcPr>
            <w:tcW w:type="dxa" w:w="3408"/>
            <w:shd w:fill="D9E2F3"/>
            <w:tcMar>
              <w:top w:w="70" w:type="dxa"/>
              <w:start w:w="80" w:type="dxa"/>
              <w:bottom w:w="70" w:type="dxa"/>
              <w:end w:w="80" w:type="dxa"/>
            </w:tcMar>
            <w:vAlign w:val="center"/>
          </w:tcPr>
          <w:p>
            <w:r>
              <w:rPr>
                <w:b/>
                <w:sz w:val="16"/>
              </w:rPr>
              <w:t>Result</w:t>
            </w:r>
          </w:p>
        </w:tc>
        <w:tc>
          <w:tcPr>
            <w:tcW w:type="dxa" w:w="3408"/>
            <w:shd w:fill="D9E2F3"/>
            <w:tcMar>
              <w:top w:w="70" w:type="dxa"/>
              <w:start w:w="80" w:type="dxa"/>
              <w:bottom w:w="70" w:type="dxa"/>
              <w:end w:w="80" w:type="dxa"/>
            </w:tcMar>
            <w:vAlign w:val="center"/>
          </w:tcPr>
          <w:p>
            <w:r>
              <w:rPr>
                <w:b/>
                <w:sz w:val="16"/>
              </w:rPr>
              <w:t>Reason</w:t>
            </w:r>
          </w:p>
        </w:tc>
      </w:tr>
      <w:tr>
        <w:tc>
          <w:tcPr>
            <w:tcW w:type="dxa" w:w="3408"/>
            <w:tcMar>
              <w:top w:w="70" w:type="dxa"/>
              <w:start w:w="80" w:type="dxa"/>
              <w:bottom w:w="70" w:type="dxa"/>
              <w:end w:w="80" w:type="dxa"/>
            </w:tcMar>
            <w:vAlign w:val="top"/>
          </w:tcPr>
          <w:p>
            <w:r>
              <w:rPr>
                <w:sz w:val="15"/>
              </w:rPr>
              <w:t>Product coherence</w:t>
            </w:r>
          </w:p>
        </w:tc>
        <w:tc>
          <w:tcPr>
            <w:tcW w:type="dxa" w:w="3408"/>
            <w:tcMar>
              <w:top w:w="70" w:type="dxa"/>
              <w:start w:w="80" w:type="dxa"/>
              <w:bottom w:w="70" w:type="dxa"/>
              <w:end w:w="80" w:type="dxa"/>
            </w:tcMar>
            <w:vAlign w:val="top"/>
          </w:tcPr>
          <w:p>
            <w:r>
              <w:rPr>
                <w:sz w:val="15"/>
              </w:rPr>
              <w:t>PASS</w:t>
            </w:r>
          </w:p>
        </w:tc>
        <w:tc>
          <w:tcPr>
            <w:tcW w:type="dxa" w:w="3408"/>
            <w:tcMar>
              <w:top w:w="70" w:type="dxa"/>
              <w:start w:w="80" w:type="dxa"/>
              <w:bottom w:w="70" w:type="dxa"/>
              <w:end w:w="80" w:type="dxa"/>
            </w:tcMar>
            <w:vAlign w:val="top"/>
          </w:tcPr>
          <w:p>
            <w:r>
              <w:rPr>
                <w:sz w:val="15"/>
              </w:rPr>
              <w:t>Core candidate value loop remains consistent.</w:t>
            </w:r>
          </w:p>
        </w:tc>
      </w:tr>
      <w:tr>
        <w:tc>
          <w:tcPr>
            <w:tcW w:type="dxa" w:w="3408"/>
            <w:tcMar>
              <w:top w:w="70" w:type="dxa"/>
              <w:start w:w="80" w:type="dxa"/>
              <w:bottom w:w="70" w:type="dxa"/>
              <w:end w:w="80" w:type="dxa"/>
            </w:tcMar>
            <w:vAlign w:val="top"/>
          </w:tcPr>
          <w:p>
            <w:r>
              <w:rPr>
                <w:sz w:val="15"/>
              </w:rPr>
              <w:t>Technical architecture</w:t>
            </w:r>
          </w:p>
        </w:tc>
        <w:tc>
          <w:tcPr>
            <w:tcW w:type="dxa" w:w="3408"/>
            <w:tcMar>
              <w:top w:w="70" w:type="dxa"/>
              <w:start w:w="80" w:type="dxa"/>
              <w:bottom w:w="70" w:type="dxa"/>
              <w:end w:w="80" w:type="dxa"/>
            </w:tcMar>
            <w:vAlign w:val="top"/>
          </w:tcPr>
          <w:p>
            <w:r>
              <w:rPr>
                <w:sz w:val="15"/>
              </w:rPr>
              <w:t>PASS</w:t>
            </w:r>
          </w:p>
        </w:tc>
        <w:tc>
          <w:tcPr>
            <w:tcW w:type="dxa" w:w="3408"/>
            <w:tcMar>
              <w:top w:w="70" w:type="dxa"/>
              <w:start w:w="80" w:type="dxa"/>
              <w:bottom w:w="70" w:type="dxa"/>
              <w:end w:w="80" w:type="dxa"/>
            </w:tcMar>
            <w:vAlign w:val="top"/>
          </w:tcPr>
          <w:p>
            <w:r>
              <w:rPr>
                <w:sz w:val="15"/>
              </w:rPr>
              <w:t>Modular monolith and service boundaries remain coherent.</w:t>
            </w:r>
          </w:p>
        </w:tc>
      </w:tr>
      <w:tr>
        <w:tc>
          <w:tcPr>
            <w:tcW w:type="dxa" w:w="3408"/>
            <w:tcMar>
              <w:top w:w="70" w:type="dxa"/>
              <w:start w:w="80" w:type="dxa"/>
              <w:bottom w:w="70" w:type="dxa"/>
              <w:end w:w="80" w:type="dxa"/>
            </w:tcMar>
            <w:vAlign w:val="top"/>
          </w:tcPr>
          <w:p>
            <w:r>
              <w:rPr>
                <w:sz w:val="15"/>
              </w:rPr>
              <w:t>Data model</w:t>
            </w:r>
          </w:p>
        </w:tc>
        <w:tc>
          <w:tcPr>
            <w:tcW w:type="dxa" w:w="3408"/>
            <w:tcMar>
              <w:top w:w="70" w:type="dxa"/>
              <w:start w:w="80" w:type="dxa"/>
              <w:bottom w:w="70" w:type="dxa"/>
              <w:end w:w="80" w:type="dxa"/>
            </w:tcMar>
            <w:vAlign w:val="top"/>
          </w:tcPr>
          <w:p>
            <w:r>
              <w:rPr>
                <w:sz w:val="15"/>
              </w:rPr>
              <w:t>PASS WITH REQUIRED PATCHES</w:t>
            </w:r>
          </w:p>
        </w:tc>
        <w:tc>
          <w:tcPr>
            <w:tcW w:type="dxa" w:w="3408"/>
            <w:tcMar>
              <w:top w:w="70" w:type="dxa"/>
              <w:start w:w="80" w:type="dxa"/>
              <w:bottom w:w="70" w:type="dxa"/>
              <w:end w:w="80" w:type="dxa"/>
            </w:tcMar>
            <w:vAlign w:val="top"/>
          </w:tcPr>
          <w:p>
            <w:r>
              <w:rPr>
                <w:sz w:val="15"/>
              </w:rPr>
              <w:t>Taxonomy, URL publication, job states, current-match and analytics contracts need explicit closure.</w:t>
            </w:r>
          </w:p>
        </w:tc>
      </w:tr>
      <w:tr>
        <w:tc>
          <w:tcPr>
            <w:tcW w:type="dxa" w:w="3408"/>
            <w:tcMar>
              <w:top w:w="70" w:type="dxa"/>
              <w:start w:w="80" w:type="dxa"/>
              <w:bottom w:w="70" w:type="dxa"/>
              <w:end w:w="80" w:type="dxa"/>
            </w:tcMar>
            <w:vAlign w:val="top"/>
          </w:tcPr>
          <w:p>
            <w:r>
              <w:rPr>
                <w:sz w:val="15"/>
              </w:rPr>
              <w:t>AI architecture</w:t>
            </w:r>
          </w:p>
        </w:tc>
        <w:tc>
          <w:tcPr>
            <w:tcW w:type="dxa" w:w="3408"/>
            <w:tcMar>
              <w:top w:w="70" w:type="dxa"/>
              <w:start w:w="80" w:type="dxa"/>
              <w:bottom w:w="70" w:type="dxa"/>
              <w:end w:w="80" w:type="dxa"/>
            </w:tcMar>
            <w:vAlign w:val="top"/>
          </w:tcPr>
          <w:p>
            <w:r>
              <w:rPr>
                <w:sz w:val="15"/>
              </w:rPr>
              <w:t>PASS WITH REQUIRED PATCHES</w:t>
            </w:r>
          </w:p>
        </w:tc>
        <w:tc>
          <w:tcPr>
            <w:tcW w:type="dxa" w:w="3408"/>
            <w:tcMar>
              <w:top w:w="70" w:type="dxa"/>
              <w:start w:w="80" w:type="dxa"/>
              <w:bottom w:w="70" w:type="dxa"/>
              <w:end w:w="80" w:type="dxa"/>
            </w:tcMar>
            <w:vAlign w:val="top"/>
          </w:tcPr>
          <w:p>
            <w:r>
              <w:rPr>
                <w:sz w:val="15"/>
              </w:rPr>
              <w:t>AIRequest, prompt/schema namespaces, match components and notification persistence need one canonical implementation contract.</w:t>
            </w:r>
          </w:p>
        </w:tc>
      </w:tr>
      <w:tr>
        <w:tc>
          <w:tcPr>
            <w:tcW w:type="dxa" w:w="3408"/>
            <w:tcMar>
              <w:top w:w="70" w:type="dxa"/>
              <w:start w:w="80" w:type="dxa"/>
              <w:bottom w:w="70" w:type="dxa"/>
              <w:end w:w="80" w:type="dxa"/>
            </w:tcMar>
            <w:vAlign w:val="top"/>
          </w:tcPr>
          <w:p>
            <w:r>
              <w:rPr>
                <w:sz w:val="15"/>
              </w:rPr>
              <w:t>Job intelligence</w:t>
            </w:r>
          </w:p>
        </w:tc>
        <w:tc>
          <w:tcPr>
            <w:tcW w:type="dxa" w:w="3408"/>
            <w:tcMar>
              <w:top w:w="70" w:type="dxa"/>
              <w:start w:w="80" w:type="dxa"/>
              <w:bottom w:w="70" w:type="dxa"/>
              <w:end w:w="80" w:type="dxa"/>
            </w:tcMar>
            <w:vAlign w:val="top"/>
          </w:tcPr>
          <w:p>
            <w:r>
              <w:rPr>
                <w:sz w:val="15"/>
              </w:rPr>
              <w:t>PASS</w:t>
            </w:r>
          </w:p>
        </w:tc>
        <w:tc>
          <w:tcPr>
            <w:tcW w:type="dxa" w:w="3408"/>
            <w:tcMar>
              <w:top w:w="70" w:type="dxa"/>
              <w:start w:w="80" w:type="dxa"/>
              <w:bottom w:w="70" w:type="dxa"/>
              <w:end w:w="80" w:type="dxa"/>
            </w:tcMar>
            <w:vAlign w:val="top"/>
          </w:tcPr>
          <w:p>
            <w:r>
              <w:rPr>
                <w:sz w:val="15"/>
              </w:rPr>
              <w:t>Source authority, provenance, freshness, normalization and publication model align.</w:t>
            </w:r>
          </w:p>
        </w:tc>
      </w:tr>
      <w:tr>
        <w:tc>
          <w:tcPr>
            <w:tcW w:type="dxa" w:w="3408"/>
            <w:tcMar>
              <w:top w:w="70" w:type="dxa"/>
              <w:start w:w="80" w:type="dxa"/>
              <w:bottom w:w="70" w:type="dxa"/>
              <w:end w:w="80" w:type="dxa"/>
            </w:tcMar>
            <w:vAlign w:val="top"/>
          </w:tcPr>
          <w:p>
            <w:r>
              <w:rPr>
                <w:sz w:val="15"/>
              </w:rPr>
              <w:t>UX</w:t>
            </w:r>
          </w:p>
        </w:tc>
        <w:tc>
          <w:tcPr>
            <w:tcW w:type="dxa" w:w="3408"/>
            <w:tcMar>
              <w:top w:w="70" w:type="dxa"/>
              <w:start w:w="80" w:type="dxa"/>
              <w:bottom w:w="70" w:type="dxa"/>
              <w:end w:w="80" w:type="dxa"/>
            </w:tcMar>
            <w:vAlign w:val="top"/>
          </w:tcPr>
          <w:p>
            <w:r>
              <w:rPr>
                <w:sz w:val="15"/>
              </w:rPr>
              <w:t>PASS WITH REQUIRED PATCHES</w:t>
            </w:r>
          </w:p>
        </w:tc>
        <w:tc>
          <w:tcPr>
            <w:tcW w:type="dxa" w:w="3408"/>
            <w:tcMar>
              <w:top w:w="70" w:type="dxa"/>
              <w:start w:w="80" w:type="dxa"/>
              <w:bottom w:w="70" w:type="dxa"/>
              <w:end w:w="80" w:type="dxa"/>
            </w:tcMar>
            <w:vAlign w:val="top"/>
          </w:tcPr>
          <w:p>
            <w:r>
              <w:rPr>
                <w:sz w:val="15"/>
              </w:rPr>
              <w:t>Qualitative matching labels and progressive future surfaces align; current-match and API state contracts need freeze.</w:t>
            </w:r>
          </w:p>
        </w:tc>
      </w:tr>
      <w:tr>
        <w:tc>
          <w:tcPr>
            <w:tcW w:type="dxa" w:w="3408"/>
            <w:tcMar>
              <w:top w:w="70" w:type="dxa"/>
              <w:start w:w="80" w:type="dxa"/>
              <w:bottom w:w="70" w:type="dxa"/>
              <w:end w:w="80" w:type="dxa"/>
            </w:tcMar>
            <w:vAlign w:val="top"/>
          </w:tcPr>
          <w:p>
            <w:r>
              <w:rPr>
                <w:sz w:val="15"/>
              </w:rPr>
              <w:t>Security</w:t>
            </w:r>
          </w:p>
        </w:tc>
        <w:tc>
          <w:tcPr>
            <w:tcW w:type="dxa" w:w="3408"/>
            <w:tcMar>
              <w:top w:w="70" w:type="dxa"/>
              <w:start w:w="80" w:type="dxa"/>
              <w:bottom w:w="70" w:type="dxa"/>
              <w:end w:w="80" w:type="dxa"/>
            </w:tcMar>
            <w:vAlign w:val="top"/>
          </w:tcPr>
          <w:p>
            <w:r>
              <w:rPr>
                <w:sz w:val="15"/>
              </w:rPr>
              <w:t>PASS</w:t>
            </w:r>
          </w:p>
        </w:tc>
        <w:tc>
          <w:tcPr>
            <w:tcW w:type="dxa" w:w="3408"/>
            <w:tcMar>
              <w:top w:w="70" w:type="dxa"/>
              <w:start w:w="80" w:type="dxa"/>
              <w:bottom w:w="70" w:type="dxa"/>
              <w:end w:w="80" w:type="dxa"/>
            </w:tcMar>
            <w:vAlign w:val="top"/>
          </w:tcPr>
          <w:p>
            <w:r>
              <w:rPr>
                <w:sz w:val="15"/>
              </w:rPr>
              <w:t>RLS, private storage, signed URLs, least privilege and untrusted-input controls align.</w:t>
            </w:r>
          </w:p>
        </w:tc>
      </w:tr>
      <w:tr>
        <w:tc>
          <w:tcPr>
            <w:tcW w:type="dxa" w:w="3408"/>
            <w:tcMar>
              <w:top w:w="70" w:type="dxa"/>
              <w:start w:w="80" w:type="dxa"/>
              <w:bottom w:w="70" w:type="dxa"/>
              <w:end w:w="80" w:type="dxa"/>
            </w:tcMar>
            <w:vAlign w:val="top"/>
          </w:tcPr>
          <w:p>
            <w:r>
              <w:rPr>
                <w:sz w:val="15"/>
              </w:rPr>
              <w:t>Claude Code workspace</w:t>
            </w:r>
          </w:p>
        </w:tc>
        <w:tc>
          <w:tcPr>
            <w:tcW w:type="dxa" w:w="3408"/>
            <w:tcMar>
              <w:top w:w="70" w:type="dxa"/>
              <w:start w:w="80" w:type="dxa"/>
              <w:bottom w:w="70" w:type="dxa"/>
              <w:end w:w="80" w:type="dxa"/>
            </w:tcMar>
            <w:vAlign w:val="top"/>
          </w:tcPr>
          <w:p>
            <w:r>
              <w:rPr>
                <w:sz w:val="15"/>
              </w:rPr>
              <w:t>NOT READY UNTIL PATCHED</w:t>
            </w:r>
          </w:p>
        </w:tc>
        <w:tc>
          <w:tcPr>
            <w:tcW w:type="dxa" w:w="3408"/>
            <w:tcMar>
              <w:top w:w="70" w:type="dxa"/>
              <w:start w:w="80" w:type="dxa"/>
              <w:bottom w:w="70" w:type="dxa"/>
              <w:end w:w="80" w:type="dxa"/>
            </w:tcMar>
            <w:vAlign w:val="top"/>
          </w:tcPr>
          <w:p>
            <w:r>
              <w:rPr>
                <w:sz w:val="15"/>
              </w:rPr>
              <w:t>Root CLAUDE path, skill directory names and canonical-contracts context file must be unified.</w:t>
            </w:r>
          </w:p>
        </w:tc>
      </w:tr>
      <w:tr>
        <w:tc>
          <w:tcPr>
            <w:tcW w:type="dxa" w:w="3408"/>
            <w:tcMar>
              <w:top w:w="70" w:type="dxa"/>
              <w:start w:w="80" w:type="dxa"/>
              <w:bottom w:w="70" w:type="dxa"/>
              <w:end w:w="80" w:type="dxa"/>
            </w:tcMar>
            <w:vAlign w:val="top"/>
          </w:tcPr>
          <w:p>
            <w:r>
              <w:rPr>
                <w:sz w:val="15"/>
              </w:rPr>
              <w:t>Document 12 skills</w:t>
            </w:r>
          </w:p>
        </w:tc>
        <w:tc>
          <w:tcPr>
            <w:tcW w:type="dxa" w:w="3408"/>
            <w:tcMar>
              <w:top w:w="70" w:type="dxa"/>
              <w:start w:w="80" w:type="dxa"/>
              <w:bottom w:w="70" w:type="dxa"/>
              <w:end w:w="80" w:type="dxa"/>
            </w:tcMar>
            <w:vAlign w:val="top"/>
          </w:tcPr>
          <w:p>
            <w:r>
              <w:rPr>
                <w:sz w:val="15"/>
              </w:rPr>
              <w:t>PASS WITH PATCHES</w:t>
            </w:r>
          </w:p>
        </w:tc>
        <w:tc>
          <w:tcPr>
            <w:tcW w:type="dxa" w:w="3408"/>
            <w:tcMar>
              <w:top w:w="70" w:type="dxa"/>
              <w:start w:w="80" w:type="dxa"/>
              <w:bottom w:w="70" w:type="dxa"/>
              <w:end w:w="80" w:type="dxa"/>
            </w:tcMar>
            <w:vAlign w:val="top"/>
          </w:tcPr>
          <w:p>
            <w:r>
              <w:rPr>
                <w:sz w:val="15"/>
              </w:rPr>
              <w:t>Native Skills model is correct, but body size and runtime repository paths need tightening.</w:t>
            </w:r>
          </w:p>
        </w:tc>
      </w:tr>
      <w:tr>
        <w:tc>
          <w:tcPr>
            <w:tcW w:type="dxa" w:w="3408"/>
            <w:tcMar>
              <w:top w:w="70" w:type="dxa"/>
              <w:start w:w="80" w:type="dxa"/>
              <w:bottom w:w="70" w:type="dxa"/>
              <w:end w:w="80" w:type="dxa"/>
            </w:tcMar>
            <w:vAlign w:val="top"/>
          </w:tcPr>
          <w:p>
            <w:r>
              <w:rPr>
                <w:sz w:val="15"/>
              </w:rPr>
              <w:t>Document 13 readiness</w:t>
            </w:r>
          </w:p>
        </w:tc>
        <w:tc>
          <w:tcPr>
            <w:tcW w:type="dxa" w:w="3408"/>
            <w:tcMar>
              <w:top w:w="70" w:type="dxa"/>
              <w:start w:w="80" w:type="dxa"/>
              <w:bottom w:w="70" w:type="dxa"/>
              <w:end w:w="80" w:type="dxa"/>
            </w:tcMar>
            <w:vAlign w:val="top"/>
          </w:tcPr>
          <w:p>
            <w:r>
              <w:rPr>
                <w:sz w:val="15"/>
              </w:rPr>
              <w:t>READY AFTER PATCH CLOSURE</w:t>
            </w:r>
          </w:p>
        </w:tc>
        <w:tc>
          <w:tcPr>
            <w:tcW w:type="dxa" w:w="3408"/>
            <w:tcMar>
              <w:top w:w="70" w:type="dxa"/>
              <w:start w:w="80" w:type="dxa"/>
              <w:bottom w:w="70" w:type="dxa"/>
              <w:end w:w="80" w:type="dxa"/>
            </w:tcMar>
            <w:vAlign w:val="top"/>
          </w:tcPr>
          <w:p>
            <w:r>
              <w:rPr>
                <w:sz w:val="15"/>
              </w:rPr>
              <w:t>Do not launch code synthesis against the pre-patch documents.</w:t>
            </w:r>
          </w:p>
        </w:tc>
      </w:tr>
    </w:tbl>
    <w:p>
      <w:pPr>
        <w:pStyle w:val="Heading1"/>
      </w:pPr>
      <w:r>
        <w:t>Source / Verification Notes</w:t>
      </w:r>
    </w:p>
    <w:p>
      <w:pPr>
        <w:spacing w:after="60"/>
      </w:pPr>
      <w:r>
        <w:rPr>
          <w:b w:val="0"/>
        </w:rPr>
        <w:t>The audit used the accessible foundation artifacts in the project runtime. Document 1 itself was not available as a directly readable source file during this audit, so its product decisions were validated through the full project handover and the previously frozen Foundation Reconciliation Review. This limitation is documented rather than hidden.</w:t>
      </w:r>
    </w:p>
    <w:p>
      <w:pPr>
        <w:spacing w:after="60"/>
      </w:pPr>
      <w:r>
        <w:rPr>
          <w:b w:val="0"/>
        </w:rPr>
        <w:t>Current official Anthropic Agent Skills documentation confirms that a Skill is a directory containing SKILL.md, native YAML frontmatter requires name and description, descriptions drive discovery, and progressive disclosure is the intended loading model. It also recommends keeping SKILL.md bodies under roughly 500 lines and placing detailed material in directly linked reference files. These current requirements reinforce the Document 12 patch on native frontmatter and skill-body size. [Anthropic Agent Skills documentation, checked 17 September 2026]</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SINNARA System-Wide Architecture Reconciliation Audit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