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A1FD"/>
          <w:sz w:val="20"/>
          <w:szCs w:val="20"/>
        </w:rPr>
        <w:t xml:space="preserve">WEEK 4 · FINAL PROJECT</w:t>
      </w:r>
    </w:p>
    <w:p>
      <w:pPr>
        <w:spacing w:after="60" w:before="120"/>
      </w:pPr>
      <w:r>
        <w:rPr>
          <w:rFonts w:ascii="Arial" w:cs="Arial" w:eastAsia="Arial" w:hAnsi="Arial"/>
          <w:b/>
          <w:bCs/>
          <w:color w:val="04214B"/>
          <w:sz w:val="34"/>
          <w:szCs w:val="34"/>
        </w:rPr>
        <w:t xml:space="preserve">AI-Powered Claims Processing Platform — AXA Egypt</w:t>
      </w:r>
    </w:p>
    <w:p>
      <w:pPr>
        <w:pBdr>
          <w:bottom w:val="single" w:color="00A1FD" w:sz="18"/>
        </w:pBdr>
        <w:spacing w:after="160"/>
      </w:pPr>
      <w:r>
        <w:rPr>
          <w:rFonts w:ascii="Arial" w:cs="Arial" w:eastAsia="Arial" w:hAnsi="Arial"/>
          <w:sz w:val="2"/>
          <w:szCs w:val="2"/>
        </w:rPr>
        <w:t xml:space="preserve"/>
      </w:r>
    </w:p>
    <w:p>
      <w:pPr>
        <w:spacing w:after="120" w:line="276"/>
      </w:pPr>
      <w:r>
        <w:rPr>
          <w:rFonts w:ascii="Arial" w:cs="Arial" w:eastAsia="Arial" w:hAnsi="Arial"/>
          <w:color w:val="1A2233"/>
          <w:sz w:val="21"/>
          <w:szCs w:val="21"/>
        </w:rPr>
        <w:t xml:space="preserve">This is your final project: a complete, working product — the kind a real company would put in front of its team. You’ll design it, build it, and present it, on your own, over the week. Everything you need is in this brief and the data that comes with it. You’ll build it with AI tools — that’s expected — and what matters is that the product works and that you can explain every part of it.</w:t>
      </w:r>
    </w:p>
    <w:p>
      <w:pPr>
        <w:keepNext/>
        <w:spacing w:after="80" w:before="240"/>
      </w:pPr>
      <w:r>
        <w:rPr>
          <w:rFonts w:ascii="Arial" w:cs="Arial" w:eastAsia="Arial" w:hAnsi="Arial"/>
          <w:b/>
          <w:bCs/>
          <w:color w:val="04214B"/>
          <w:sz w:val="26"/>
          <w:szCs w:val="26"/>
        </w:rPr>
        <w:t xml:space="preserve">The brief</w:t>
      </w:r>
    </w:p>
    <w:p>
      <w:pPr>
        <w:spacing w:after="120" w:line="276"/>
      </w:pPr>
      <w:r>
        <w:rPr>
          <w:rFonts w:ascii="Arial" w:cs="Arial" w:eastAsia="Arial" w:hAnsi="Arial"/>
          <w:color w:val="1A2233"/>
          <w:sz w:val="21"/>
          <w:szCs w:val="21"/>
        </w:rPr>
        <w:t xml:space="preserve">AXA Egypt processes thousands of insurance claims — health, motor, property, travel. Today a person reads each uploaded document by hand, checks the policy, searches the rulebook, and decides. It’s slow and it doesn’t scale; two assessors don’t always reach the same call; claims stall when documents are missing; risky or duplicate claims are hard to spot in the pile; and customers keep calling because they can’t see where their claim stands. Your product does the first pass: it reads the claim, grounds every decision in the actual policy handbook, settles the clear-cut ones within strict limits, flags the risky ones, drafts the customer’s update, and puts everything else in front of a human with a recommendation and a reason. It’s a claims-processing product with a person still in control of anything that matters.</w:t>
      </w:r>
    </w:p>
    <w:p>
      <w:pPr>
        <w:spacing w:after="120"/>
      </w:pPr>
      <w:r>
        <w:rPr>
          <w:rFonts w:ascii="Arial" w:cs="Arial" w:eastAsia="Arial" w:hAnsi="Arial"/>
          <w:b/>
          <w:bCs/>
          <w:color w:val="04214B"/>
          <w:sz w:val="21"/>
          <w:szCs w:val="21"/>
        </w:rPr>
        <w:t xml:space="preserve">Get to know the company: </w:t>
      </w:r>
      <w:hyperlink w:history="1" r:id="rIdoo7pufu8eu9wruzo8pq9v">
        <w:r>
          <w:rPr>
            <w:rFonts w:ascii="Arial" w:cs="Arial" w:eastAsia="Arial" w:hAnsi="Arial"/>
            <w:color w:val="00A1FD"/>
            <w:sz w:val="21"/>
            <w:szCs w:val="21"/>
            <w:u w:val="single"/>
          </w:rPr>
          <w:t xml:space="preserve">https://www.axa-egypt.com/</w:t>
        </w:r>
      </w:hyperlink>
    </w:p>
    <w:p>
      <w:pPr>
        <w:keepNext/>
        <w:spacing w:after="80" w:before="240"/>
      </w:pPr>
      <w:r>
        <w:rPr>
          <w:rFonts w:ascii="Arial" w:cs="Arial" w:eastAsia="Arial" w:hAnsi="Arial"/>
          <w:b/>
          <w:bCs/>
          <w:color w:val="04214B"/>
          <w:sz w:val="26"/>
          <w:szCs w:val="26"/>
        </w:rPr>
        <w:t xml:space="preserve">How the product decides</w:t>
      </w:r>
    </w:p>
    <w:tbl>
      <w:tblPr>
        <w:tblW w:type="dxa" w:w="9360"/>
        <w:tblBorders>
          <w:top w:val="single" w:color="04214B" w:sz="8"/>
          <w:left w:val="single" w:color="04214B" w:sz="8"/>
          <w:bottom w:val="single" w:color="04214B" w:sz="8"/>
          <w:right w:val="single" w:color="04214B" w:sz="8"/>
          <w:insideH w:val="single" w:color="auto" w:sz="4"/>
          <w:insideV w:val="single" w:color="auto" w:sz="4"/>
        </w:tblBorders>
      </w:tblPr>
      <w:tblGrid>
        <w:gridCol w:w="9360"/>
      </w:tblGrid>
      <w:tr>
        <w:trPr>
          <w:cantSplit/>
        </w:trPr>
        <w:tc>
          <w:tcPr>
            <w:tcW w:type="dxa" w:w="9360"/>
            <w:shd w:fill="04214B" w:val="clear"/>
            <w:tcMar>
              <w:top w:type="dxa" w:w="150"/>
              <w:left w:type="dxa" w:w="210"/>
              <w:bottom w:type="dxa" w:w="150"/>
              <w:right w:type="dxa" w:w="210"/>
            </w:tcMar>
          </w:tcPr>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takes in an uploaded claim document, reads the text off it, and pulls out what matters — the policy, the type of claim, the amount, the documents attached.</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looks up that policy to see its status, coverage and limits.</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searches the policy handbook for the rule that applies — and works from that rule, not from memory.</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decides within hard limits it can’t be talked out of: settle the claim, ask for a missing document, reject it with the clause, or route it to a human.</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sums up each claim in a line and puts its recommendation in front of a person to approve — with the reason attached.</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For each decision it drafts the message the customer would receive — shown on screen, never sent.</w:t>
            </w:r>
          </w:p>
        </w:tc>
      </w:tr>
    </w:tbl>
    <w:p>
      <w:pPr>
        <w:spacing w:after="120"/>
      </w:pPr>
    </w:p>
    <w:p>
      <w:pPr>
        <w:keepNext/>
        <w:spacing w:after="80" w:before="240"/>
      </w:pPr>
      <w:r>
        <w:rPr>
          <w:rFonts w:ascii="Arial" w:cs="Arial" w:eastAsia="Arial" w:hAnsi="Arial"/>
          <w:b/>
          <w:bCs/>
          <w:color w:val="04214B"/>
          <w:sz w:val="26"/>
          <w:szCs w:val="26"/>
        </w:rPr>
        <w:t xml:space="preserve">Ground rules</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04214B"/>
                <w:sz w:val="21"/>
                <w:szCs w:val="21"/>
              </w:rPr>
              <w:t xml:space="preserve">It lives on GitHub. </w:t>
            </w:r>
            <w:r>
              <w:rPr>
                <w:rFonts w:ascii="Arial" w:cs="Arial" w:eastAsia="Arial" w:hAnsi="Arial"/>
                <w:color w:val="1A2233"/>
                <w:sz w:val="21"/>
                <w:szCs w:val="21"/>
              </w:rPr>
              <w:t xml:space="preserve">Your work sits in a Git repository (public or private) with a README that says how to run it, and commits made as you go — not one big upload at the end.</w:t>
            </w:r>
          </w:p>
          <w:p>
            <w:pPr>
              <w:pStyle w:val="ListParagraph"/>
              <w:numPr>
                <w:ilvl w:val="0"/>
                <w:numId w:val="2"/>
              </w:numPr>
              <w:spacing w:after="90" w:line="268"/>
            </w:pPr>
            <w:r>
              <w:rPr>
                <w:rFonts w:ascii="Arial" w:cs="Arial" w:eastAsia="Arial" w:hAnsi="Arial"/>
                <w:b/>
                <w:bCs/>
                <w:color w:val="04214B"/>
                <w:sz w:val="21"/>
                <w:szCs w:val="21"/>
              </w:rPr>
              <w:t xml:space="preserve">Design before you build. </w:t>
            </w:r>
            <w:r>
              <w:rPr>
                <w:rFonts w:ascii="Arial" w:cs="Arial" w:eastAsia="Arial" w:hAnsi="Arial"/>
                <w:color w:val="1A2233"/>
                <w:sz w:val="21"/>
                <w:szCs w:val="21"/>
              </w:rPr>
              <w:t xml:space="preserve">Three short design documents come first and are part of what you hand in — the PRD, the System Architecture, and the Data Schema (ERD), described below.</w:t>
            </w:r>
          </w:p>
          <w:p>
            <w:pPr>
              <w:pStyle w:val="ListParagraph"/>
              <w:numPr>
                <w:ilvl w:val="0"/>
                <w:numId w:val="2"/>
              </w:numPr>
              <w:spacing w:after="90" w:line="268"/>
            </w:pPr>
            <w:r>
              <w:rPr>
                <w:rFonts w:ascii="Arial" w:cs="Arial" w:eastAsia="Arial" w:hAnsi="Arial"/>
                <w:b/>
                <w:bCs/>
                <w:color w:val="04214B"/>
                <w:sz w:val="21"/>
                <w:szCs w:val="21"/>
              </w:rPr>
              <w:t xml:space="preserve">Use AI tools — and own what they produce. </w:t>
            </w:r>
            <w:r>
              <w:rPr>
                <w:rFonts w:ascii="Arial" w:cs="Arial" w:eastAsia="Arial" w:hAnsi="Arial"/>
                <w:color w:val="1A2233"/>
                <w:sz w:val="21"/>
                <w:szCs w:val="21"/>
              </w:rPr>
              <w:t xml:space="preserve">You’re expected to build this with AI assistance. But every part of it is yours to explain: what it does, why a decision fired, and where it came from. Don’t ship what you can’t explain.</w:t>
            </w:r>
          </w:p>
          <w:p>
            <w:pPr>
              <w:pStyle w:val="ListParagraph"/>
              <w:numPr>
                <w:ilvl w:val="0"/>
                <w:numId w:val="2"/>
              </w:numPr>
              <w:spacing w:after="90" w:line="268"/>
            </w:pPr>
            <w:r>
              <w:rPr>
                <w:rFonts w:ascii="Arial" w:cs="Arial" w:eastAsia="Arial" w:hAnsi="Arial"/>
                <w:b/>
                <w:bCs/>
                <w:color w:val="04214B"/>
                <w:sz w:val="21"/>
                <w:szCs w:val="21"/>
              </w:rPr>
              <w:t xml:space="preserve">Present it at the end. </w:t>
            </w:r>
            <w:r>
              <w:rPr>
                <w:rFonts w:ascii="Arial" w:cs="Arial" w:eastAsia="Arial" w:hAnsi="Arial"/>
                <w:color w:val="1A2233"/>
                <w:sz w:val="21"/>
                <w:szCs w:val="21"/>
              </w:rPr>
              <w:t xml:space="preserve">You’ll show your product live to the group and talk through how you built it.</w:t>
            </w:r>
          </w:p>
        </w:tc>
      </w:tr>
    </w:tbl>
    <w:p>
      <w:pPr>
        <w:spacing w:after="120"/>
      </w:pPr>
    </w:p>
    <w:p>
      <w:pPr>
        <w:keepNext/>
        <w:spacing w:after="80" w:before="240"/>
      </w:pPr>
      <w:r>
        <w:rPr>
          <w:rFonts w:ascii="Arial" w:cs="Arial" w:eastAsia="Arial" w:hAnsi="Arial"/>
          <w:b/>
          <w:bCs/>
          <w:color w:val="04214B"/>
          <w:sz w:val="26"/>
          <w:szCs w:val="26"/>
        </w:rPr>
        <w:t xml:space="preserve">Start by designing it</w:t>
      </w:r>
    </w:p>
    <w:p>
      <w:pPr>
        <w:spacing w:after="120" w:line="276"/>
      </w:pPr>
      <w:r>
        <w:rPr>
          <w:rFonts w:ascii="Arial" w:cs="Arial" w:eastAsia="Arial" w:hAnsi="Arial"/>
          <w:color w:val="1A2233"/>
          <w:sz w:val="21"/>
          <w:szCs w:val="21"/>
        </w:rPr>
        <w:t xml:space="preserve">Before you build, produce these three. Keep each short — together they should be enough that someone else could build the right product from them.</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04214B"/>
                <w:sz w:val="21"/>
                <w:szCs w:val="21"/>
              </w:rPr>
              <w:t xml:space="preserve">PRD (Product Requirements Document). </w:t>
            </w:r>
            <w:r>
              <w:rPr>
                <w:rFonts w:ascii="Arial" w:cs="Arial" w:eastAsia="Arial" w:hAnsi="Arial"/>
                <w:color w:val="1A2233"/>
                <w:sz w:val="21"/>
                <w:szCs w:val="21"/>
              </w:rPr>
              <w:t xml:space="preserve">What you’re building and why: the goal, who uses it, what it must do, and what “done” looks like. Plain language, no technology.</w:t>
            </w:r>
          </w:p>
          <w:p>
            <w:pPr>
              <w:pStyle w:val="ListParagraph"/>
              <w:numPr>
                <w:ilvl w:val="0"/>
                <w:numId w:val="2"/>
              </w:numPr>
              <w:spacing w:after="90" w:line="268"/>
            </w:pPr>
            <w:r>
              <w:rPr>
                <w:rFonts w:ascii="Arial" w:cs="Arial" w:eastAsia="Arial" w:hAnsi="Arial"/>
                <w:b/>
                <w:bCs/>
                <w:color w:val="04214B"/>
                <w:sz w:val="21"/>
                <w:szCs w:val="21"/>
              </w:rPr>
              <w:t xml:space="preserve">System Architecture. </w:t>
            </w:r>
            <w:r>
              <w:rPr>
                <w:rFonts w:ascii="Arial" w:cs="Arial" w:eastAsia="Arial" w:hAnsi="Arial"/>
                <w:color w:val="1A2233"/>
                <w:sz w:val="21"/>
                <w:szCs w:val="21"/>
              </w:rPr>
              <w:t xml:space="preserve">The parts of your product — the intake, the decision engine, the review screen, and the data and knowledge behind them — and how a claim flows through them.</w:t>
            </w:r>
          </w:p>
          <w:p>
            <w:pPr>
              <w:pStyle w:val="ListParagraph"/>
              <w:numPr>
                <w:ilvl w:val="0"/>
                <w:numId w:val="2"/>
              </w:numPr>
              <w:spacing w:after="90" w:line="268"/>
            </w:pPr>
            <w:r>
              <w:rPr>
                <w:rFonts w:ascii="Arial" w:cs="Arial" w:eastAsia="Arial" w:hAnsi="Arial"/>
                <w:b/>
                <w:bCs/>
                <w:color w:val="04214B"/>
                <w:sz w:val="21"/>
                <w:szCs w:val="21"/>
              </w:rPr>
              <w:t xml:space="preserve">Data Schema (ERD). </w:t>
            </w:r>
            <w:r>
              <w:rPr>
                <w:rFonts w:ascii="Arial" w:cs="Arial" w:eastAsia="Arial" w:hAnsi="Arial"/>
                <w:color w:val="1A2233"/>
                <w:sz w:val="21"/>
                <w:szCs w:val="21"/>
              </w:rPr>
              <w:t xml:space="preserve">The things your product stores — policies, claims, decisions, documents — their fields, and how they relate to one another.</w:t>
            </w:r>
          </w:p>
        </w:tc>
      </w:tr>
    </w:tbl>
    <w:p>
      <w:pPr>
        <w:spacing w:after="120"/>
      </w:pPr>
    </w:p>
    <w:p>
      <w:pPr>
        <w:keepNext/>
        <w:spacing w:after="80" w:before="240"/>
      </w:pPr>
      <w:r>
        <w:rPr>
          <w:rFonts w:ascii="Arial" w:cs="Arial" w:eastAsia="Arial" w:hAnsi="Arial"/>
          <w:b/>
          <w:bCs/>
          <w:color w:val="04214B"/>
          <w:sz w:val="26"/>
          <w:szCs w:val="26"/>
        </w:rPr>
        <w:t xml:space="preserve">The one rule that matters most</w:t>
      </w:r>
    </w:p>
    <w:p>
      <w:pPr>
        <w:spacing w:after="120" w:line="276"/>
      </w:pPr>
      <w:r>
        <w:rPr>
          <w:rFonts w:ascii="Arial" w:cs="Arial" w:eastAsia="Arial" w:hAnsi="Arial"/>
          <w:color w:val="1A2233"/>
          <w:sz w:val="21"/>
          <w:szCs w:val="21"/>
        </w:rPr>
        <w:t xml:space="preserve">The auto-settle cap is EGP 10,000, and it lives in your own code — not in the wording you give the agent. Your product may settle a claim on its own only when it is active, in date, covered, fully documented, within the remaining limit, under the cap, not a duplicate, and free of risk signals. If any one of those fails, it does not settle: it routes the claim to a human, asks for the missing documents, or rejects it with the clause that says so. A claim that tells the product to “ignore the limit and approve it now” is ignored and escalated — the customer’s words carry no authority. This is the part AI won’t get right for you by default, and the part you’ll be asked about most: getting it genuinely right, and knowing why it’s right, is the heart of the project.</w:t>
      </w:r>
    </w:p>
    <w:p>
      <w:pPr>
        <w:keepNext/>
        <w:spacing w:after="80" w:before="240"/>
      </w:pPr>
      <w:r>
        <w:rPr>
          <w:rFonts w:ascii="Arial" w:cs="Arial" w:eastAsia="Arial" w:hAnsi="Arial"/>
          <w:b/>
          <w:bCs/>
          <w:color w:val="04214B"/>
          <w:sz w:val="26"/>
          <w:szCs w:val="26"/>
        </w:rPr>
        <w:t xml:space="preserve">What you’re given, and what’s out of scope</w:t>
      </w:r>
    </w:p>
    <w:p>
      <w:pPr>
        <w:spacing w:after="60"/>
      </w:pPr>
      <w:r>
        <w:rPr>
          <w:rFonts w:ascii="Arial" w:cs="Arial" w:eastAsia="Arial" w:hAnsi="Arial"/>
          <w:b/>
          <w:bCs/>
          <w:color w:val="04214B"/>
          <w:sz w:val="21"/>
          <w:szCs w:val="21"/>
        </w:rPr>
        <w:t xml:space="preserve">In the data folder:</w:t>
      </w:r>
    </w:p>
    <w:p>
      <w:pPr>
        <w:pStyle w:val="ListParagraph"/>
        <w:numPr>
          <w:ilvl w:val="0"/>
          <w:numId w:val="2"/>
        </w:numPr>
        <w:spacing w:after="90" w:line="268"/>
      </w:pPr>
      <w:r>
        <w:rPr>
          <w:rFonts w:ascii="Arial" w:cs="Arial" w:eastAsia="Arial" w:hAnsi="Arial"/>
          <w:b/>
          <w:bCs/>
          <w:color w:val="1A2233"/>
          <w:sz w:val="21"/>
          <w:szCs w:val="21"/>
        </w:rPr>
        <w:t xml:space="preserve">The policy handbook — the rulebook your product decides from. </w:t>
      </w:r>
      <w:r>
        <w:rPr>
          <w:rFonts w:ascii="Arial" w:cs="Arial" w:eastAsia="Arial" w:hAnsi="Arial"/>
          <w:color w:val="1A2233"/>
          <w:sz w:val="21"/>
          <w:szCs w:val="21"/>
        </w:rPr>
        <w:t xml:space="preserve">Organised into sections by product line (health, motor, property and travel) plus general rules and universal exclusions, with each rule written as a numbered clause — around fifty in all. It is deliberately too long to hand to the agent in one go, so your product searches it and works from the clause it finds.</w:t>
      </w:r>
    </w:p>
    <w:p>
      <w:pPr>
        <w:pStyle w:val="ListParagraph"/>
        <w:numPr>
          <w:ilvl w:val="0"/>
          <w:numId w:val="2"/>
        </w:numPr>
        <w:spacing w:after="90" w:line="268"/>
      </w:pPr>
      <w:r>
        <w:rPr>
          <w:rFonts w:ascii="Arial" w:cs="Arial" w:eastAsia="Arial" w:hAnsi="Arial"/>
          <w:b/>
          <w:bCs/>
          <w:color w:val="1A2233"/>
          <w:sz w:val="21"/>
          <w:szCs w:val="21"/>
        </w:rPr>
        <w:t xml:space="preserve">The policy records — 150 policies in one file, looked up by id. </w:t>
      </w:r>
      <w:r>
        <w:rPr>
          <w:rFonts w:ascii="Arial" w:cs="Arial" w:eastAsia="Arial" w:hAnsi="Arial"/>
          <w:color w:val="1A2233"/>
          <w:sz w:val="21"/>
          <w:szCs w:val="21"/>
        </w:rPr>
        <w:t xml:space="preserve">Each record carries the holder, the product line, the status (active, lapsed, pending or cancelled), the start and end dates, the annual and remaining limits, the deductible, any riders, and — for motor — the cover type. This is what tells your product whether a policy is in force and what it covers.</w:t>
      </w:r>
    </w:p>
    <w:p>
      <w:pPr>
        <w:pStyle w:val="ListParagraph"/>
        <w:numPr>
          <w:ilvl w:val="0"/>
          <w:numId w:val="2"/>
        </w:numPr>
        <w:spacing w:after="90" w:line="268"/>
      </w:pPr>
      <w:r>
        <w:rPr>
          <w:rFonts w:ascii="Arial" w:cs="Arial" w:eastAsia="Arial" w:hAnsi="Arial"/>
          <w:b/>
          <w:bCs/>
          <w:color w:val="1A2233"/>
          <w:sz w:val="21"/>
          <w:szCs w:val="21"/>
        </w:rPr>
        <w:t xml:space="preserve">The sample claim documents — the 27 claims, each as an uploaded document. </w:t>
      </w:r>
      <w:r>
        <w:rPr>
          <w:rFonts w:ascii="Arial" w:cs="Arial" w:eastAsia="Arial" w:hAnsi="Arial"/>
          <w:color w:val="1A2233"/>
          <w:sz w:val="21"/>
          <w:szCs w:val="21"/>
        </w:rPr>
        <w:t xml:space="preserve">A photo-like AXA claim form (reference, policy number, date, product line and the incident narrative) for your intake to read. Each document has a matching text version — that text is the reference for what a correct extraction should recover, and it seeds your test set. The set spans all four product lines and every outcome your product must handle: clean settle, missing documents, over-cap, exclusion, duplicate, and a claim written to break the rules.</w:t>
      </w:r>
    </w:p>
    <w:p>
      <w:pPr>
        <w:spacing w:after="60" w:before="110"/>
      </w:pPr>
      <w:r>
        <w:rPr>
          <w:rFonts w:ascii="Arial" w:cs="Arial" w:eastAsia="Arial" w:hAnsi="Arial"/>
          <w:b/>
          <w:bCs/>
          <w:color w:val="04214B"/>
          <w:sz w:val="21"/>
          <w:szCs w:val="21"/>
        </w:rPr>
        <w:t xml:space="preserve">Out of scope — don’t build these:</w:t>
      </w:r>
    </w:p>
    <w:p>
      <w:pPr>
        <w:pStyle w:val="ListParagraph"/>
        <w:numPr>
          <w:ilvl w:val="0"/>
          <w:numId w:val="2"/>
        </w:numPr>
        <w:spacing w:after="90" w:line="268"/>
      </w:pPr>
      <w:r>
        <w:rPr>
          <w:rFonts w:ascii="Arial" w:cs="Arial" w:eastAsia="Arial" w:hAnsi="Arial"/>
          <w:color w:val="1A2233"/>
          <w:sz w:val="21"/>
          <w:szCs w:val="21"/>
        </w:rPr>
        <w:t xml:space="preserve">Training your own OCR or vision model — use an off-the-shelf one; you’re reading the document, not building the reader.</w:t>
      </w:r>
    </w:p>
    <w:p>
      <w:pPr>
        <w:pStyle w:val="ListParagraph"/>
        <w:numPr>
          <w:ilvl w:val="0"/>
          <w:numId w:val="2"/>
        </w:numPr>
        <w:spacing w:after="90" w:line="268"/>
      </w:pPr>
      <w:r>
        <w:rPr>
          <w:rFonts w:ascii="Arial" w:cs="Arial" w:eastAsia="Arial" w:hAnsi="Arial"/>
          <w:color w:val="1A2233"/>
          <w:sz w:val="21"/>
          <w:szCs w:val="21"/>
        </w:rPr>
        <w:t xml:space="preserve">Trained fraud-detection models — a risk signal here is a simple rule or a judgement call, not machine learning.</w:t>
      </w:r>
    </w:p>
    <w:p>
      <w:pPr>
        <w:pStyle w:val="ListParagraph"/>
        <w:numPr>
          <w:ilvl w:val="0"/>
          <w:numId w:val="2"/>
        </w:numPr>
        <w:spacing w:after="90" w:line="268"/>
      </w:pPr>
      <w:r>
        <w:rPr>
          <w:rFonts w:ascii="Arial" w:cs="Arial" w:eastAsia="Arial" w:hAnsi="Arial"/>
          <w:color w:val="1A2233"/>
          <w:sz w:val="21"/>
          <w:szCs w:val="21"/>
        </w:rPr>
        <w:t xml:space="preserve">Real payments or messages to customers — stand these in with a note on screen; don’t actually send anything.</w:t>
      </w:r>
    </w:p>
    <w:p>
      <w:pPr>
        <w:spacing w:after="120"/>
      </w:pPr>
    </w:p>
    <w:p>
      <w:pPr>
        <w:keepNext/>
        <w:spacing w:after="80" w:before="240"/>
      </w:pPr>
      <w:r>
        <w:rPr>
          <w:rFonts w:ascii="Arial" w:cs="Arial" w:eastAsia="Arial" w:hAnsi="Arial"/>
          <w:b/>
          <w:bCs/>
          <w:color w:val="04214B"/>
          <w:sz w:val="26"/>
          <w:szCs w:val="26"/>
        </w:rPr>
        <w:t xml:space="preserve">What your product must do</w:t>
      </w:r>
    </w:p>
    <w:p>
      <w:pPr>
        <w:spacing w:after="120" w:line="276"/>
      </w:pPr>
      <w:r>
        <w:rPr>
          <w:rFonts w:ascii="Arial" w:cs="Arial" w:eastAsia="Arial" w:hAnsi="Arial"/>
          <w:color w:val="1A2233"/>
          <w:sz w:val="21"/>
          <w:szCs w:val="21"/>
        </w:rPr>
        <w:t xml:space="preserve">All of the following are required.</w:t>
      </w:r>
    </w:p>
    <w:p>
      <w:pPr>
        <w:pStyle w:val="ListParagraph"/>
        <w:numPr>
          <w:ilvl w:val="0"/>
          <w:numId w:val="2"/>
        </w:numPr>
        <w:spacing w:after="90" w:line="268"/>
      </w:pPr>
      <w:r>
        <w:rPr>
          <w:rFonts w:ascii="Arial" w:cs="Arial" w:eastAsia="Arial" w:hAnsi="Arial"/>
          <w:b/>
          <w:bCs/>
          <w:color w:val="04214B"/>
          <w:sz w:val="21"/>
          <w:szCs w:val="21"/>
        </w:rPr>
        <w:t xml:space="preserve">Take claims in through an intake. </w:t>
      </w:r>
      <w:r>
        <w:rPr>
          <w:rFonts w:ascii="Arial" w:cs="Arial" w:eastAsia="Arial" w:hAnsi="Arial"/>
          <w:color w:val="1A2233"/>
          <w:sz w:val="21"/>
          <w:szCs w:val="21"/>
        </w:rPr>
        <w:t xml:space="preserve">A claim enters the product as an uploaded document. Your intake runs OCR or a vision model over it, pulls out the claim text and the key fields, and hands that to the decision engine. Extract the text and move on — you’re reading the document with an off-the-shelf tool, not chasing perfect accuracy on every image.</w:t>
      </w:r>
    </w:p>
    <w:p>
      <w:pPr>
        <w:pStyle w:val="ListParagraph"/>
        <w:numPr>
          <w:ilvl w:val="0"/>
          <w:numId w:val="2"/>
        </w:numPr>
        <w:spacing w:after="90" w:line="268"/>
      </w:pPr>
      <w:r>
        <w:rPr>
          <w:rFonts w:ascii="Arial" w:cs="Arial" w:eastAsia="Arial" w:hAnsi="Arial"/>
          <w:b/>
          <w:bCs/>
          <w:color w:val="04214B"/>
          <w:sz w:val="21"/>
          <w:szCs w:val="21"/>
        </w:rPr>
        <w:t xml:space="preserve">Decide every claim through the guarded engine. </w:t>
      </w:r>
      <w:r>
        <w:rPr>
          <w:rFonts w:ascii="Arial" w:cs="Arial" w:eastAsia="Arial" w:hAnsi="Arial"/>
          <w:color w:val="1A2233"/>
          <w:sz w:val="21"/>
          <w:szCs w:val="21"/>
        </w:rPr>
        <w:t xml:space="preserve">For each claim the product reads the details, looks up the policy, finds the governing rule in the handbook, and then settles it, asks for a missing document, rejects it with the clause, or routes it to a human. It handles the full range — health, motor, property and travel — and the messy cases, not just the clean ones.</w:t>
      </w:r>
    </w:p>
    <w:p>
      <w:pPr>
        <w:pStyle w:val="ListParagraph"/>
        <w:numPr>
          <w:ilvl w:val="0"/>
          <w:numId w:val="2"/>
        </w:numPr>
        <w:spacing w:after="90" w:line="268"/>
      </w:pPr>
      <w:r>
        <w:rPr>
          <w:rFonts w:ascii="Arial" w:cs="Arial" w:eastAsia="Arial" w:hAnsi="Arial"/>
          <w:b/>
          <w:bCs/>
          <w:color w:val="04214B"/>
          <w:sz w:val="21"/>
          <w:szCs w:val="21"/>
        </w:rPr>
        <w:t xml:space="preserve">Ground every coverage decision in the handbook. </w:t>
      </w:r>
      <w:r>
        <w:rPr>
          <w:rFonts w:ascii="Arial" w:cs="Arial" w:eastAsia="Arial" w:hAnsi="Arial"/>
          <w:color w:val="1A2233"/>
          <w:sz w:val="21"/>
          <w:szCs w:val="21"/>
        </w:rPr>
        <w:t xml:space="preserve">The decision points to the actual clause it relied on, and if you change a rule in the handbook the decision changes with it. The tricky pairs come out right — a burst internal pipe is covered, outside flood water is not.</w:t>
      </w:r>
    </w:p>
    <w:p>
      <w:pPr>
        <w:pStyle w:val="ListParagraph"/>
        <w:numPr>
          <w:ilvl w:val="0"/>
          <w:numId w:val="2"/>
        </w:numPr>
        <w:spacing w:after="90" w:line="268"/>
      </w:pPr>
      <w:r>
        <w:rPr>
          <w:rFonts w:ascii="Arial" w:cs="Arial" w:eastAsia="Arial" w:hAnsi="Arial"/>
          <w:b/>
          <w:bCs/>
          <w:color w:val="04214B"/>
          <w:sz w:val="21"/>
          <w:szCs w:val="21"/>
        </w:rPr>
        <w:t xml:space="preserve">Keep the limits in code, not in wording. </w:t>
      </w:r>
      <w:r>
        <w:rPr>
          <w:rFonts w:ascii="Arial" w:cs="Arial" w:eastAsia="Arial" w:hAnsi="Arial"/>
          <w:color w:val="1A2233"/>
          <w:sz w:val="21"/>
          <w:szCs w:val="21"/>
        </w:rPr>
        <w:t xml:space="preserve">The auto-settle cap (EGP 10,000) and the risk checks live in your own code, so they hold whatever a claim says. A claim that tells the product to break its limits is refused and escalated, moving no money; duplicates and amounts set suspiciously just under the cap are caught and routed.</w:t>
      </w:r>
    </w:p>
    <w:p>
      <w:pPr>
        <w:pStyle w:val="ListParagraph"/>
        <w:numPr>
          <w:ilvl w:val="0"/>
          <w:numId w:val="2"/>
        </w:numPr>
        <w:spacing w:after="90" w:line="268"/>
      </w:pPr>
      <w:r>
        <w:rPr>
          <w:rFonts w:ascii="Arial" w:cs="Arial" w:eastAsia="Arial" w:hAnsi="Arial"/>
          <w:b/>
          <w:bCs/>
          <w:color w:val="04214B"/>
          <w:sz w:val="21"/>
          <w:szCs w:val="21"/>
        </w:rPr>
        <w:t xml:space="preserve">Put a human in the loop through a review screen. </w:t>
      </w:r>
      <w:r>
        <w:rPr>
          <w:rFonts w:ascii="Arial" w:cs="Arial" w:eastAsia="Arial" w:hAnsi="Arial"/>
          <w:color w:val="1A2233"/>
          <w:sz w:val="21"/>
          <w:szCs w:val="21"/>
        </w:rPr>
        <w:t xml:space="preserve">A queue where a person sees each claim with a one-line summary of it, the product’s recommendation, and its reason, and can approve it, route it, or override it. Nothing that needs a human is settled without one.</w:t>
      </w:r>
    </w:p>
    <w:p>
      <w:pPr>
        <w:pStyle w:val="ListParagraph"/>
        <w:numPr>
          <w:ilvl w:val="0"/>
          <w:numId w:val="2"/>
        </w:numPr>
        <w:spacing w:after="90" w:line="268"/>
      </w:pPr>
      <w:r>
        <w:rPr>
          <w:rFonts w:ascii="Arial" w:cs="Arial" w:eastAsia="Arial" w:hAnsi="Arial"/>
          <w:b/>
          <w:bCs/>
          <w:color w:val="04214B"/>
          <w:sz w:val="21"/>
          <w:szCs w:val="21"/>
        </w:rPr>
        <w:t xml:space="preserve">Draft the customer’s message. </w:t>
      </w:r>
      <w:r>
        <w:rPr>
          <w:rFonts w:ascii="Arial" w:cs="Arial" w:eastAsia="Arial" w:hAnsi="Arial"/>
          <w:color w:val="1A2233"/>
          <w:sz w:val="21"/>
          <w:szCs w:val="21"/>
        </w:rPr>
        <w:t xml:space="preserve">For each decision — settled, rejected, or waiting on documents — the product writes the update the customer would receive, in plain language, and shows it on screen. It does not actually send anything.</w:t>
      </w:r>
    </w:p>
    <w:p>
      <w:pPr>
        <w:pStyle w:val="ListParagraph"/>
        <w:numPr>
          <w:ilvl w:val="0"/>
          <w:numId w:val="2"/>
        </w:numPr>
        <w:spacing w:after="90" w:line="268"/>
      </w:pPr>
      <w:r>
        <w:rPr>
          <w:rFonts w:ascii="Arial" w:cs="Arial" w:eastAsia="Arial" w:hAnsi="Arial"/>
          <w:b/>
          <w:bCs/>
          <w:color w:val="04214B"/>
          <w:sz w:val="21"/>
          <w:szCs w:val="21"/>
        </w:rPr>
        <w:t xml:space="preserve">Show the state of the operation. </w:t>
      </w:r>
      <w:r>
        <w:rPr>
          <w:rFonts w:ascii="Arial" w:cs="Arial" w:eastAsia="Arial" w:hAnsi="Arial"/>
          <w:color w:val="1A2233"/>
          <w:sz w:val="21"/>
          <w:szCs w:val="21"/>
        </w:rPr>
        <w:t xml:space="preserve">A simple summary of what’s been processed — how many claims came in, and how many were settled, routed, rejected, or flagged. A counts panel, not a full dashboard.</w:t>
      </w:r>
    </w:p>
    <w:p>
      <w:pPr>
        <w:pStyle w:val="ListParagraph"/>
        <w:numPr>
          <w:ilvl w:val="0"/>
          <w:numId w:val="2"/>
        </w:numPr>
        <w:spacing w:after="90" w:line="268"/>
      </w:pPr>
      <w:r>
        <w:rPr>
          <w:rFonts w:ascii="Arial" w:cs="Arial" w:eastAsia="Arial" w:hAnsi="Arial"/>
          <w:b/>
          <w:bCs/>
          <w:color w:val="04214B"/>
          <w:sz w:val="21"/>
          <w:szCs w:val="21"/>
        </w:rPr>
        <w:t xml:space="preserve">Come designed. </w:t>
      </w:r>
      <w:r>
        <w:rPr>
          <w:rFonts w:ascii="Arial" w:cs="Arial" w:eastAsia="Arial" w:hAnsi="Arial"/>
          <w:color w:val="1A2233"/>
          <w:sz w:val="21"/>
          <w:szCs w:val="21"/>
        </w:rPr>
        <w:t xml:space="preserve">Your PRD, System Architecture, and Data Schema (ERD), written before you build.</w:t>
      </w:r>
    </w:p>
    <w:p>
      <w:pPr>
        <w:pStyle w:val="ListParagraph"/>
        <w:numPr>
          <w:ilvl w:val="0"/>
          <w:numId w:val="2"/>
        </w:numPr>
        <w:spacing w:after="90" w:line="268"/>
      </w:pPr>
      <w:r>
        <w:rPr>
          <w:rFonts w:ascii="Arial" w:cs="Arial" w:eastAsia="Arial" w:hAnsi="Arial"/>
          <w:b/>
          <w:bCs/>
          <w:color w:val="04214B"/>
          <w:sz w:val="21"/>
          <w:szCs w:val="21"/>
        </w:rPr>
        <w:t xml:space="preserve">Be proven. </w:t>
      </w:r>
      <w:r>
        <w:rPr>
          <w:rFonts w:ascii="Arial" w:cs="Arial" w:eastAsia="Arial" w:hAnsi="Arial"/>
          <w:color w:val="1A2233"/>
          <w:sz w:val="21"/>
          <w:szCs w:val="21"/>
        </w:rPr>
        <w:t xml:space="preserve">A test set of around fifteen real cases judged on both outcome (the right decision) and process (the right steps, grounded in the handbook, refused when it should be), with a short write-up of what passed, what failed, and why.</w:t>
      </w:r>
    </w:p>
    <w:p>
      <w:pPr>
        <w:pStyle w:val="ListParagraph"/>
        <w:numPr>
          <w:ilvl w:val="0"/>
          <w:numId w:val="2"/>
        </w:numPr>
        <w:spacing w:after="90" w:line="268"/>
      </w:pPr>
      <w:r>
        <w:rPr>
          <w:rFonts w:ascii="Arial" w:cs="Arial" w:eastAsia="Arial" w:hAnsi="Arial"/>
          <w:b/>
          <w:bCs/>
          <w:color w:val="04214B"/>
          <w:sz w:val="21"/>
          <w:szCs w:val="21"/>
        </w:rPr>
        <w:t xml:space="preserve">Live on GitHub, and be presented live. </w:t>
      </w:r>
      <w:r>
        <w:rPr>
          <w:rFonts w:ascii="Arial" w:cs="Arial" w:eastAsia="Arial" w:hAnsi="Arial"/>
          <w:color w:val="1A2233"/>
          <w:sz w:val="21"/>
          <w:szCs w:val="21"/>
        </w:rPr>
        <w:t xml:space="preserve">Committed as you go with a README, and shown to the group at the end.</w:t>
      </w:r>
    </w:p>
    <w:p>
      <w:pPr>
        <w:keepNext/>
        <w:spacing w:after="80" w:before="240"/>
      </w:pPr>
      <w:r>
        <w:rPr>
          <w:rFonts w:ascii="Arial" w:cs="Arial" w:eastAsia="Arial" w:hAnsi="Arial"/>
          <w:b/>
          <w:bCs/>
          <w:color w:val="04214B"/>
          <w:sz w:val="26"/>
          <w:szCs w:val="26"/>
        </w:rPr>
        <w:t xml:space="preserve">How you’ll present it</w:t>
      </w:r>
    </w:p>
    <w:p>
      <w:pPr>
        <w:spacing w:after="120" w:line="276"/>
      </w:pPr>
      <w:r>
        <w:rPr>
          <w:rFonts w:ascii="Arial" w:cs="Arial" w:eastAsia="Arial" w:hAnsi="Arial"/>
          <w:color w:val="1A2233"/>
          <w:sz w:val="21"/>
          <w:szCs w:val="21"/>
        </w:rPr>
        <w:t xml:space="preserve">At the end you’ll present your product to the group. There’s no fixed length — cover the ground, not a clock. Your presentation should:</w:t>
      </w:r>
    </w:p>
    <w:p>
      <w:pPr>
        <w:pStyle w:val="ListParagraph"/>
        <w:numPr>
          <w:ilvl w:val="0"/>
          <w:numId w:val="2"/>
        </w:numPr>
        <w:spacing w:after="90" w:line="268"/>
      </w:pPr>
      <w:r>
        <w:rPr>
          <w:rFonts w:ascii="Arial" w:cs="Arial" w:eastAsia="Arial" w:hAnsi="Arial"/>
          <w:color w:val="1A2233"/>
          <w:sz w:val="21"/>
          <w:szCs w:val="21"/>
        </w:rPr>
        <w:t xml:space="preserve">Walk through the product live — upload a real claim document, take it all the way through, then run a hard one (an over-cap claim, an exclusion, or the claim that tries to break the rules) and show how it’s handled.</w:t>
      </w:r>
    </w:p>
    <w:p>
      <w:pPr>
        <w:pStyle w:val="ListParagraph"/>
        <w:numPr>
          <w:ilvl w:val="0"/>
          <w:numId w:val="2"/>
        </w:numPr>
        <w:spacing w:after="90" w:line="268"/>
      </w:pPr>
      <w:r>
        <w:rPr>
          <w:rFonts w:ascii="Arial" w:cs="Arial" w:eastAsia="Arial" w:hAnsi="Arial"/>
          <w:color w:val="1A2233"/>
          <w:sz w:val="21"/>
          <w:szCs w:val="21"/>
        </w:rPr>
        <w:t xml:space="preserve">Show the review screen — the summaries, recommendations, and drafted customer messages — and the operational summary in action.</w:t>
      </w:r>
    </w:p>
    <w:p>
      <w:pPr>
        <w:pStyle w:val="ListParagraph"/>
        <w:numPr>
          <w:ilvl w:val="0"/>
          <w:numId w:val="2"/>
        </w:numPr>
        <w:spacing w:after="90" w:line="268"/>
      </w:pPr>
      <w:r>
        <w:rPr>
          <w:rFonts w:ascii="Arial" w:cs="Arial" w:eastAsia="Arial" w:hAnsi="Arial"/>
          <w:color w:val="1A2233"/>
          <w:sz w:val="21"/>
          <w:szCs w:val="21"/>
        </w:rPr>
        <w:t xml:space="preserve">Explain your design — why the product is built the way it is, walking through your PRD, architecture and data schema.</w:t>
      </w:r>
    </w:p>
    <w:p>
      <w:pPr>
        <w:pStyle w:val="ListParagraph"/>
        <w:numPr>
          <w:ilvl w:val="0"/>
          <w:numId w:val="2"/>
        </w:numPr>
        <w:spacing w:after="90" w:line="268"/>
      </w:pPr>
      <w:r>
        <w:rPr>
          <w:rFonts w:ascii="Arial" w:cs="Arial" w:eastAsia="Arial" w:hAnsi="Arial"/>
          <w:color w:val="1A2233"/>
          <w:sz w:val="21"/>
          <w:szCs w:val="21"/>
        </w:rPr>
        <w:t xml:space="preserve">Talk through your evaluation — what you tested, what passed, what didn’t, and what you’d fix next.</w:t>
      </w:r>
    </w:p>
    <w:p>
      <w:pPr>
        <w:keepNext/>
        <w:spacing w:after="80" w:before="240"/>
      </w:pPr>
      <w:r>
        <w:rPr>
          <w:rFonts w:ascii="Arial" w:cs="Arial" w:eastAsia="Arial" w:hAnsi="Arial"/>
          <w:b/>
          <w:bCs/>
          <w:color w:val="04214B"/>
          <w:sz w:val="26"/>
          <w:szCs w:val="26"/>
        </w:rPr>
        <w:t xml:space="preserve">What you hand in</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1A2233"/>
                <w:sz w:val="21"/>
                <w:szCs w:val="21"/>
              </w:rPr>
              <w:t xml:space="preserve">The working product </w:t>
            </w:r>
            <w:r>
              <w:rPr>
                <w:rFonts w:ascii="Arial" w:cs="Arial" w:eastAsia="Arial" w:hAnsi="Arial"/>
                <w:color w:val="1A2233"/>
                <w:sz w:val="21"/>
                <w:szCs w:val="21"/>
              </w:rPr>
              <w:t xml:space="preserve">— on GitHub, with a README explaining how to run it.</w:t>
            </w:r>
          </w:p>
          <w:p>
            <w:pPr>
              <w:pStyle w:val="ListParagraph"/>
              <w:numPr>
                <w:ilvl w:val="0"/>
                <w:numId w:val="2"/>
              </w:numPr>
              <w:spacing w:after="90" w:line="268"/>
            </w:pPr>
            <w:r>
              <w:rPr>
                <w:rFonts w:ascii="Arial" w:cs="Arial" w:eastAsia="Arial" w:hAnsi="Arial"/>
                <w:b/>
                <w:bCs/>
                <w:color w:val="1A2233"/>
                <w:sz w:val="21"/>
                <w:szCs w:val="21"/>
              </w:rPr>
              <w:t xml:space="preserve">The three design documents </w:t>
            </w:r>
            <w:r>
              <w:rPr>
                <w:rFonts w:ascii="Arial" w:cs="Arial" w:eastAsia="Arial" w:hAnsi="Arial"/>
                <w:color w:val="1A2233"/>
                <w:sz w:val="21"/>
                <w:szCs w:val="21"/>
              </w:rPr>
              <w:t xml:space="preserve">— your PRD, System Architecture, and Data Schema (ERD).</w:t>
            </w:r>
          </w:p>
          <w:p>
            <w:pPr>
              <w:pStyle w:val="ListParagraph"/>
              <w:numPr>
                <w:ilvl w:val="0"/>
                <w:numId w:val="2"/>
              </w:numPr>
              <w:spacing w:after="90" w:line="268"/>
            </w:pPr>
            <w:r>
              <w:rPr>
                <w:rFonts w:ascii="Arial" w:cs="Arial" w:eastAsia="Arial" w:hAnsi="Arial"/>
                <w:b/>
                <w:bCs/>
                <w:color w:val="1A2233"/>
                <w:sz w:val="21"/>
                <w:szCs w:val="21"/>
              </w:rPr>
              <w:t xml:space="preserve">The evaluation </w:t>
            </w:r>
            <w:r>
              <w:rPr>
                <w:rFonts w:ascii="Arial" w:cs="Arial" w:eastAsia="Arial" w:hAnsi="Arial"/>
                <w:color w:val="1A2233"/>
                <w:sz w:val="21"/>
                <w:szCs w:val="21"/>
              </w:rPr>
              <w:t xml:space="preserve">— your test set, the results, and the short write-up.</w:t>
            </w:r>
          </w:p>
          <w:p>
            <w:pPr>
              <w:pStyle w:val="ListParagraph"/>
              <w:numPr>
                <w:ilvl w:val="0"/>
                <w:numId w:val="2"/>
              </w:numPr>
              <w:spacing w:after="90" w:line="268"/>
            </w:pPr>
            <w:r>
              <w:rPr>
                <w:rFonts w:ascii="Arial" w:cs="Arial" w:eastAsia="Arial" w:hAnsi="Arial"/>
                <w:b/>
                <w:bCs/>
                <w:color w:val="1A2233"/>
                <w:sz w:val="21"/>
                <w:szCs w:val="21"/>
              </w:rPr>
              <w:t xml:space="preserve">Your presentation.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pPr>
    <w:r>
      <w:rPr>
        <w:rFonts w:ascii="Arial" w:cs="Arial" w:eastAsia="Arial" w:hAnsi="Arial"/>
        <w:color w:val="6B7280"/>
        <w:sz w:val="18"/>
        <w:szCs w:val="18"/>
      </w:rPr>
      <w:t xml:space="preserve">Exology Pioneer Program  ·  Week 4 · Final Project</w:t>
    </w:r>
    <w:r>
      <w:rPr>
        <w:rFonts w:ascii="Arial" w:cs="Arial" w:eastAsia="Arial" w:hAnsi="Arial"/>
      </w:rPr>
      <w:ptab w:alignment="right" w:relativeTo="margin" w:leader="none"/>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5600"/>
      <w:gridCol w:w="3760"/>
    </w:tblGrid>
    <w:tr>
      <w:tc>
        <w:tcPr>
          <w:tcW w:type="dxa" w:w="5600"/>
          <w:shd w:fill="04214B" w:val="clear"/>
          <w:tcMar>
            <w:top w:type="dxa" w:w="90"/>
            <w:left w:type="dxa" w:w="160"/>
            <w:bottom w:type="dxa" w:w="90"/>
            <w:right w:type="dxa" w:w="80"/>
          </w:tcMar>
          <w:vAlign w:val="center"/>
        </w:tcPr>
        <w:p>
          <w:r>
            <w:drawing>
              <wp:inline distT="0" distB="0" distL="0" distR="0">
                <wp:extent cx="1428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66725"/>
                        </a:xfrm>
                        <a:prstGeom prst="rect">
                          <a:avLst/>
                        </a:prstGeom>
                      </pic:spPr>
                    </pic:pic>
                  </a:graphicData>
                </a:graphic>
              </wp:inline>
            </w:drawing>
          </w:r>
        </w:p>
      </w:tc>
      <w:tc>
        <w:tcPr>
          <w:tcW w:type="dxa" w:w="3760"/>
          <w:shd w:fill="04214B" w:val="clear"/>
          <w:tcMar>
            <w:top w:type="dxa" w:w="90"/>
            <w:left w:type="dxa" w:w="80"/>
            <w:bottom w:type="dxa" w:w="90"/>
            <w:right w:type="dxa" w:w="200"/>
          </w:tcMar>
          <w:vAlign w:val="center"/>
        </w:tcPr>
        <w:p>
          <w:pPr>
            <w:jc w:val="right"/>
          </w:pPr>
          <w:r>
            <w:rPr>
              <w:rFonts w:ascii="Arial" w:cs="Arial" w:eastAsia="Arial" w:hAnsi="Arial"/>
              <w:b/>
              <w:bCs/>
              <w:color w:val="FFFFFF"/>
              <w:sz w:val="22"/>
              <w:szCs w:val="22"/>
            </w:rPr>
            <w:t xml:space="preserve">EPP - 2026</w:t>
          </w:r>
        </w:p>
      </w:tc>
    </w:tr>
  </w:tbl>
  <w:p>
    <w:pPr>
      <w:spacing w:after="0"/>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A1F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o7pufu8eu9wruzo8pq9v" Type="http://schemas.openxmlformats.org/officeDocument/2006/relationships/hyperlink" Target="https://www.axa-egypt.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2aaccdfc0a4abcc6dedb533484b729dba33c92.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2026-07-21T13:11:36.514Z</dcterms:created>
  <dcterms:modified xsi:type="dcterms:W3CDTF">2026-07-21T13:11:36.526Z</dcterms:modified>
</cp:coreProperties>
</file>

<file path=docProps/custom.xml><?xml version="1.0" encoding="utf-8"?>
<Properties xmlns="http://schemas.openxmlformats.org/officeDocument/2006/custom-properties" xmlns:vt="http://schemas.openxmlformats.org/officeDocument/2006/docPropsVTypes"/>
</file>