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0" w:before="0"/>
        <w:jc w:val="center"/>
      </w:pPr>
      <w:r>
        <w:rPr>
          <w:b/>
          <w:bCs/>
          <w:i w:val="false"/>
          <w:iCs w:val="false"/>
          <w:color w:val="1559B3"/>
          <w:sz w:val="50"/>
          <w:szCs w:val="50"/>
        </w:rPr>
        <w:t xml:space="preserve">Warehouse Management System</w:t>
      </w:r>
    </w:p>
    <w:p>
      <w:pPr>
        <w:spacing w:after="160" w:before="120"/>
        <w:jc w:val="center"/>
      </w:pPr>
      <w:r>
        <w:rPr>
          <w:b w:val="false"/>
          <w:bCs w:val="false"/>
          <w:i w:val="false"/>
          <w:iCs w:val="false"/>
          <w:color w:val="2B2F36"/>
          <w:sz w:val="32"/>
          <w:szCs w:val="32"/>
        </w:rPr>
        <w:t xml:space="preserve">Man-Days Estimation — Chiffrage</w:t>
      </w:r>
    </w:p>
    <w:p>
      <w:pPr>
        <w:pBdr>
          <w:bottom w:val="single" w:color="1A6DD4" w:sz="12" w:space="8"/>
        </w:pBdr>
        <w:jc w:val="center"/>
      </w:pPr>
    </w:p>
    <w:p>
      <w:pPr>
        <w:spacing w:after="0" w:before="220"/>
        <w:jc w:val="center"/>
      </w:pPr>
      <w:r>
        <w:rPr>
          <w:b w:val="false"/>
          <w:bCs w:val="false"/>
          <w:i w:val="false"/>
          <w:iCs w:val="false"/>
          <w:color w:val="5A6370"/>
          <w:sz w:val="24"/>
          <w:szCs w:val="24"/>
        </w:rPr>
        <w:t xml:space="preserve">Effort estimate by functionality — code written by Claude Opus 4.8</w:t>
      </w:r>
    </w:p>
    <w:p/>
    <w:p/>
    <w:p/>
    <w:p/>
    <w:p/>
    <w:p>
      <w:pPr>
        <w:spacing w:after="30"/>
        <w:jc w:val="center"/>
      </w:pPr>
      <w:r>
        <w:rPr>
          <w:b/>
          <w:bCs/>
          <w:i w:val="false"/>
          <w:iCs w:val="false"/>
          <w:color w:val="2B2F36"/>
          <w:sz w:val="20"/>
          <w:szCs w:val="20"/>
        </w:rPr>
        <w:t xml:space="preserve">Scope:  </w:t>
      </w:r>
      <w:r>
        <w:rPr>
          <w:b w:val="false"/>
          <w:bCs w:val="false"/>
          <w:i w:val="false"/>
          <w:iCs w:val="false"/>
          <w:color w:val="5A6370"/>
          <w:sz w:val="20"/>
          <w:szCs w:val="20"/>
        </w:rPr>
        <w:t xml:space="preserve">New WMS module for a 3PL (ERP back-office + PWA scanner), integrated into the existing host</w:t>
      </w:r>
    </w:p>
    <w:p>
      <w:pPr>
        <w:spacing w:after="30"/>
        <w:jc w:val="center"/>
      </w:pPr>
      <w:r>
        <w:rPr>
          <w:b/>
          <w:bCs/>
          <w:i w:val="false"/>
          <w:iCs w:val="false"/>
          <w:color w:val="2B2F36"/>
          <w:sz w:val="20"/>
          <w:szCs w:val="20"/>
        </w:rPr>
        <w:t xml:space="preserve">Basis:  </w:t>
      </w:r>
      <w:r>
        <w:rPr>
          <w:b w:val="false"/>
          <w:bCs w:val="false"/>
          <w:i w:val="false"/>
          <w:iCs w:val="false"/>
          <w:color w:val="5A6370"/>
          <w:sz w:val="20"/>
          <w:szCs w:val="20"/>
        </w:rPr>
        <w:t xml:space="preserve">Bottom-up over 60 build items across 9 phases, calibrated to the agreed mockups</w:t>
      </w:r>
    </w:p>
    <w:p>
      <w:pPr>
        <w:spacing w:after="30"/>
        <w:jc w:val="center"/>
      </w:pPr>
      <w:r>
        <w:rPr>
          <w:b/>
          <w:bCs/>
          <w:i w:val="false"/>
          <w:iCs w:val="false"/>
          <w:color w:val="2B2F36"/>
          <w:sz w:val="20"/>
          <w:szCs w:val="20"/>
        </w:rPr>
        <w:t xml:space="preserve">Code author:  </w:t>
      </w:r>
      <w:r>
        <w:rPr>
          <w:b w:val="false"/>
          <w:bCs w:val="false"/>
          <w:i w:val="false"/>
          <w:iCs w:val="false"/>
          <w:color w:val="5A6370"/>
          <w:sz w:val="20"/>
          <w:szCs w:val="20"/>
        </w:rPr>
        <w:t xml:space="preserve">Claude Opus 4.8 — man-days are human-led effort (spec, review, integration, test)</w:t>
      </w:r>
    </w:p>
    <w:p>
      <w:pPr>
        <w:spacing w:after="30"/>
        <w:jc w:val="center"/>
      </w:pPr>
      <w:r>
        <w:rPr>
          <w:b/>
          <w:bCs/>
          <w:i w:val="false"/>
          <w:iCs w:val="false"/>
          <w:color w:val="2B2F36"/>
          <w:sz w:val="20"/>
          <w:szCs w:val="20"/>
        </w:rPr>
        <w:t xml:space="preserve">Status:  </w:t>
      </w:r>
      <w:r>
        <w:rPr>
          <w:b w:val="false"/>
          <w:bCs w:val="false"/>
          <w:i w:val="false"/>
          <w:iCs w:val="false"/>
          <w:color w:val="5A6370"/>
          <w:sz w:val="20"/>
          <w:szCs w:val="20"/>
        </w:rPr>
        <w:t xml:space="preserve">First-cut planning estimate, for client review</w:t>
      </w:r>
    </w:p>
    <w:p>
      <w:pPr>
        <w:spacing w:after="30"/>
        <w:jc w:val="center"/>
      </w:pPr>
      <w:r>
        <w:rPr>
          <w:b/>
          <w:bCs/>
          <w:i w:val="false"/>
          <w:iCs w:val="false"/>
          <w:color w:val="2B2F36"/>
          <w:sz w:val="20"/>
          <w:szCs w:val="20"/>
        </w:rPr>
        <w:t xml:space="preserve">Date:  </w:t>
      </w:r>
      <w:r>
        <w:rPr>
          <w:b w:val="false"/>
          <w:bCs w:val="false"/>
          <w:i w:val="false"/>
          <w:iCs w:val="false"/>
          <w:color w:val="5A6370"/>
          <w:sz w:val="20"/>
          <w:szCs w:val="20"/>
        </w:rPr>
        <w:t xml:space="preserve">19 June 2026</w:t>
      </w:r>
    </w:p>
    <w:p>
      <w:pPr>
        <w:pStyle w:val="Heading1"/>
        <w:pageBreakBefore/>
      </w:pPr>
      <w:r>
        <w:t xml:space="preserve">1 · Headline Estimate</w:t>
      </w:r>
    </w:p>
    <w:p>
      <w:pPr>
        <w:spacing w:after="120" w:before="0"/>
      </w:pPr>
      <w:r>
        <w:rPr>
          <w:b w:val="false"/>
          <w:bCs w:val="false"/>
          <w:i w:val="false"/>
          <w:iCs w:val="false"/>
          <w:color w:val="2B2F36"/>
          <w:sz w:val="21"/>
          <w:szCs w:val="21"/>
        </w:rPr>
        <w:t xml:space="preserve">Estimated effort with code written by Claude Opus 4.8: </w:t>
      </w:r>
      <w:r>
        <w:rPr>
          <w:b/>
          <w:bCs/>
          <w:i w:val="false"/>
          <w:iCs w:val="false"/>
          <w:color w:val="1559B3"/>
          <w:sz w:val="26"/>
          <w:szCs w:val="26"/>
        </w:rPr>
        <w:t xml:space="preserve">≈ 364 man-days</w:t>
      </w:r>
      <w:r>
        <w:rPr>
          <w:b w:val="false"/>
          <w:bCs w:val="false"/>
          <w:i w:val="false"/>
          <w:iCs w:val="false"/>
          <w:color w:val="2B2F36"/>
          <w:sz w:val="21"/>
          <w:szCs w:val="21"/>
        </w:rPr>
        <w:t xml:space="preserve">  (planning / P50).</w:t>
      </w:r>
    </w:p>
    <w:p>
      <w:pPr>
        <w:spacing w:after="120" w:before="0"/>
      </w:pPr>
      <w:r>
        <w:rPr>
          <w:b w:val="false"/>
          <w:bCs w:val="false"/>
          <w:i w:val="false"/>
          <w:iCs w:val="false"/>
          <w:color w:val="2B2F36"/>
          <w:sz w:val="21"/>
          <w:szCs w:val="21"/>
        </w:rPr>
        <w:t xml:space="preserve">With a 25% contingency for the brownfield-integration unknowns: </w:t>
      </w:r>
      <w:r>
        <w:rPr>
          <w:b/>
          <w:bCs/>
          <w:i w:val="false"/>
          <w:iCs w:val="false"/>
          <w:color w:val="1559B3"/>
          <w:sz w:val="24"/>
          <w:szCs w:val="24"/>
        </w:rPr>
        <w:t xml:space="preserve">≈ 456 man-days</w:t>
      </w:r>
      <w:r>
        <w:rPr>
          <w:b w:val="false"/>
          <w:bCs w:val="false"/>
          <w:i w:val="false"/>
          <w:iCs w:val="false"/>
          <w:color w:val="2B2F36"/>
          <w:sz w:val="21"/>
          <w:szCs w:val="21"/>
        </w:rPr>
        <w:t xml:space="preserve">  (P80 — the figure to budget to).</w:t>
      </w:r>
    </w:p>
    <w:p>
      <w:pPr>
        <w:spacing w:after="120" w:before="0"/>
      </w:pPr>
      <w:r>
        <w:rPr>
          <w:b w:val="false"/>
          <w:bCs w:val="false"/>
          <w:i w:val="false"/>
          <w:iCs w:val="false"/>
          <w:color w:val="2B2F36"/>
          <w:sz w:val="21"/>
          <w:szCs w:val="21"/>
        </w:rPr>
        <w:t xml:space="preserve">For comparison, the same scope hand-coded by a traditional team is ≈ 970–1212 man-days. </w:t>
      </w:r>
      <w:r>
        <w:rPr>
          <w:b/>
          <w:bCs/>
          <w:i w:val="false"/>
          <w:iCs w:val="false"/>
          <w:color w:val="2B2F36"/>
          <w:sz w:val="21"/>
          <w:szCs w:val="21"/>
        </w:rPr>
        <w:t xml:space="preserve">Using Opus 4.8 removes roughly 62% of the effort</w:t>
      </w:r>
      <w:r>
        <w:rPr>
          <w:b w:val="false"/>
          <w:bCs w:val="false"/>
          <w:i w:val="false"/>
          <w:iCs w:val="false"/>
          <w:color w:val="2B2F36"/>
          <w:sz w:val="21"/>
          <w:szCs w:val="21"/>
        </w:rPr>
        <w:t xml:space="preserve"> — the code is generated; the remaining man-days are human specification, review, host integration, testing and iteration.</w:t>
      </w:r>
    </w:p>
    <w:p>
      <w:pPr>
        <w:spacing w:after="120" w:before="0"/>
      </w:pPr>
      <w:r>
        <w:rPr>
          <w:b w:val="false"/>
          <w:bCs w:val="false"/>
          <w:i/>
          <w:iCs/>
          <w:color w:val="8A929C"/>
          <w:sz w:val="18"/>
          <w:szCs w:val="18"/>
        </w:rPr>
        <w:t xml:space="preserve">All figures are human man-days (≈ one person-day each), not calendar time. Opus 4.8 runtime is a tool cost, not a man-day. See §2 for the method and assumptions.</w:t>
      </w:r>
    </w:p>
    <w:p>
      <w:pPr>
        <w:pStyle w:val="Heading2"/>
      </w:pPr>
      <w:r>
        <w:t xml:space="preserve">Summary by phase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60"/>
        <w:gridCol w:w="4360"/>
        <w:gridCol w:w="900"/>
        <w:gridCol w:w="1770"/>
        <w:gridCol w:w="1770"/>
      </w:tblGrid>
      <w:tr>
        <w:trPr>
          <w:tblHeader/>
        </w:trPr>
        <w:tc>
          <w:tcPr>
            <w:tcW w:type="dxa" w:w="560"/>
            <w:shd w:fill="EAF2FB" w:val="clear"/>
            <w:tcMar>
              <w:top w:type="dxa" w:w="60"/>
              <w:left w:type="dxa" w:w="110"/>
              <w:bottom w:type="dxa" w:w="60"/>
              <w:right w:type="dxa" w:w="110"/>
            </w:tcMar>
          </w:tcPr>
          <w:p>
            <w:pPr>
              <w:jc w:val="left"/>
            </w:pPr>
            <w:r>
              <w:rPr>
                <w:b/>
                <w:bCs/>
                <w:color w:val="1559B3"/>
                <w:sz w:val="20"/>
                <w:szCs w:val="20"/>
              </w:rPr>
              <w:t xml:space="preserve">#</w:t>
            </w:r>
          </w:p>
        </w:tc>
        <w:tc>
          <w:tcPr>
            <w:tcW w:type="dxa" w:w="4360"/>
            <w:shd w:fill="EAF2FB" w:val="clear"/>
            <w:tcMar>
              <w:top w:type="dxa" w:w="60"/>
              <w:left w:type="dxa" w:w="110"/>
              <w:bottom w:type="dxa" w:w="60"/>
              <w:right w:type="dxa" w:w="110"/>
            </w:tcMar>
          </w:tcPr>
          <w:p>
            <w:pPr>
              <w:jc w:val="left"/>
            </w:pPr>
            <w:r>
              <w:rPr>
                <w:b/>
                <w:bCs/>
                <w:color w:val="1559B3"/>
                <w:sz w:val="20"/>
                <w:szCs w:val="20"/>
              </w:rPr>
              <w:t xml:space="preserve">Phase</w:t>
            </w:r>
          </w:p>
        </w:tc>
        <w:tc>
          <w:tcPr>
            <w:tcW w:type="dxa" w:w="900"/>
            <w:shd w:fill="EAF2FB" w:val="clear"/>
            <w:tcMar>
              <w:top w:type="dxa" w:w="60"/>
              <w:left w:type="dxa" w:w="110"/>
              <w:bottom w:type="dxa" w:w="60"/>
              <w:right w:type="dxa" w:w="110"/>
            </w:tcMar>
          </w:tcPr>
          <w:p>
            <w:pPr>
              <w:jc w:val="center"/>
            </w:pPr>
            <w:r>
              <w:rPr>
                <w:b/>
                <w:bCs/>
                <w:color w:val="1559B3"/>
                <w:sz w:val="20"/>
                <w:szCs w:val="20"/>
              </w:rPr>
              <w:t xml:space="preserve">Items</w:t>
            </w:r>
          </w:p>
        </w:tc>
        <w:tc>
          <w:tcPr>
            <w:tcW w:type="dxa" w:w="1770"/>
            <w:shd w:fill="EAF2FB" w:val="clear"/>
            <w:tcMar>
              <w:top w:type="dxa" w:w="60"/>
              <w:left w:type="dxa" w:w="110"/>
              <w:bottom w:type="dxa" w:w="60"/>
              <w:right w:type="dxa" w:w="110"/>
            </w:tcMar>
          </w:tcPr>
          <w:p>
            <w:pPr>
              <w:jc w:val="right"/>
            </w:pPr>
            <w:r>
              <w:rPr>
                <w:b/>
                <w:bCs/>
                <w:color w:val="1559B3"/>
                <w:sz w:val="20"/>
                <w:szCs w:val="20"/>
              </w:rPr>
              <w:t xml:space="preserve">Traditional md</w:t>
            </w:r>
          </w:p>
        </w:tc>
        <w:tc>
          <w:tcPr>
            <w:tcW w:type="dxa" w:w="1770"/>
            <w:shd w:fill="EAF2FB" w:val="clear"/>
            <w:tcMar>
              <w:top w:type="dxa" w:w="60"/>
              <w:left w:type="dxa" w:w="110"/>
              <w:bottom w:type="dxa" w:w="60"/>
              <w:right w:type="dxa" w:w="110"/>
            </w:tcMar>
          </w:tcPr>
          <w:p>
            <w:pPr>
              <w:jc w:val="right"/>
            </w:pPr>
            <w:r>
              <w:rPr>
                <w:b/>
                <w:bCs/>
                <w:color w:val="1559B3"/>
                <w:sz w:val="20"/>
                <w:szCs w:val="20"/>
              </w:rPr>
              <w:t xml:space="preserve">With Opus 4.8 md</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0</w:t>
            </w:r>
          </w:p>
        </w:tc>
        <w:tc>
          <w:tcPr>
            <w:tcW w:type="dxa" w:w="4360"/>
            <w:tcMar>
              <w:top w:type="dxa" w:w="60"/>
              <w:left w:type="dxa" w:w="110"/>
              <w:bottom w:type="dxa" w:w="60"/>
              <w:right w:type="dxa" w:w="110"/>
            </w:tcMar>
          </w:tcPr>
          <w:p>
            <w:pPr>
              <w:jc w:val="left"/>
            </w:pPr>
            <w:r>
              <w:rPr>
                <w:b w:val="false"/>
                <w:bCs w:val="false"/>
                <w:color w:val="2B2F36"/>
                <w:sz w:val="20"/>
                <w:szCs w:val="20"/>
              </w:rPr>
              <w:t xml:space="preserve">Foundation / Kernel</w:t>
            </w:r>
          </w:p>
        </w:tc>
        <w:tc>
          <w:tcPr>
            <w:tcW w:type="dxa" w:w="900"/>
            <w:tcMar>
              <w:top w:type="dxa" w:w="60"/>
              <w:left w:type="dxa" w:w="110"/>
              <w:bottom w:type="dxa" w:w="60"/>
              <w:right w:type="dxa" w:w="110"/>
            </w:tcMar>
          </w:tcPr>
          <w:p>
            <w:pPr>
              <w:jc w:val="center"/>
            </w:pPr>
            <w:r>
              <w:rPr>
                <w:b w:val="false"/>
                <w:bCs w:val="false"/>
                <w:color w:val="2B2F36"/>
                <w:sz w:val="20"/>
                <w:szCs w:val="20"/>
              </w:rPr>
              <w:t xml:space="preserve">10</w:t>
            </w:r>
          </w:p>
        </w:tc>
        <w:tc>
          <w:tcPr>
            <w:tcW w:type="dxa" w:w="1770"/>
            <w:tcMar>
              <w:top w:type="dxa" w:w="60"/>
              <w:left w:type="dxa" w:w="110"/>
              <w:bottom w:type="dxa" w:w="60"/>
              <w:right w:type="dxa" w:w="110"/>
            </w:tcMar>
          </w:tcPr>
          <w:p>
            <w:pPr>
              <w:jc w:val="right"/>
            </w:pPr>
            <w:r>
              <w:rPr>
                <w:b w:val="false"/>
                <w:bCs w:val="false"/>
                <w:color w:val="2B2F36"/>
                <w:sz w:val="20"/>
                <w:szCs w:val="20"/>
              </w:rPr>
              <w:t xml:space="preserve">122</w:t>
            </w:r>
          </w:p>
        </w:tc>
        <w:tc>
          <w:tcPr>
            <w:tcW w:type="dxa" w:w="1770"/>
            <w:tcMar>
              <w:top w:type="dxa" w:w="60"/>
              <w:left w:type="dxa" w:w="110"/>
              <w:bottom w:type="dxa" w:w="60"/>
              <w:right w:type="dxa" w:w="110"/>
            </w:tcMar>
          </w:tcPr>
          <w:p>
            <w:pPr>
              <w:jc w:val="right"/>
            </w:pPr>
            <w:r>
              <w:rPr>
                <w:b w:val="false"/>
                <w:bCs w:val="false"/>
                <w:color w:val="2B2F36"/>
                <w:sz w:val="20"/>
                <w:szCs w:val="20"/>
              </w:rPr>
              <w:t xml:space="preserve">46</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1</w:t>
            </w:r>
          </w:p>
        </w:tc>
        <w:tc>
          <w:tcPr>
            <w:tcW w:type="dxa" w:w="4360"/>
            <w:tcMar>
              <w:top w:type="dxa" w:w="60"/>
              <w:left w:type="dxa" w:w="110"/>
              <w:bottom w:type="dxa" w:w="60"/>
              <w:right w:type="dxa" w:w="110"/>
            </w:tcMar>
          </w:tcPr>
          <w:p>
            <w:pPr>
              <w:jc w:val="left"/>
            </w:pPr>
            <w:r>
              <w:rPr>
                <w:b w:val="false"/>
                <w:bCs w:val="false"/>
                <w:color w:val="2B2F36"/>
                <w:sz w:val="20"/>
                <w:szCs w:val="20"/>
              </w:rPr>
              <w:t xml:space="preserve">Master Data</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59.5</w:t>
            </w:r>
          </w:p>
        </w:tc>
        <w:tc>
          <w:tcPr>
            <w:tcW w:type="dxa" w:w="1770"/>
            <w:tcMar>
              <w:top w:type="dxa" w:w="60"/>
              <w:left w:type="dxa" w:w="110"/>
              <w:bottom w:type="dxa" w:w="60"/>
              <w:right w:type="dxa" w:w="110"/>
            </w:tcMar>
          </w:tcPr>
          <w:p>
            <w:pPr>
              <w:jc w:val="right"/>
            </w:pPr>
            <w:r>
              <w:rPr>
                <w:b w:val="false"/>
                <w:bCs w:val="false"/>
                <w:color w:val="2B2F36"/>
                <w:sz w:val="20"/>
                <w:szCs w:val="20"/>
              </w:rPr>
              <w:t xml:space="preserve">19</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2</w:t>
            </w:r>
          </w:p>
        </w:tc>
        <w:tc>
          <w:tcPr>
            <w:tcW w:type="dxa" w:w="4360"/>
            <w:tcMar>
              <w:top w:type="dxa" w:w="60"/>
              <w:left w:type="dxa" w:w="110"/>
              <w:bottom w:type="dxa" w:w="60"/>
              <w:right w:type="dxa" w:w="110"/>
            </w:tcMar>
          </w:tcPr>
          <w:p>
            <w:pPr>
              <w:jc w:val="left"/>
            </w:pPr>
            <w:r>
              <w:rPr>
                <w:b w:val="false"/>
                <w:bCs w:val="false"/>
                <w:color w:val="2B2F36"/>
                <w:sz w:val="20"/>
                <w:szCs w:val="20"/>
              </w:rPr>
              <w:t xml:space="preserve">Goods Reception</w:t>
            </w:r>
          </w:p>
        </w:tc>
        <w:tc>
          <w:tcPr>
            <w:tcW w:type="dxa" w:w="900"/>
            <w:tcMar>
              <w:top w:type="dxa" w:w="60"/>
              <w:left w:type="dxa" w:w="110"/>
              <w:bottom w:type="dxa" w:w="60"/>
              <w:right w:type="dxa" w:w="110"/>
            </w:tcMar>
          </w:tcPr>
          <w:p>
            <w:pPr>
              <w:jc w:val="center"/>
            </w:pPr>
            <w:r>
              <w:rPr>
                <w:b w:val="false"/>
                <w:bCs w:val="false"/>
                <w:color w:val="2B2F36"/>
                <w:sz w:val="20"/>
                <w:szCs w:val="20"/>
              </w:rPr>
              <w:t xml:space="preserve">7</w:t>
            </w:r>
          </w:p>
        </w:tc>
        <w:tc>
          <w:tcPr>
            <w:tcW w:type="dxa" w:w="1770"/>
            <w:tcMar>
              <w:top w:type="dxa" w:w="60"/>
              <w:left w:type="dxa" w:w="110"/>
              <w:bottom w:type="dxa" w:w="60"/>
              <w:right w:type="dxa" w:w="110"/>
            </w:tcMar>
          </w:tcPr>
          <w:p>
            <w:pPr>
              <w:jc w:val="right"/>
            </w:pPr>
            <w:r>
              <w:rPr>
                <w:b w:val="false"/>
                <w:bCs w:val="false"/>
                <w:color w:val="2B2F36"/>
                <w:sz w:val="20"/>
                <w:szCs w:val="20"/>
              </w:rPr>
              <w:t xml:space="preserve">95</w:t>
            </w:r>
          </w:p>
        </w:tc>
        <w:tc>
          <w:tcPr>
            <w:tcW w:type="dxa" w:w="1770"/>
            <w:tcMar>
              <w:top w:type="dxa" w:w="60"/>
              <w:left w:type="dxa" w:w="110"/>
              <w:bottom w:type="dxa" w:w="60"/>
              <w:right w:type="dxa" w:w="110"/>
            </w:tcMar>
          </w:tcPr>
          <w:p>
            <w:pPr>
              <w:jc w:val="right"/>
            </w:pPr>
            <w:r>
              <w:rPr>
                <w:b w:val="false"/>
                <w:bCs w:val="false"/>
                <w:color w:val="2B2F36"/>
                <w:sz w:val="20"/>
                <w:szCs w:val="20"/>
              </w:rPr>
              <w:t xml:space="preserve">37</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3</w:t>
            </w:r>
          </w:p>
        </w:tc>
        <w:tc>
          <w:tcPr>
            <w:tcW w:type="dxa" w:w="4360"/>
            <w:tcMar>
              <w:top w:type="dxa" w:w="60"/>
              <w:left w:type="dxa" w:w="110"/>
              <w:bottom w:type="dxa" w:w="60"/>
              <w:right w:type="dxa" w:w="110"/>
            </w:tcMar>
          </w:tcPr>
          <w:p>
            <w:pPr>
              <w:jc w:val="left"/>
            </w:pPr>
            <w:r>
              <w:rPr>
                <w:b w:val="false"/>
                <w:bCs w:val="false"/>
                <w:color w:val="2B2F36"/>
                <w:sz w:val="20"/>
                <w:szCs w:val="20"/>
              </w:rPr>
              <w:t xml:space="preserve">Putaway</w:t>
            </w:r>
          </w:p>
        </w:tc>
        <w:tc>
          <w:tcPr>
            <w:tcW w:type="dxa" w:w="900"/>
            <w:tcMar>
              <w:top w:type="dxa" w:w="60"/>
              <w:left w:type="dxa" w:w="110"/>
              <w:bottom w:type="dxa" w:w="60"/>
              <w:right w:type="dxa" w:w="110"/>
            </w:tcMar>
          </w:tcPr>
          <w:p>
            <w:pPr>
              <w:jc w:val="center"/>
            </w:pPr>
            <w:r>
              <w:rPr>
                <w:b w:val="false"/>
                <w:bCs w:val="false"/>
                <w:color w:val="2B2F36"/>
                <w:sz w:val="20"/>
                <w:szCs w:val="20"/>
              </w:rPr>
              <w:t xml:space="preserve">3</w:t>
            </w:r>
          </w:p>
        </w:tc>
        <w:tc>
          <w:tcPr>
            <w:tcW w:type="dxa" w:w="1770"/>
            <w:tcMar>
              <w:top w:type="dxa" w:w="60"/>
              <w:left w:type="dxa" w:w="110"/>
              <w:bottom w:type="dxa" w:w="60"/>
              <w:right w:type="dxa" w:w="110"/>
            </w:tcMar>
          </w:tcPr>
          <w:p>
            <w:pPr>
              <w:jc w:val="right"/>
            </w:pPr>
            <w:r>
              <w:rPr>
                <w:b w:val="false"/>
                <w:bCs w:val="false"/>
                <w:color w:val="2B2F36"/>
                <w:sz w:val="20"/>
                <w:szCs w:val="20"/>
              </w:rPr>
              <w:t xml:space="preserve">43</w:t>
            </w:r>
          </w:p>
        </w:tc>
        <w:tc>
          <w:tcPr>
            <w:tcW w:type="dxa" w:w="1770"/>
            <w:tcMar>
              <w:top w:type="dxa" w:w="60"/>
              <w:left w:type="dxa" w:w="110"/>
              <w:bottom w:type="dxa" w:w="60"/>
              <w:right w:type="dxa" w:w="110"/>
            </w:tcMar>
          </w:tcPr>
          <w:p>
            <w:pPr>
              <w:jc w:val="right"/>
            </w:pPr>
            <w:r>
              <w:rPr>
                <w:b w:val="false"/>
                <w:bCs w:val="false"/>
                <w:color w:val="2B2F36"/>
                <w:sz w:val="20"/>
                <w:szCs w:val="20"/>
              </w:rPr>
              <w:t xml:space="preserve">17</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4</w:t>
            </w:r>
          </w:p>
        </w:tc>
        <w:tc>
          <w:tcPr>
            <w:tcW w:type="dxa" w:w="4360"/>
            <w:tcMar>
              <w:top w:type="dxa" w:w="60"/>
              <w:left w:type="dxa" w:w="110"/>
              <w:bottom w:type="dxa" w:w="60"/>
              <w:right w:type="dxa" w:w="110"/>
            </w:tcMar>
          </w:tcPr>
          <w:p>
            <w:pPr>
              <w:jc w:val="left"/>
            </w:pPr>
            <w:r>
              <w:rPr>
                <w:b w:val="false"/>
                <w:bCs w:val="false"/>
                <w:color w:val="2B2F36"/>
                <w:sz w:val="20"/>
                <w:szCs w:val="20"/>
              </w:rPr>
              <w:t xml:space="preserve">Stock Visibility &amp; Status</w:t>
            </w:r>
          </w:p>
        </w:tc>
        <w:tc>
          <w:tcPr>
            <w:tcW w:type="dxa" w:w="900"/>
            <w:tcMar>
              <w:top w:type="dxa" w:w="60"/>
              <w:left w:type="dxa" w:w="110"/>
              <w:bottom w:type="dxa" w:w="60"/>
              <w:right w:type="dxa" w:w="110"/>
            </w:tcMar>
          </w:tcPr>
          <w:p>
            <w:pPr>
              <w:jc w:val="center"/>
            </w:pPr>
            <w:r>
              <w:rPr>
                <w:b w:val="false"/>
                <w:bCs w:val="false"/>
                <w:color w:val="2B2F36"/>
                <w:sz w:val="20"/>
                <w:szCs w:val="20"/>
              </w:rPr>
              <w:t xml:space="preserve">3</w:t>
            </w:r>
          </w:p>
        </w:tc>
        <w:tc>
          <w:tcPr>
            <w:tcW w:type="dxa" w:w="1770"/>
            <w:tcMar>
              <w:top w:type="dxa" w:w="60"/>
              <w:left w:type="dxa" w:w="110"/>
              <w:bottom w:type="dxa" w:w="60"/>
              <w:right w:type="dxa" w:w="110"/>
            </w:tcMar>
          </w:tcPr>
          <w:p>
            <w:pPr>
              <w:jc w:val="right"/>
            </w:pPr>
            <w:r>
              <w:rPr>
                <w:b w:val="false"/>
                <w:bCs w:val="false"/>
                <w:color w:val="2B2F36"/>
                <w:sz w:val="20"/>
                <w:szCs w:val="20"/>
              </w:rPr>
              <w:t xml:space="preserve">30</w:t>
            </w:r>
          </w:p>
        </w:tc>
        <w:tc>
          <w:tcPr>
            <w:tcW w:type="dxa" w:w="1770"/>
            <w:tcMar>
              <w:top w:type="dxa" w:w="60"/>
              <w:left w:type="dxa" w:w="110"/>
              <w:bottom w:type="dxa" w:w="60"/>
              <w:right w:type="dxa" w:w="110"/>
            </w:tcMar>
          </w:tcPr>
          <w:p>
            <w:pPr>
              <w:jc w:val="right"/>
            </w:pPr>
            <w:r>
              <w:rPr>
                <w:b w:val="false"/>
                <w:bCs w:val="false"/>
                <w:color w:val="2B2F36"/>
                <w:sz w:val="20"/>
                <w:szCs w:val="20"/>
              </w:rPr>
              <w:t xml:space="preserve">11</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5</w:t>
            </w:r>
          </w:p>
        </w:tc>
        <w:tc>
          <w:tcPr>
            <w:tcW w:type="dxa" w:w="4360"/>
            <w:tcMar>
              <w:top w:type="dxa" w:w="60"/>
              <w:left w:type="dxa" w:w="110"/>
              <w:bottom w:type="dxa" w:w="60"/>
              <w:right w:type="dxa" w:w="110"/>
            </w:tcMar>
          </w:tcPr>
          <w:p>
            <w:pPr>
              <w:jc w:val="left"/>
            </w:pPr>
            <w:r>
              <w:rPr>
                <w:b w:val="false"/>
                <w:bCs w:val="false"/>
                <w:color w:val="2B2F36"/>
                <w:sz w:val="20"/>
                <w:szCs w:val="20"/>
              </w:rPr>
              <w:t xml:space="preserve">Stock-Out (Outbound)</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116</w:t>
            </w:r>
          </w:p>
        </w:tc>
        <w:tc>
          <w:tcPr>
            <w:tcW w:type="dxa" w:w="1770"/>
            <w:tcMar>
              <w:top w:type="dxa" w:w="60"/>
              <w:left w:type="dxa" w:w="110"/>
              <w:bottom w:type="dxa" w:w="60"/>
              <w:right w:type="dxa" w:w="110"/>
            </w:tcMar>
          </w:tcPr>
          <w:p>
            <w:pPr>
              <w:jc w:val="right"/>
            </w:pPr>
            <w:r>
              <w:rPr>
                <w:b w:val="false"/>
                <w:bCs w:val="false"/>
                <w:color w:val="2B2F36"/>
                <w:sz w:val="20"/>
                <w:szCs w:val="20"/>
              </w:rPr>
              <w:t xml:space="preserve">46</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6</w:t>
            </w:r>
          </w:p>
        </w:tc>
        <w:tc>
          <w:tcPr>
            <w:tcW w:type="dxa" w:w="4360"/>
            <w:tcMar>
              <w:top w:type="dxa" w:w="60"/>
              <w:left w:type="dxa" w:w="110"/>
              <w:bottom w:type="dxa" w:w="60"/>
              <w:right w:type="dxa" w:w="110"/>
            </w:tcMar>
          </w:tcPr>
          <w:p>
            <w:pPr>
              <w:jc w:val="left"/>
            </w:pPr>
            <w:r>
              <w:rPr>
                <w:b w:val="false"/>
                <w:bCs w:val="false"/>
                <w:color w:val="2B2F36"/>
                <w:sz w:val="20"/>
                <w:szCs w:val="20"/>
              </w:rPr>
              <w:t xml:space="preserve">Inventory Operations</w:t>
            </w:r>
          </w:p>
        </w:tc>
        <w:tc>
          <w:tcPr>
            <w:tcW w:type="dxa" w:w="900"/>
            <w:tcMar>
              <w:top w:type="dxa" w:w="60"/>
              <w:left w:type="dxa" w:w="110"/>
              <w:bottom w:type="dxa" w:w="60"/>
              <w:right w:type="dxa" w:w="110"/>
            </w:tcMar>
          </w:tcPr>
          <w:p>
            <w:pPr>
              <w:jc w:val="center"/>
            </w:pPr>
            <w:r>
              <w:rPr>
                <w:b w:val="false"/>
                <w:bCs w:val="false"/>
                <w:color w:val="2B2F36"/>
                <w:sz w:val="20"/>
                <w:szCs w:val="20"/>
              </w:rPr>
              <w:t xml:space="preserve">8</w:t>
            </w:r>
          </w:p>
        </w:tc>
        <w:tc>
          <w:tcPr>
            <w:tcW w:type="dxa" w:w="1770"/>
            <w:tcMar>
              <w:top w:type="dxa" w:w="60"/>
              <w:left w:type="dxa" w:w="110"/>
              <w:bottom w:type="dxa" w:w="60"/>
              <w:right w:type="dxa" w:w="110"/>
            </w:tcMar>
          </w:tcPr>
          <w:p>
            <w:pPr>
              <w:jc w:val="right"/>
            </w:pPr>
            <w:r>
              <w:rPr>
                <w:b w:val="false"/>
                <w:bCs w:val="false"/>
                <w:color w:val="2B2F36"/>
                <w:sz w:val="20"/>
                <w:szCs w:val="20"/>
              </w:rPr>
              <w:t xml:space="preserve">108</w:t>
            </w:r>
          </w:p>
        </w:tc>
        <w:tc>
          <w:tcPr>
            <w:tcW w:type="dxa" w:w="1770"/>
            <w:tcMar>
              <w:top w:type="dxa" w:w="60"/>
              <w:left w:type="dxa" w:w="110"/>
              <w:bottom w:type="dxa" w:w="60"/>
              <w:right w:type="dxa" w:w="110"/>
            </w:tcMar>
          </w:tcPr>
          <w:p>
            <w:pPr>
              <w:jc w:val="right"/>
            </w:pPr>
            <w:r>
              <w:rPr>
                <w:b w:val="false"/>
                <w:bCs w:val="false"/>
                <w:color w:val="2B2F36"/>
                <w:sz w:val="20"/>
                <w:szCs w:val="20"/>
              </w:rPr>
              <w:t xml:space="preserve">42</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7</w:t>
            </w:r>
          </w:p>
        </w:tc>
        <w:tc>
          <w:tcPr>
            <w:tcW w:type="dxa" w:w="4360"/>
            <w:tcMar>
              <w:top w:type="dxa" w:w="60"/>
              <w:left w:type="dxa" w:w="110"/>
              <w:bottom w:type="dxa" w:w="60"/>
              <w:right w:type="dxa" w:w="110"/>
            </w:tcMar>
          </w:tcPr>
          <w:p>
            <w:pPr>
              <w:jc w:val="left"/>
            </w:pPr>
            <w:r>
              <w:rPr>
                <w:b w:val="false"/>
                <w:bCs w:val="false"/>
                <w:color w:val="2B2F36"/>
                <w:sz w:val="20"/>
                <w:szCs w:val="20"/>
              </w:rPr>
              <w:t xml:space="preserve">Reports &amp; Visibility</w:t>
            </w:r>
          </w:p>
        </w:tc>
        <w:tc>
          <w:tcPr>
            <w:tcW w:type="dxa" w:w="900"/>
            <w:tcMar>
              <w:top w:type="dxa" w:w="60"/>
              <w:left w:type="dxa" w:w="110"/>
              <w:bottom w:type="dxa" w:w="60"/>
              <w:right w:type="dxa" w:w="110"/>
            </w:tcMar>
          </w:tcPr>
          <w:p>
            <w:pPr>
              <w:jc w:val="center"/>
            </w:pPr>
            <w:r>
              <w:rPr>
                <w:b w:val="false"/>
                <w:bCs w:val="false"/>
                <w:color w:val="2B2F36"/>
                <w:sz w:val="20"/>
                <w:szCs w:val="20"/>
              </w:rPr>
              <w:t xml:space="preserve">7</w:t>
            </w:r>
          </w:p>
        </w:tc>
        <w:tc>
          <w:tcPr>
            <w:tcW w:type="dxa" w:w="1770"/>
            <w:tcMar>
              <w:top w:type="dxa" w:w="60"/>
              <w:left w:type="dxa" w:w="110"/>
              <w:bottom w:type="dxa" w:w="60"/>
              <w:right w:type="dxa" w:w="110"/>
            </w:tcMar>
          </w:tcPr>
          <w:p>
            <w:pPr>
              <w:jc w:val="right"/>
            </w:pPr>
            <w:r>
              <w:rPr>
                <w:b w:val="false"/>
                <w:bCs w:val="false"/>
                <w:color w:val="2B2F36"/>
                <w:sz w:val="20"/>
                <w:szCs w:val="20"/>
              </w:rPr>
              <w:t xml:space="preserve">68.5</w:t>
            </w:r>
          </w:p>
        </w:tc>
        <w:tc>
          <w:tcPr>
            <w:tcW w:type="dxa" w:w="1770"/>
            <w:tcMar>
              <w:top w:type="dxa" w:w="60"/>
              <w:left w:type="dxa" w:w="110"/>
              <w:bottom w:type="dxa" w:w="60"/>
              <w:right w:type="dxa" w:w="110"/>
            </w:tcMar>
          </w:tcPr>
          <w:p>
            <w:pPr>
              <w:jc w:val="right"/>
            </w:pPr>
            <w:r>
              <w:rPr>
                <w:b w:val="false"/>
                <w:bCs w:val="false"/>
                <w:color w:val="2B2F36"/>
                <w:sz w:val="20"/>
                <w:szCs w:val="20"/>
              </w:rPr>
              <w:t xml:space="preserve">24</w:t>
            </w:r>
          </w:p>
        </w:tc>
      </w:tr>
      <w:tr>
        <w:tc>
          <w:tcPr>
            <w:tcW w:type="dxa" w:w="560"/>
            <w:tcMar>
              <w:top w:type="dxa" w:w="60"/>
              <w:left w:type="dxa" w:w="110"/>
              <w:bottom w:type="dxa" w:w="60"/>
              <w:right w:type="dxa" w:w="110"/>
            </w:tcMar>
          </w:tcPr>
          <w:p>
            <w:pPr>
              <w:jc w:val="left"/>
            </w:pPr>
            <w:r>
              <w:rPr>
                <w:b w:val="false"/>
                <w:bCs w:val="false"/>
                <w:color w:val="2B2F36"/>
                <w:sz w:val="20"/>
                <w:szCs w:val="20"/>
              </w:rPr>
              <w:t xml:space="preserve">8</w:t>
            </w:r>
          </w:p>
        </w:tc>
        <w:tc>
          <w:tcPr>
            <w:tcW w:type="dxa" w:w="4360"/>
            <w:tcMar>
              <w:top w:type="dxa" w:w="60"/>
              <w:left w:type="dxa" w:w="110"/>
              <w:bottom w:type="dxa" w:w="60"/>
              <w:right w:type="dxa" w:w="110"/>
            </w:tcMar>
          </w:tcPr>
          <w:p>
            <w:pPr>
              <w:jc w:val="left"/>
            </w:pPr>
            <w:r>
              <w:rPr>
                <w:b w:val="false"/>
                <w:bCs w:val="false"/>
                <w:color w:val="2B2F36"/>
                <w:sz w:val="20"/>
                <w:szCs w:val="20"/>
              </w:rPr>
              <w:t xml:space="preserve">Hardening &amp; Closure</w:t>
            </w:r>
          </w:p>
        </w:tc>
        <w:tc>
          <w:tcPr>
            <w:tcW w:type="dxa" w:w="900"/>
            <w:tcMar>
              <w:top w:type="dxa" w:w="60"/>
              <w:left w:type="dxa" w:w="110"/>
              <w:bottom w:type="dxa" w:w="60"/>
              <w:right w:type="dxa" w:w="110"/>
            </w:tcMar>
          </w:tcPr>
          <w:p>
            <w:pPr>
              <w:jc w:val="center"/>
            </w:pPr>
            <w:r>
              <w:rPr>
                <w:b w:val="false"/>
                <w:bCs w:val="false"/>
                <w:color w:val="2B2F36"/>
                <w:sz w:val="20"/>
                <w:szCs w:val="20"/>
              </w:rPr>
              <w:t xml:space="preserve">6</w:t>
            </w:r>
          </w:p>
        </w:tc>
        <w:tc>
          <w:tcPr>
            <w:tcW w:type="dxa" w:w="1770"/>
            <w:tcMar>
              <w:top w:type="dxa" w:w="60"/>
              <w:left w:type="dxa" w:w="110"/>
              <w:bottom w:type="dxa" w:w="60"/>
              <w:right w:type="dxa" w:w="110"/>
            </w:tcMar>
          </w:tcPr>
          <w:p>
            <w:pPr>
              <w:jc w:val="right"/>
            </w:pPr>
            <w:r>
              <w:rPr>
                <w:b w:val="false"/>
                <w:bCs w:val="false"/>
                <w:color w:val="2B2F36"/>
                <w:sz w:val="20"/>
                <w:szCs w:val="20"/>
              </w:rPr>
              <w:t xml:space="preserve">66</w:t>
            </w:r>
          </w:p>
        </w:tc>
        <w:tc>
          <w:tcPr>
            <w:tcW w:type="dxa" w:w="1770"/>
            <w:tcMar>
              <w:top w:type="dxa" w:w="60"/>
              <w:left w:type="dxa" w:w="110"/>
              <w:bottom w:type="dxa" w:w="60"/>
              <w:right w:type="dxa" w:w="110"/>
            </w:tcMar>
          </w:tcPr>
          <w:p>
            <w:pPr>
              <w:jc w:val="right"/>
            </w:pPr>
            <w:r>
              <w:rPr>
                <w:b w:val="false"/>
                <w:bCs w:val="false"/>
                <w:color w:val="2B2F36"/>
                <w:sz w:val="20"/>
                <w:szCs w:val="20"/>
              </w:rPr>
              <w:t xml:space="preserve">24</w:t>
            </w:r>
          </w:p>
        </w:tc>
      </w:tr>
      <w:tr>
        <w:tc>
          <w:tcPr>
            <w:tcW w:type="dxa" w:w="560"/>
            <w:shd w:fill="F4F8FD" w:val="clear"/>
            <w:tcMar>
              <w:top w:type="dxa" w:w="60"/>
              <w:left w:type="dxa" w:w="110"/>
              <w:bottom w:type="dxa" w:w="60"/>
              <w:right w:type="dxa" w:w="110"/>
            </w:tcMar>
          </w:tcPr>
          <w:p>
            <w:pPr>
              <w:jc w:val="left"/>
            </w:pPr>
            <w:r>
              <w:rPr>
                <w:b/>
                <w:bCs/>
                <w:color w:val="2B2F36"/>
                <w:sz w:val="20"/>
                <w:szCs w:val="20"/>
              </w:rPr>
              <w:t xml:space="preserve"/>
            </w:r>
          </w:p>
        </w:tc>
        <w:tc>
          <w:tcPr>
            <w:tcW w:type="dxa" w:w="4360"/>
            <w:shd w:fill="F4F8FD" w:val="clear"/>
            <w:tcMar>
              <w:top w:type="dxa" w:w="60"/>
              <w:left w:type="dxa" w:w="110"/>
              <w:bottom w:type="dxa" w:w="60"/>
              <w:right w:type="dxa" w:w="110"/>
            </w:tcMar>
          </w:tcPr>
          <w:p>
            <w:pPr>
              <w:jc w:val="left"/>
            </w:pPr>
            <w:r>
              <w:rPr>
                <w:b/>
                <w:bCs/>
                <w:color w:val="2B2F36"/>
                <w:sz w:val="20"/>
                <w:szCs w:val="20"/>
              </w:rPr>
              <w:t xml:space="preserve">Engineering subtotal</w:t>
            </w:r>
          </w:p>
        </w:tc>
        <w:tc>
          <w:tcPr>
            <w:tcW w:type="dxa" w:w="900"/>
            <w:shd w:fill="F4F8FD" w:val="clear"/>
            <w:tcMar>
              <w:top w:type="dxa" w:w="60"/>
              <w:left w:type="dxa" w:w="110"/>
              <w:bottom w:type="dxa" w:w="60"/>
              <w:right w:type="dxa" w:w="110"/>
            </w:tcMar>
          </w:tcPr>
          <w:p>
            <w:pPr>
              <w:jc w:val="center"/>
            </w:pPr>
            <w:r>
              <w:rPr>
                <w:b/>
                <w:bCs/>
                <w:color w:val="2B2F36"/>
                <w:sz w:val="20"/>
                <w:szCs w:val="20"/>
              </w:rPr>
              <w:t xml:space="preserve">60</w:t>
            </w:r>
          </w:p>
        </w:tc>
        <w:tc>
          <w:tcPr>
            <w:tcW w:type="dxa" w:w="1770"/>
            <w:shd w:fill="F4F8FD" w:val="clear"/>
            <w:tcMar>
              <w:top w:type="dxa" w:w="60"/>
              <w:left w:type="dxa" w:w="110"/>
              <w:bottom w:type="dxa" w:w="60"/>
              <w:right w:type="dxa" w:w="110"/>
            </w:tcMar>
          </w:tcPr>
          <w:p>
            <w:pPr>
              <w:jc w:val="right"/>
            </w:pPr>
            <w:r>
              <w:rPr>
                <w:b/>
                <w:bCs/>
                <w:color w:val="2B2F36"/>
                <w:sz w:val="20"/>
                <w:szCs w:val="20"/>
              </w:rPr>
              <w:t xml:space="preserve">708</w:t>
            </w:r>
          </w:p>
        </w:tc>
        <w:tc>
          <w:tcPr>
            <w:tcW w:type="dxa" w:w="1770"/>
            <w:shd w:fill="F4F8FD" w:val="clear"/>
            <w:tcMar>
              <w:top w:type="dxa" w:w="60"/>
              <w:left w:type="dxa" w:w="110"/>
              <w:bottom w:type="dxa" w:w="60"/>
              <w:right w:type="dxa" w:w="110"/>
            </w:tcMar>
          </w:tcPr>
          <w:p>
            <w:pPr>
              <w:jc w:val="right"/>
            </w:pPr>
            <w:r>
              <w:rPr>
                <w:b/>
                <w:bCs/>
                <w:color w:val="2B2F36"/>
                <w:sz w:val="20"/>
                <w:szCs w:val="20"/>
              </w:rPr>
              <w:t xml:space="preserve">266</w:t>
            </w:r>
          </w:p>
        </w:tc>
      </w:tr>
    </w:tbl>
    <w:p>
      <w:pPr>
        <w:spacing w:after="40" w:before="0"/>
      </w:pPr>
      <w:r>
        <w:rPr>
          <w:b w:val="false"/>
          <w:bCs w:val="false"/>
          <w:i w:val="false"/>
          <w:iCs w:val="false"/>
          <w:color w:val="2B2F36"/>
          <w:sz w:val="8"/>
          <w:szCs w:val="8"/>
        </w:rPr>
        <w:t xml:space="preserve"/>
      </w:r>
    </w:p>
    <w:p>
      <w:pPr>
        <w:pStyle w:val="Heading2"/>
      </w:pPr>
      <w:r>
        <w:t xml:space="preserve">Roll-up to the budget figure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200"/>
        <w:gridCol w:w="2080"/>
        <w:gridCol w:w="2080"/>
      </w:tblGrid>
      <w:tr>
        <w:trPr>
          <w:tblHeader/>
        </w:trPr>
        <w:tc>
          <w:tcPr>
            <w:tcW w:type="dxa" w:w="5200"/>
            <w:shd w:fill="EAF2FB" w:val="clear"/>
            <w:tcMar>
              <w:top w:type="dxa" w:w="60"/>
              <w:left w:type="dxa" w:w="110"/>
              <w:bottom w:type="dxa" w:w="60"/>
              <w:right w:type="dxa" w:w="110"/>
            </w:tcMar>
          </w:tcPr>
          <w:p>
            <w:pPr>
              <w:jc w:val="left"/>
            </w:pPr>
            <w:r>
              <w:rPr>
                <w:b/>
                <w:bCs/>
                <w:color w:val="1559B3"/>
                <w:sz w:val="20"/>
                <w:szCs w:val="20"/>
              </w:rPr>
              <w:t xml:space="preserve">Roll-up</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Traditional md</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With Opus 4.8 md</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Engineering (sum of all build items)</w:t>
            </w:r>
          </w:p>
        </w:tc>
        <w:tc>
          <w:tcPr>
            <w:tcW w:type="dxa" w:w="2080"/>
            <w:tcMar>
              <w:top w:type="dxa" w:w="60"/>
              <w:left w:type="dxa" w:w="110"/>
              <w:bottom w:type="dxa" w:w="60"/>
              <w:right w:type="dxa" w:w="110"/>
            </w:tcMar>
          </w:tcPr>
          <w:p>
            <w:pPr>
              <w:jc w:val="right"/>
            </w:pPr>
            <w:r>
              <w:rPr>
                <w:b w:val="false"/>
                <w:bCs w:val="false"/>
                <w:color w:val="2B2F36"/>
                <w:sz w:val="20"/>
                <w:szCs w:val="20"/>
              </w:rPr>
              <w:t xml:space="preserve">708</w:t>
            </w:r>
          </w:p>
        </w:tc>
        <w:tc>
          <w:tcPr>
            <w:tcW w:type="dxa" w:w="2080"/>
            <w:tcMar>
              <w:top w:type="dxa" w:w="60"/>
              <w:left w:type="dxa" w:w="110"/>
              <w:bottom w:type="dxa" w:w="60"/>
              <w:right w:type="dxa" w:w="110"/>
            </w:tcMar>
          </w:tcPr>
          <w:p>
            <w:pPr>
              <w:jc w:val="right"/>
            </w:pPr>
            <w:r>
              <w:rPr>
                <w:b w:val="false"/>
                <w:bCs w:val="false"/>
                <w:color w:val="2B2F36"/>
                <w:sz w:val="20"/>
                <w:szCs w:val="20"/>
              </w:rPr>
              <w:t xml:space="preserve">266</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 Delivery overhead (PM, system test &amp; UAT, iteration, release) — 37%</w:t>
            </w:r>
          </w:p>
        </w:tc>
        <w:tc>
          <w:tcPr>
            <w:tcW w:type="dxa" w:w="2080"/>
            <w:tcMar>
              <w:top w:type="dxa" w:w="60"/>
              <w:left w:type="dxa" w:w="110"/>
              <w:bottom w:type="dxa" w:w="60"/>
              <w:right w:type="dxa" w:w="110"/>
            </w:tcMar>
          </w:tcPr>
          <w:p>
            <w:pPr>
              <w:jc w:val="right"/>
            </w:pPr>
            <w:r>
              <w:rPr>
                <w:b w:val="false"/>
                <w:bCs w:val="false"/>
                <w:color w:val="2B2F36"/>
                <w:sz w:val="20"/>
                <w:szCs w:val="20"/>
              </w:rPr>
              <w:t xml:space="preserve">262</w:t>
            </w:r>
          </w:p>
        </w:tc>
        <w:tc>
          <w:tcPr>
            <w:tcW w:type="dxa" w:w="2080"/>
            <w:tcMar>
              <w:top w:type="dxa" w:w="60"/>
              <w:left w:type="dxa" w:w="110"/>
              <w:bottom w:type="dxa" w:w="60"/>
              <w:right w:type="dxa" w:w="110"/>
            </w:tcMar>
          </w:tcPr>
          <w:p>
            <w:pPr>
              <w:jc w:val="right"/>
            </w:pPr>
            <w:r>
              <w:rPr>
                <w:b w:val="false"/>
                <w:bCs w:val="false"/>
                <w:color w:val="2B2F36"/>
                <w:sz w:val="20"/>
                <w:szCs w:val="20"/>
              </w:rPr>
              <w:t xml:space="preserve">98</w:t>
            </w:r>
          </w:p>
        </w:tc>
      </w:tr>
      <w:tr>
        <w:tc>
          <w:tcPr>
            <w:tcW w:type="dxa" w:w="5200"/>
            <w:shd w:fill="F4F8FD" w:val="clear"/>
            <w:tcMar>
              <w:top w:type="dxa" w:w="60"/>
              <w:left w:type="dxa" w:w="110"/>
              <w:bottom w:type="dxa" w:w="60"/>
              <w:right w:type="dxa" w:w="110"/>
            </w:tcMar>
          </w:tcPr>
          <w:p>
            <w:pPr>
              <w:jc w:val="left"/>
            </w:pPr>
            <w:r>
              <w:rPr>
                <w:b/>
                <w:bCs/>
                <w:color w:val="2B2F36"/>
                <w:sz w:val="20"/>
                <w:szCs w:val="20"/>
              </w:rPr>
              <w:t xml:space="preserve">= Project subtotal (P50, planning)</w:t>
            </w:r>
          </w:p>
        </w:tc>
        <w:tc>
          <w:tcPr>
            <w:tcW w:type="dxa" w:w="2080"/>
            <w:shd w:fill="F4F8FD" w:val="clear"/>
            <w:tcMar>
              <w:top w:type="dxa" w:w="60"/>
              <w:left w:type="dxa" w:w="110"/>
              <w:bottom w:type="dxa" w:w="60"/>
              <w:right w:type="dxa" w:w="110"/>
            </w:tcMar>
          </w:tcPr>
          <w:p>
            <w:pPr>
              <w:jc w:val="right"/>
            </w:pPr>
            <w:r>
              <w:rPr>
                <w:b/>
                <w:bCs/>
                <w:color w:val="2B2F36"/>
                <w:sz w:val="20"/>
                <w:szCs w:val="20"/>
              </w:rPr>
              <w:t xml:space="preserve">970</w:t>
            </w:r>
          </w:p>
        </w:tc>
        <w:tc>
          <w:tcPr>
            <w:tcW w:type="dxa" w:w="2080"/>
            <w:shd w:fill="F4F8FD" w:val="clear"/>
            <w:tcMar>
              <w:top w:type="dxa" w:w="60"/>
              <w:left w:type="dxa" w:w="110"/>
              <w:bottom w:type="dxa" w:w="60"/>
              <w:right w:type="dxa" w:w="110"/>
            </w:tcMar>
          </w:tcPr>
          <w:p>
            <w:pPr>
              <w:jc w:val="right"/>
            </w:pPr>
            <w:r>
              <w:rPr>
                <w:b/>
                <w:bCs/>
                <w:color w:val="2B2F36"/>
                <w:sz w:val="20"/>
                <w:szCs w:val="20"/>
              </w:rPr>
              <w:t xml:space="preserve">364</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 Risk contingency (brownfield unknowns) — 25%</w:t>
            </w:r>
          </w:p>
        </w:tc>
        <w:tc>
          <w:tcPr>
            <w:tcW w:type="dxa" w:w="2080"/>
            <w:tcMar>
              <w:top w:type="dxa" w:w="60"/>
              <w:left w:type="dxa" w:w="110"/>
              <w:bottom w:type="dxa" w:w="60"/>
              <w:right w:type="dxa" w:w="110"/>
            </w:tcMar>
          </w:tcPr>
          <w:p>
            <w:pPr>
              <w:jc w:val="right"/>
            </w:pPr>
            <w:r>
              <w:rPr>
                <w:b w:val="false"/>
                <w:bCs w:val="false"/>
                <w:color w:val="2B2F36"/>
                <w:sz w:val="20"/>
                <w:szCs w:val="20"/>
              </w:rPr>
              <w:t xml:space="preserve">242</w:t>
            </w:r>
          </w:p>
        </w:tc>
        <w:tc>
          <w:tcPr>
            <w:tcW w:type="dxa" w:w="2080"/>
            <w:tcMar>
              <w:top w:type="dxa" w:w="60"/>
              <w:left w:type="dxa" w:w="110"/>
              <w:bottom w:type="dxa" w:w="60"/>
              <w:right w:type="dxa" w:w="110"/>
            </w:tcMar>
          </w:tcPr>
          <w:p>
            <w:pPr>
              <w:jc w:val="right"/>
            </w:pPr>
            <w:r>
              <w:rPr>
                <w:b w:val="false"/>
                <w:bCs w:val="false"/>
                <w:color w:val="2B2F36"/>
                <w:sz w:val="20"/>
                <w:szCs w:val="20"/>
              </w:rPr>
              <w:t xml:space="preserve">91</w:t>
            </w:r>
          </w:p>
        </w:tc>
      </w:tr>
      <w:tr>
        <w:tc>
          <w:tcPr>
            <w:tcW w:type="dxa" w:w="5200"/>
            <w:shd w:fill="EAF2FB" w:val="clear"/>
            <w:tcMar>
              <w:top w:type="dxa" w:w="60"/>
              <w:left w:type="dxa" w:w="110"/>
              <w:bottom w:type="dxa" w:w="60"/>
              <w:right w:type="dxa" w:w="110"/>
            </w:tcMar>
          </w:tcPr>
          <w:p>
            <w:pPr>
              <w:jc w:val="left"/>
            </w:pPr>
            <w:r>
              <w:rPr>
                <w:b/>
                <w:bCs/>
                <w:color w:val="1559B3"/>
                <w:sz w:val="20"/>
                <w:szCs w:val="20"/>
              </w:rPr>
              <w:t xml:space="preserve">= Total to budget (P80)</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1212</w:t>
            </w:r>
          </w:p>
        </w:tc>
        <w:tc>
          <w:tcPr>
            <w:tcW w:type="dxa" w:w="2080"/>
            <w:shd w:fill="EAF2FB" w:val="clear"/>
            <w:tcMar>
              <w:top w:type="dxa" w:w="60"/>
              <w:left w:type="dxa" w:w="110"/>
              <w:bottom w:type="dxa" w:w="60"/>
              <w:right w:type="dxa" w:w="110"/>
            </w:tcMar>
          </w:tcPr>
          <w:p>
            <w:pPr>
              <w:jc w:val="right"/>
            </w:pPr>
            <w:r>
              <w:rPr>
                <w:b/>
                <w:bCs/>
                <w:color w:val="1559B3"/>
                <w:sz w:val="20"/>
                <w:szCs w:val="20"/>
              </w:rPr>
              <w:t xml:space="preserve">456</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Optional — PWA offline sync (only if a v1 requirement, decision #5)</w:t>
            </w:r>
          </w:p>
        </w:tc>
        <w:tc>
          <w:tcPr>
            <w:tcW w:type="dxa" w:w="2080"/>
            <w:tcMar>
              <w:top w:type="dxa" w:w="60"/>
              <w:left w:type="dxa" w:w="110"/>
              <w:bottom w:type="dxa" w:w="60"/>
              <w:right w:type="dxa" w:w="110"/>
            </w:tcMar>
          </w:tcPr>
          <w:p>
            <w:pPr>
              <w:jc w:val="right"/>
            </w:pPr>
            <w:r>
              <w:rPr>
                <w:b w:val="false"/>
                <w:bCs w:val="false"/>
                <w:color w:val="2B2F36"/>
                <w:sz w:val="20"/>
                <w:szCs w:val="20"/>
              </w:rPr>
              <w:t xml:space="preserve">+ 48</w:t>
            </w:r>
          </w:p>
        </w:tc>
        <w:tc>
          <w:tcPr>
            <w:tcW w:type="dxa" w:w="2080"/>
            <w:tcMar>
              <w:top w:type="dxa" w:w="60"/>
              <w:left w:type="dxa" w:w="110"/>
              <w:bottom w:type="dxa" w:w="60"/>
              <w:right w:type="dxa" w:w="110"/>
            </w:tcMar>
          </w:tcPr>
          <w:p>
            <w:pPr>
              <w:jc w:val="right"/>
            </w:pPr>
            <w:r>
              <w:rPr>
                <w:b w:val="false"/>
                <w:bCs w:val="false"/>
                <w:color w:val="2B2F36"/>
                <w:sz w:val="20"/>
                <w:szCs w:val="20"/>
              </w:rPr>
              <w:t xml:space="preserve">+ 21</w:t>
            </w:r>
          </w:p>
        </w:tc>
      </w:tr>
    </w:tbl>
    <w:p>
      <w:pPr>
        <w:spacing w:after="120" w:before="60"/>
      </w:pPr>
      <w:r>
        <w:rPr>
          <w:b w:val="false"/>
          <w:bCs w:val="false"/>
          <w:i/>
          <w:iCs/>
          <w:color w:val="8A929C"/>
          <w:sz w:val="18"/>
          <w:szCs w:val="18"/>
        </w:rPr>
        <w:t xml:space="preserve">The optional offline-sync line is excluded from the totals above; add it only if offline scanning is confirmed as a v1 requirement (it is the single largest cost swing).</w:t>
      </w:r>
    </w:p>
    <w:p>
      <w:pPr>
        <w:pStyle w:val="Heading1"/>
        <w:pageBreakBefore/>
      </w:pPr>
      <w:r>
        <w:t xml:space="preserve">2 · Method &amp; Assumptions</w:t>
      </w:r>
    </w:p>
    <w:p>
      <w:pPr>
        <w:pStyle w:val="Heading2"/>
      </w:pPr>
      <w:r>
        <w:t xml:space="preserve">What a man-day means here</w:t>
      </w:r>
    </w:p>
    <w:p>
      <w:pPr>
        <w:spacing w:after="120" w:before="0"/>
      </w:pPr>
      <w:r>
        <w:rPr>
          <w:b w:val="false"/>
          <w:bCs w:val="false"/>
          <w:i w:val="false"/>
          <w:iCs w:val="false"/>
          <w:color w:val="2B2F36"/>
          <w:sz w:val="21"/>
          <w:szCs w:val="21"/>
        </w:rPr>
        <w:t xml:space="preserve">A man-day is one person-day (~8 h) of human engineering effort. Because Claude Opus 4.8 writes the code, that day is spent specifying the change, directing the model, reviewing and correcting what it generates, wiring it into the existing host, testing, and iterating with the client — not hand-typing the bulk of the code. The estimate assumes one engineer fluent in the host stack (.NET Core 3.1 / Angular 14 / SQL Server 2014) and skilled at driving Opus 4.8.</w:t>
      </w:r>
    </w:p>
    <w:p>
      <w:pPr>
        <w:pStyle w:val="Heading2"/>
      </w:pPr>
      <w:r>
        <w:t xml:space="preserve">How each figure is built</w:t>
      </w:r>
    </w:p>
    <w:p>
      <w:pPr>
        <w:spacing w:after="120" w:before="0"/>
      </w:pPr>
      <w:r>
        <w:rPr>
          <w:b w:val="false"/>
          <w:bCs w:val="false"/>
          <w:i w:val="false"/>
          <w:iCs w:val="false"/>
          <w:color w:val="2B2F36"/>
          <w:sz w:val="21"/>
          <w:szCs w:val="21"/>
        </w:rPr>
        <w:t xml:space="preserve">Every build item is sized on the project estimation guide’s complexity tiers (which sum backend, database, ERP UI, PWA UI and test effort). That yields a traditional human figure. An Opus-4.8 acceleration factor is then applied per tier — larger for boilerplate (CRUD), smaller for the host-integration and engine work where human review and debugging dominate: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00"/>
        <w:gridCol w:w="4500"/>
        <w:gridCol w:w="1320"/>
        <w:gridCol w:w="1320"/>
        <w:gridCol w:w="1320"/>
      </w:tblGrid>
      <w:tr>
        <w:trPr>
          <w:tblHeader/>
        </w:trPr>
        <w:tc>
          <w:tcPr>
            <w:tcW w:type="dxa" w:w="90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4500"/>
            <w:shd w:fill="EAF2FB" w:val="clear"/>
            <w:tcMar>
              <w:top w:type="dxa" w:w="60"/>
              <w:left w:type="dxa" w:w="110"/>
              <w:bottom w:type="dxa" w:w="60"/>
              <w:right w:type="dxa" w:w="110"/>
            </w:tcMar>
          </w:tcPr>
          <w:p>
            <w:pPr>
              <w:jc w:val="left"/>
            </w:pPr>
            <w:r>
              <w:rPr>
                <w:b/>
                <w:bCs/>
                <w:color w:val="1559B3"/>
                <w:sz w:val="20"/>
                <w:szCs w:val="20"/>
              </w:rPr>
              <w:t xml:space="preserve">Profile</w:t>
            </w:r>
          </w:p>
        </w:tc>
        <w:tc>
          <w:tcPr>
            <w:tcW w:type="dxa" w:w="132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320"/>
            <w:shd w:fill="EAF2FB" w:val="clear"/>
            <w:tcMar>
              <w:top w:type="dxa" w:w="60"/>
              <w:left w:type="dxa" w:w="110"/>
              <w:bottom w:type="dxa" w:w="60"/>
              <w:right w:type="dxa" w:w="110"/>
            </w:tcMar>
          </w:tcPr>
          <w:p>
            <w:pPr>
              <w:jc w:val="right"/>
            </w:pPr>
            <w:r>
              <w:rPr>
                <w:b/>
                <w:bCs/>
                <w:color w:val="1559B3"/>
                <w:sz w:val="20"/>
                <w:szCs w:val="20"/>
              </w:rPr>
              <w:t xml:space="preserve">× Opus</w:t>
            </w:r>
          </w:p>
        </w:tc>
        <w:tc>
          <w:tcPr>
            <w:tcW w:type="dxa" w:w="132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S</w:t>
            </w:r>
          </w:p>
        </w:tc>
        <w:tc>
          <w:tcPr>
            <w:tcW w:type="dxa" w:w="4500"/>
            <w:tcMar>
              <w:top w:type="dxa" w:w="60"/>
              <w:left w:type="dxa" w:w="110"/>
              <w:bottom w:type="dxa" w:w="60"/>
              <w:right w:type="dxa" w:w="110"/>
            </w:tcMar>
          </w:tcPr>
          <w:p>
            <w:pPr>
              <w:jc w:val="left"/>
            </w:pPr>
            <w:r>
              <w:rPr>
                <w:b w:val="false"/>
                <w:bCs w:val="false"/>
                <w:color w:val="2B2F36"/>
                <w:sz w:val="20"/>
                <w:szCs w:val="20"/>
              </w:rPr>
              <w:t xml:space="preserve">CRUD master over the generic base service</w:t>
            </w:r>
          </w:p>
        </w:tc>
        <w:tc>
          <w:tcPr>
            <w:tcW w:type="dxa" w:w="1320"/>
            <w:tcMar>
              <w:top w:type="dxa" w:w="60"/>
              <w:left w:type="dxa" w:w="110"/>
              <w:bottom w:type="dxa" w:w="60"/>
              <w:right w:type="dxa" w:w="110"/>
            </w:tcMar>
          </w:tcPr>
          <w:p>
            <w:pPr>
              <w:jc w:val="right"/>
            </w:pPr>
            <w:r>
              <w:rPr>
                <w:b w:val="false"/>
                <w:bCs w:val="false"/>
                <w:color w:val="2B2F36"/>
                <w:sz w:val="20"/>
                <w:szCs w:val="20"/>
              </w:rPr>
              <w:t xml:space="preserve">4</w:t>
            </w:r>
          </w:p>
        </w:tc>
        <w:tc>
          <w:tcPr>
            <w:tcW w:type="dxa" w:w="1320"/>
            <w:tcMar>
              <w:top w:type="dxa" w:w="60"/>
              <w:left w:type="dxa" w:w="110"/>
              <w:bottom w:type="dxa" w:w="60"/>
              <w:right w:type="dxa" w:w="110"/>
            </w:tcMar>
          </w:tcPr>
          <w:p>
            <w:pPr>
              <w:jc w:val="right"/>
            </w:pPr>
            <w:r>
              <w:rPr>
                <w:b w:val="false"/>
                <w:bCs w:val="false"/>
                <w:color w:val="2B2F36"/>
                <w:sz w:val="20"/>
                <w:szCs w:val="20"/>
              </w:rPr>
              <w:t xml:space="preserve">0.30</w:t>
            </w:r>
          </w:p>
        </w:tc>
        <w:tc>
          <w:tcPr>
            <w:tcW w:type="dxa" w:w="1320"/>
            <w:tcMar>
              <w:top w:type="dxa" w:w="60"/>
              <w:left w:type="dxa" w:w="110"/>
              <w:bottom w:type="dxa" w:w="60"/>
              <w:right w:type="dxa" w:w="110"/>
            </w:tcMar>
          </w:tcPr>
          <w:p>
            <w:pPr>
              <w:jc w:val="right"/>
            </w:pPr>
            <w:r>
              <w:rPr>
                <w:b w:val="false"/>
                <w:bCs w:val="false"/>
                <w:color w:val="2B2F36"/>
                <w:sz w:val="20"/>
                <w:szCs w:val="20"/>
              </w:rPr>
              <w:t xml:space="preserve">1.0</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S–M</w:t>
            </w:r>
          </w:p>
        </w:tc>
        <w:tc>
          <w:tcPr>
            <w:tcW w:type="dxa" w:w="4500"/>
            <w:tcMar>
              <w:top w:type="dxa" w:w="60"/>
              <w:left w:type="dxa" w:w="110"/>
              <w:bottom w:type="dxa" w:w="60"/>
              <w:right w:type="dxa" w:w="110"/>
            </w:tcMar>
          </w:tcPr>
          <w:p>
            <w:pPr>
              <w:jc w:val="left"/>
            </w:pPr>
            <w:r>
              <w:rPr>
                <w:b w:val="false"/>
                <w:bCs w:val="false"/>
                <w:color w:val="2B2F36"/>
                <w:sz w:val="20"/>
                <w:szCs w:val="20"/>
              </w:rPr>
              <w:t xml:space="preserve">small CRUD with a little logic</w:t>
            </w:r>
          </w:p>
        </w:tc>
        <w:tc>
          <w:tcPr>
            <w:tcW w:type="dxa" w:w="1320"/>
            <w:tcMar>
              <w:top w:type="dxa" w:w="60"/>
              <w:left w:type="dxa" w:w="110"/>
              <w:bottom w:type="dxa" w:w="60"/>
              <w:right w:type="dxa" w:w="110"/>
            </w:tcMar>
          </w:tcPr>
          <w:p>
            <w:pPr>
              <w:jc w:val="right"/>
            </w:pPr>
            <w:r>
              <w:rPr>
                <w:b w:val="false"/>
                <w:bCs w:val="false"/>
                <w:color w:val="2B2F36"/>
                <w:sz w:val="20"/>
                <w:szCs w:val="20"/>
              </w:rPr>
              <w:t xml:space="preserve">6.5</w:t>
            </w:r>
          </w:p>
        </w:tc>
        <w:tc>
          <w:tcPr>
            <w:tcW w:type="dxa" w:w="1320"/>
            <w:tcMar>
              <w:top w:type="dxa" w:w="60"/>
              <w:left w:type="dxa" w:w="110"/>
              <w:bottom w:type="dxa" w:w="60"/>
              <w:right w:type="dxa" w:w="110"/>
            </w:tcMar>
          </w:tcPr>
          <w:p>
            <w:pPr>
              <w:jc w:val="right"/>
            </w:pPr>
            <w:r>
              <w:rPr>
                <w:b w:val="false"/>
                <w:bCs w:val="false"/>
                <w:color w:val="2B2F36"/>
                <w:sz w:val="20"/>
                <w:szCs w:val="20"/>
              </w:rPr>
              <w:t xml:space="preserve">0.33</w:t>
            </w:r>
          </w:p>
        </w:tc>
        <w:tc>
          <w:tcPr>
            <w:tcW w:type="dxa" w:w="1320"/>
            <w:tcMar>
              <w:top w:type="dxa" w:w="60"/>
              <w:left w:type="dxa" w:w="110"/>
              <w:bottom w:type="dxa" w:w="60"/>
              <w:right w:type="dxa" w:w="110"/>
            </w:tcMar>
          </w:tcPr>
          <w:p>
            <w:pPr>
              <w:jc w:val="right"/>
            </w:pPr>
            <w:r>
              <w:rPr>
                <w:b w:val="false"/>
                <w:bCs w:val="false"/>
                <w:color w:val="2B2F36"/>
                <w:sz w:val="20"/>
                <w:szCs w:val="20"/>
              </w:rPr>
              <w:t xml:space="preserve">2.0</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M</w:t>
            </w:r>
          </w:p>
        </w:tc>
        <w:tc>
          <w:tcPr>
            <w:tcW w:type="dxa" w:w="4500"/>
            <w:tcMar>
              <w:top w:type="dxa" w:w="60"/>
              <w:left w:type="dxa" w:w="110"/>
              <w:bottom w:type="dxa" w:w="60"/>
              <w:right w:type="dxa" w:w="110"/>
            </w:tcMar>
          </w:tcPr>
          <w:p>
            <w:pPr>
              <w:jc w:val="left"/>
            </w:pPr>
            <w:r>
              <w:rPr>
                <w:b w:val="false"/>
                <w:bCs w:val="false"/>
                <w:color w:val="2B2F36"/>
                <w:sz w:val="20"/>
                <w:szCs w:val="20"/>
              </w:rPr>
              <w:t xml:space="preserve">CRUD + non-trivial rules / one guard</w:t>
            </w:r>
          </w:p>
        </w:tc>
        <w:tc>
          <w:tcPr>
            <w:tcW w:type="dxa" w:w="1320"/>
            <w:tcMar>
              <w:top w:type="dxa" w:w="60"/>
              <w:left w:type="dxa" w:w="110"/>
              <w:bottom w:type="dxa" w:w="60"/>
              <w:right w:type="dxa" w:w="110"/>
            </w:tcMar>
          </w:tcPr>
          <w:p>
            <w:pPr>
              <w:jc w:val="right"/>
            </w:pPr>
            <w:r>
              <w:rPr>
                <w:b w:val="false"/>
                <w:bCs w:val="false"/>
                <w:color w:val="2B2F36"/>
                <w:sz w:val="20"/>
                <w:szCs w:val="20"/>
              </w:rPr>
              <w:t xml:space="preserve">9</w:t>
            </w:r>
          </w:p>
        </w:tc>
        <w:tc>
          <w:tcPr>
            <w:tcW w:type="dxa" w:w="1320"/>
            <w:tcMar>
              <w:top w:type="dxa" w:w="60"/>
              <w:left w:type="dxa" w:w="110"/>
              <w:bottom w:type="dxa" w:w="60"/>
              <w:right w:type="dxa" w:w="110"/>
            </w:tcMar>
          </w:tcPr>
          <w:p>
            <w:pPr>
              <w:jc w:val="right"/>
            </w:pPr>
            <w:r>
              <w:rPr>
                <w:b w:val="false"/>
                <w:bCs w:val="false"/>
                <w:color w:val="2B2F36"/>
                <w:sz w:val="20"/>
                <w:szCs w:val="20"/>
              </w:rPr>
              <w:t xml:space="preserve">0.35</w:t>
            </w:r>
          </w:p>
        </w:tc>
        <w:tc>
          <w:tcPr>
            <w:tcW w:type="dxa" w:w="1320"/>
            <w:tcMar>
              <w:top w:type="dxa" w:w="60"/>
              <w:left w:type="dxa" w:w="110"/>
              <w:bottom w:type="dxa" w:w="60"/>
              <w:right w:type="dxa" w:w="110"/>
            </w:tcMar>
          </w:tcPr>
          <w:p>
            <w:pPr>
              <w:jc w:val="right"/>
            </w:pPr>
            <w:r>
              <w:rPr>
                <w:b w:val="false"/>
                <w:bCs w:val="false"/>
                <w:color w:val="2B2F36"/>
                <w:sz w:val="20"/>
                <w:szCs w:val="20"/>
              </w:rPr>
              <w:t xml:space="preserve">3.0</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M–L</w:t>
            </w:r>
          </w:p>
        </w:tc>
        <w:tc>
          <w:tcPr>
            <w:tcW w:type="dxa" w:w="4500"/>
            <w:tcMar>
              <w:top w:type="dxa" w:w="60"/>
              <w:left w:type="dxa" w:w="110"/>
              <w:bottom w:type="dxa" w:w="60"/>
              <w:right w:type="dxa" w:w="110"/>
            </w:tcMar>
          </w:tcPr>
          <w:p>
            <w:pPr>
              <w:jc w:val="left"/>
            </w:pPr>
            <w:r>
              <w:rPr>
                <w:b w:val="false"/>
                <w:bCs w:val="false"/>
                <w:color w:val="2B2F36"/>
                <w:sz w:val="20"/>
                <w:szCs w:val="20"/>
              </w:rPr>
              <w:t xml:space="preserve">multi-step, some cross-cutting calls</w:t>
            </w:r>
          </w:p>
        </w:tc>
        <w:tc>
          <w:tcPr>
            <w:tcW w:type="dxa" w:w="1320"/>
            <w:tcMar>
              <w:top w:type="dxa" w:w="60"/>
              <w:left w:type="dxa" w:w="110"/>
              <w:bottom w:type="dxa" w:w="60"/>
              <w:right w:type="dxa" w:w="110"/>
            </w:tcMar>
          </w:tcPr>
          <w:p>
            <w:pPr>
              <w:jc w:val="right"/>
            </w:pPr>
            <w:r>
              <w:rPr>
                <w:b w:val="false"/>
                <w:bCs w:val="false"/>
                <w:color w:val="2B2F36"/>
                <w:sz w:val="20"/>
                <w:szCs w:val="20"/>
              </w:rPr>
              <w:t xml:space="preserve">13</w:t>
            </w:r>
          </w:p>
        </w:tc>
        <w:tc>
          <w:tcPr>
            <w:tcW w:type="dxa" w:w="1320"/>
            <w:tcMar>
              <w:top w:type="dxa" w:w="60"/>
              <w:left w:type="dxa" w:w="110"/>
              <w:bottom w:type="dxa" w:w="60"/>
              <w:right w:type="dxa" w:w="110"/>
            </w:tcMar>
          </w:tcPr>
          <w:p>
            <w:pPr>
              <w:jc w:val="right"/>
            </w:pPr>
            <w:r>
              <w:rPr>
                <w:b w:val="false"/>
                <w:bCs w:val="false"/>
                <w:color w:val="2B2F36"/>
                <w:sz w:val="20"/>
                <w:szCs w:val="20"/>
              </w:rPr>
              <w:t xml:space="preserve">0.38</w:t>
            </w:r>
          </w:p>
        </w:tc>
        <w:tc>
          <w:tcPr>
            <w:tcW w:type="dxa" w:w="1320"/>
            <w:tcMar>
              <w:top w:type="dxa" w:w="60"/>
              <w:left w:type="dxa" w:w="110"/>
              <w:bottom w:type="dxa" w:w="60"/>
              <w:right w:type="dxa" w:w="110"/>
            </w:tcMar>
          </w:tcPr>
          <w:p>
            <w:pPr>
              <w:jc w:val="right"/>
            </w:pPr>
            <w:r>
              <w:rPr>
                <w:b w:val="false"/>
                <w:bCs w:val="false"/>
                <w:color w:val="2B2F36"/>
                <w:sz w:val="20"/>
                <w:szCs w:val="20"/>
              </w:rPr>
              <w:t xml:space="preserve">5.0</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L</w:t>
            </w:r>
          </w:p>
        </w:tc>
        <w:tc>
          <w:tcPr>
            <w:tcW w:type="dxa" w:w="4500"/>
            <w:tcMar>
              <w:top w:type="dxa" w:w="60"/>
              <w:left w:type="dxa" w:w="110"/>
              <w:bottom w:type="dxa" w:w="60"/>
              <w:right w:type="dxa" w:w="110"/>
            </w:tcMar>
          </w:tcPr>
          <w:p>
            <w:pPr>
              <w:jc w:val="left"/>
            </w:pPr>
            <w:r>
              <w:rPr>
                <w:b w:val="false"/>
                <w:bCs w:val="false"/>
                <w:color w:val="2B2F36"/>
                <w:sz w:val="20"/>
                <w:szCs w:val="20"/>
              </w:rPr>
              <w:t xml:space="preserve">multi-step dual-channel flow, 3+ cross-cutting calls</w:t>
            </w:r>
          </w:p>
        </w:tc>
        <w:tc>
          <w:tcPr>
            <w:tcW w:type="dxa" w:w="1320"/>
            <w:tcMar>
              <w:top w:type="dxa" w:w="60"/>
              <w:left w:type="dxa" w:w="110"/>
              <w:bottom w:type="dxa" w:w="60"/>
              <w:right w:type="dxa" w:w="110"/>
            </w:tcMar>
          </w:tcPr>
          <w:p>
            <w:pPr>
              <w:jc w:val="right"/>
            </w:pPr>
            <w:r>
              <w:rPr>
                <w:b w:val="false"/>
                <w:bCs w:val="false"/>
                <w:color w:val="2B2F36"/>
                <w:sz w:val="20"/>
                <w:szCs w:val="20"/>
              </w:rPr>
              <w:t xml:space="preserve">17</w:t>
            </w:r>
          </w:p>
        </w:tc>
        <w:tc>
          <w:tcPr>
            <w:tcW w:type="dxa" w:w="1320"/>
            <w:tcMar>
              <w:top w:type="dxa" w:w="60"/>
              <w:left w:type="dxa" w:w="110"/>
              <w:bottom w:type="dxa" w:w="60"/>
              <w:right w:type="dxa" w:w="110"/>
            </w:tcMar>
          </w:tcPr>
          <w:p>
            <w:pPr>
              <w:jc w:val="right"/>
            </w:pPr>
            <w:r>
              <w:rPr>
                <w:b w:val="false"/>
                <w:bCs w:val="false"/>
                <w:color w:val="2B2F36"/>
                <w:sz w:val="20"/>
                <w:szCs w:val="20"/>
              </w:rPr>
              <w:t xml:space="preserve">0.40</w:t>
            </w:r>
          </w:p>
        </w:tc>
        <w:tc>
          <w:tcPr>
            <w:tcW w:type="dxa" w:w="1320"/>
            <w:tcMar>
              <w:top w:type="dxa" w:w="60"/>
              <w:left w:type="dxa" w:w="110"/>
              <w:bottom w:type="dxa" w:w="60"/>
              <w:right w:type="dxa" w:w="110"/>
            </w:tcMar>
          </w:tcPr>
          <w:p>
            <w:pPr>
              <w:jc w:val="right"/>
            </w:pPr>
            <w:r>
              <w:rPr>
                <w:b w:val="false"/>
                <w:bCs w:val="false"/>
                <w:color w:val="2B2F36"/>
                <w:sz w:val="20"/>
                <w:szCs w:val="20"/>
              </w:rPr>
              <w:t xml:space="preserve">7.0</w:t>
            </w:r>
          </w:p>
        </w:tc>
      </w:tr>
      <w:tr>
        <w:tc>
          <w:tcPr>
            <w:tcW w:type="dxa" w:w="900"/>
            <w:tcMar>
              <w:top w:type="dxa" w:w="60"/>
              <w:left w:type="dxa" w:w="110"/>
              <w:bottom w:type="dxa" w:w="60"/>
              <w:right w:type="dxa" w:w="110"/>
            </w:tcMar>
          </w:tcPr>
          <w:p>
            <w:pPr>
              <w:jc w:val="center"/>
            </w:pPr>
            <w:r>
              <w:rPr>
                <w:b w:val="false"/>
                <w:bCs w:val="false"/>
                <w:color w:val="2B2F36"/>
                <w:sz w:val="20"/>
                <w:szCs w:val="20"/>
              </w:rPr>
              <w:t xml:space="preserve">XL</w:t>
            </w:r>
          </w:p>
        </w:tc>
        <w:tc>
          <w:tcPr>
            <w:tcW w:type="dxa" w:w="4500"/>
            <w:tcMar>
              <w:top w:type="dxa" w:w="60"/>
              <w:left w:type="dxa" w:w="110"/>
              <w:bottom w:type="dxa" w:w="60"/>
              <w:right w:type="dxa" w:w="110"/>
            </w:tcMar>
          </w:tcPr>
          <w:p>
            <w:pPr>
              <w:jc w:val="left"/>
            </w:pPr>
            <w:r>
              <w:rPr>
                <w:b w:val="false"/>
                <w:bCs w:val="false"/>
                <w:color w:val="2B2F36"/>
                <w:sz w:val="20"/>
                <w:szCs w:val="20"/>
              </w:rPr>
              <w:t xml:space="preserve">engine / orchestration, heavy edge cases</w:t>
            </w:r>
          </w:p>
        </w:tc>
        <w:tc>
          <w:tcPr>
            <w:tcW w:type="dxa" w:w="1320"/>
            <w:tcMar>
              <w:top w:type="dxa" w:w="60"/>
              <w:left w:type="dxa" w:w="110"/>
              <w:bottom w:type="dxa" w:w="60"/>
              <w:right w:type="dxa" w:w="110"/>
            </w:tcMar>
          </w:tcPr>
          <w:p>
            <w:pPr>
              <w:jc w:val="right"/>
            </w:pPr>
            <w:r>
              <w:rPr>
                <w:b w:val="false"/>
                <w:bCs w:val="false"/>
                <w:color w:val="2B2F36"/>
                <w:sz w:val="20"/>
                <w:szCs w:val="20"/>
              </w:rPr>
              <w:t xml:space="preserve">28</w:t>
            </w:r>
          </w:p>
        </w:tc>
        <w:tc>
          <w:tcPr>
            <w:tcW w:type="dxa" w:w="1320"/>
            <w:tcMar>
              <w:top w:type="dxa" w:w="60"/>
              <w:left w:type="dxa" w:w="110"/>
              <w:bottom w:type="dxa" w:w="60"/>
              <w:right w:type="dxa" w:w="110"/>
            </w:tcMar>
          </w:tcPr>
          <w:p>
            <w:pPr>
              <w:jc w:val="right"/>
            </w:pPr>
            <w:r>
              <w:rPr>
                <w:b w:val="false"/>
                <w:bCs w:val="false"/>
                <w:color w:val="2B2F36"/>
                <w:sz w:val="20"/>
                <w:szCs w:val="20"/>
              </w:rPr>
              <w:t xml:space="preserve">0.45</w:t>
            </w:r>
          </w:p>
        </w:tc>
        <w:tc>
          <w:tcPr>
            <w:tcW w:type="dxa" w:w="1320"/>
            <w:tcMar>
              <w:top w:type="dxa" w:w="60"/>
              <w:left w:type="dxa" w:w="110"/>
              <w:bottom w:type="dxa" w:w="60"/>
              <w:right w:type="dxa" w:w="110"/>
            </w:tcMar>
          </w:tcPr>
          <w:p>
            <w:pPr>
              <w:jc w:val="right"/>
            </w:pPr>
            <w:r>
              <w:rPr>
                <w:b w:val="false"/>
                <w:bCs w:val="false"/>
                <w:color w:val="2B2F36"/>
                <w:sz w:val="20"/>
                <w:szCs w:val="20"/>
              </w:rPr>
              <w:t xml:space="preserve">12.5</w:t>
            </w:r>
          </w:p>
        </w:tc>
      </w:tr>
    </w:tbl>
    <w:p>
      <w:pPr>
        <w:spacing w:after="120" w:before="60"/>
      </w:pPr>
      <w:r>
        <w:rPr>
          <w:b w:val="false"/>
          <w:bCs w:val="false"/>
          <w:i/>
          <w:iCs/>
          <w:color w:val="8A929C"/>
          <w:sz w:val="18"/>
          <w:szCs w:val="18"/>
        </w:rPr>
        <w:t xml:space="preserve">Tier baselines are calibrated against the project’s estimation guide and the completed mockups as a reference class.</w:t>
      </w:r>
    </w:p>
    <w:p>
      <w:pPr>
        <w:pStyle w:val="Heading2"/>
      </w:pPr>
      <w:r>
        <w:t xml:space="preserve">What is included</w:t>
      </w:r>
    </w:p>
    <w:p>
      <w:pPr>
        <w:pStyle w:val="ListParagraph"/>
        <w:numPr>
          <w:ilvl w:val="0"/>
          <w:numId w:val="2"/>
        </w:numPr>
        <w:spacing w:after="60"/>
      </w:pPr>
      <w:r>
        <w:rPr>
          <w:b w:val="false"/>
          <w:bCs w:val="false"/>
          <w:i w:val="false"/>
          <w:iCs w:val="false"/>
          <w:color w:val="2B2F36"/>
          <w:sz w:val="21"/>
          <w:szCs w:val="21"/>
        </w:rPr>
        <w:t xml:space="preserve">Backend domain + services + APIs, database schema &amp; migrations (SQL Server 2014), ERP screens (Angular/NgRx/Kendo), PWA scanner screens, and per-item tests.</w:t>
      </w:r>
    </w:p>
    <w:p>
      <w:pPr>
        <w:pStyle w:val="ListParagraph"/>
        <w:numPr>
          <w:ilvl w:val="0"/>
          <w:numId w:val="2"/>
        </w:numPr>
        <w:spacing w:after="60"/>
      </w:pPr>
      <w:r>
        <w:rPr>
          <w:b w:val="false"/>
          <w:bCs w:val="false"/>
          <w:i w:val="false"/>
          <w:iCs w:val="false"/>
          <w:color w:val="2B2F36"/>
          <w:sz w:val="21"/>
          <w:szCs w:val="21"/>
        </w:rPr>
        <w:t xml:space="preserve">Integration into the existing host — Swagger client regeneration, gateway routing, DI wiring, identity/role reuse.</w:t>
      </w:r>
    </w:p>
    <w:p>
      <w:pPr>
        <w:pStyle w:val="ListParagraph"/>
        <w:numPr>
          <w:ilvl w:val="0"/>
          <w:numId w:val="2"/>
        </w:numPr>
        <w:spacing w:after="60"/>
      </w:pPr>
      <w:r>
        <w:rPr>
          <w:b w:val="false"/>
          <w:bCs w:val="false"/>
          <w:i w:val="false"/>
          <w:iCs w:val="false"/>
          <w:color w:val="2B2F36"/>
          <w:sz w:val="21"/>
          <w:szCs w:val="21"/>
        </w:rPr>
        <w:t xml:space="preserve">Delivery overhead — project management, system &amp; integration testing, client UAT support, environment/CI-CD, SQL migration runbook and release.</w:t>
      </w:r>
    </w:p>
    <w:p>
      <w:pPr>
        <w:pStyle w:val="ListParagraph"/>
        <w:numPr>
          <w:ilvl w:val="0"/>
          <w:numId w:val="2"/>
        </w:numPr>
        <w:spacing w:after="60"/>
      </w:pPr>
      <w:r>
        <w:rPr>
          <w:b w:val="false"/>
          <w:bCs w:val="false"/>
          <w:i w:val="false"/>
          <w:iCs w:val="false"/>
          <w:color w:val="2B2F36"/>
          <w:sz w:val="21"/>
          <w:szCs w:val="21"/>
        </w:rPr>
        <w:t xml:space="preserve">A risk contingency keyed to the brownfield unknowns (SQL 2014 child-table modelling, the shared Auth module, .NET 3.1 / Angular 14 tooling, the open decisions).</w:t>
      </w:r>
    </w:p>
    <w:p>
      <w:pPr>
        <w:pStyle w:val="Heading2"/>
      </w:pPr>
      <w:r>
        <w:t xml:space="preserve">What is excluded (price separately)</w:t>
      </w:r>
    </w:p>
    <w:p>
      <w:pPr>
        <w:pStyle w:val="ListParagraph"/>
        <w:numPr>
          <w:ilvl w:val="0"/>
          <w:numId w:val="2"/>
        </w:numPr>
        <w:spacing w:after="60"/>
      </w:pPr>
      <w:r>
        <w:rPr>
          <w:b w:val="false"/>
          <w:bCs w:val="false"/>
          <w:i w:val="false"/>
          <w:iCs w:val="false"/>
          <w:color w:val="2B2F36"/>
          <w:sz w:val="21"/>
          <w:szCs w:val="21"/>
        </w:rPr>
        <w:t xml:space="preserve">Client portal and billing (out of v1 by decision).</w:t>
      </w:r>
    </w:p>
    <w:p>
      <w:pPr>
        <w:pStyle w:val="ListParagraph"/>
        <w:numPr>
          <w:ilvl w:val="0"/>
          <w:numId w:val="2"/>
        </w:numPr>
        <w:spacing w:after="60"/>
      </w:pPr>
      <w:r>
        <w:rPr>
          <w:b w:val="false"/>
          <w:bCs w:val="false"/>
          <w:i w:val="false"/>
          <w:iCs w:val="false"/>
          <w:color w:val="2B2F36"/>
          <w:sz w:val="21"/>
          <w:szCs w:val="21"/>
        </w:rPr>
        <w:t xml:space="preserve">Label-printer / hardware integration and procurement (the mock prints client-side; production needs a print service).</w:t>
      </w:r>
    </w:p>
    <w:p>
      <w:pPr>
        <w:pStyle w:val="ListParagraph"/>
        <w:numPr>
          <w:ilvl w:val="0"/>
          <w:numId w:val="2"/>
        </w:numPr>
        <w:spacing w:after="60"/>
      </w:pPr>
      <w:r>
        <w:rPr>
          <w:b w:val="false"/>
          <w:bCs w:val="false"/>
          <w:i w:val="false"/>
          <w:iCs w:val="false"/>
          <w:color w:val="2B2F36"/>
          <w:sz w:val="21"/>
          <w:szCs w:val="21"/>
        </w:rPr>
        <w:t xml:space="preserve">Infrastructure &amp; hosting, data migration from any legacy WMS, end-user training &amp; change management, and post-go-live support / SLA.</w:t>
      </w:r>
    </w:p>
    <w:p>
      <w:pPr>
        <w:pStyle w:val="Heading2"/>
      </w:pPr>
      <w:r>
        <w:t xml:space="preserve">Key assumptions</w:t>
      </w:r>
    </w:p>
    <w:p>
      <w:pPr>
        <w:pStyle w:val="ListParagraph"/>
        <w:numPr>
          <w:ilvl w:val="0"/>
          <w:numId w:val="2"/>
        </w:numPr>
        <w:spacing w:after="60"/>
      </w:pPr>
      <w:r>
        <w:rPr>
          <w:b w:val="false"/>
          <w:bCs w:val="false"/>
          <w:i w:val="false"/>
          <w:iCs w:val="false"/>
          <w:color w:val="2B2F36"/>
          <w:sz w:val="21"/>
          <w:szCs w:val="21"/>
        </w:rPr>
        <w:t xml:space="preserve">The functional scope and UX are locked — the Phase-2 mockups and the docs/ specs act as the specification, which removes most analysis/design effort (already reflected in the factors).</w:t>
      </w:r>
    </w:p>
    <w:p>
      <w:pPr>
        <w:pStyle w:val="ListParagraph"/>
        <w:numPr>
          <w:ilvl w:val="0"/>
          <w:numId w:val="2"/>
        </w:numPr>
        <w:spacing w:after="60"/>
      </w:pPr>
      <w:r>
        <w:rPr>
          <w:b w:val="false"/>
          <w:bCs w:val="false"/>
          <w:i w:val="false"/>
          <w:iCs w:val="false"/>
          <w:color w:val="2B2F36"/>
          <w:sz w:val="21"/>
          <w:szCs w:val="21"/>
        </w:rPr>
        <w:t xml:space="preserve">Brownfield build: a new WMS module inside the existing ERP, reusing identity, data-access, gateway and UI kit.</w:t>
      </w:r>
    </w:p>
    <w:p>
      <w:pPr>
        <w:pStyle w:val="ListParagraph"/>
        <w:numPr>
          <w:ilvl w:val="0"/>
          <w:numId w:val="2"/>
        </w:numPr>
        <w:spacing w:after="60"/>
      </w:pPr>
      <w:r>
        <w:rPr>
          <w:b w:val="false"/>
          <w:bCs w:val="false"/>
          <w:i w:val="false"/>
          <w:iCs w:val="false"/>
          <w:color w:val="2B2F36"/>
          <w:sz w:val="21"/>
          <w:szCs w:val="21"/>
        </w:rPr>
        <w:t xml:space="preserve">Online-only PWA for v1. Offline scanning (decision #5) is the separate optional line.</w:t>
      </w:r>
    </w:p>
    <w:p>
      <w:pPr>
        <w:pStyle w:val="ListParagraph"/>
        <w:numPr>
          <w:ilvl w:val="0"/>
          <w:numId w:val="2"/>
        </w:numPr>
        <w:spacing w:after="60"/>
      </w:pPr>
      <w:r>
        <w:rPr>
          <w:b w:val="false"/>
          <w:bCs w:val="false"/>
          <w:i w:val="false"/>
          <w:iCs w:val="false"/>
          <w:color w:val="2B2F36"/>
          <w:sz w:val="21"/>
          <w:szCs w:val="21"/>
        </w:rPr>
        <w:t xml:space="preserve">Stay on the host runtimes (.NET Core 3.1 / Angular 14 / SQL Server 2014); EF migrations for schema; WMS-side tenant scoping.</w:t>
      </w:r>
    </w:p>
    <w:p>
      <w:pPr>
        <w:pStyle w:val="ListParagraph"/>
        <w:numPr>
          <w:ilvl w:val="0"/>
          <w:numId w:val="2"/>
        </w:numPr>
        <w:spacing w:after="60"/>
      </w:pPr>
      <w:r>
        <w:rPr>
          <w:b w:val="false"/>
          <w:bCs w:val="false"/>
          <w:i w:val="false"/>
          <w:iCs w:val="false"/>
          <w:color w:val="2B2F36"/>
          <w:sz w:val="21"/>
          <w:szCs w:val="21"/>
        </w:rPr>
        <w:t xml:space="preserve">One delivery team. Figures are human man-days, not elapsed calendar time (parallelism shortens the calendar, not the man-days).</w:t>
      </w:r>
    </w:p>
    <w:p>
      <w:pPr>
        <w:pStyle w:val="Heading1"/>
        <w:pageBreakBefore/>
      </w:pPr>
      <w:r>
        <w:t xml:space="preserve">3 · Detail by Phase &amp; Functionality</w:t>
      </w:r>
    </w:p>
    <w:p>
      <w:pPr>
        <w:spacing w:after="120" w:before="0"/>
      </w:pPr>
      <w:r>
        <w:rPr>
          <w:b w:val="false"/>
          <w:bCs w:val="false"/>
          <w:i w:val="false"/>
          <w:iCs w:val="false"/>
          <w:color w:val="5A6370"/>
          <w:sz w:val="20"/>
          <w:szCs w:val="20"/>
        </w:rPr>
        <w:t xml:space="preserve">One line per build item. "Delivers" names the function or page(s) produced. Traditional = hand-coded human days; Opus 4.8 = human-led days with the model writing the code.</w:t>
      </w:r>
    </w:p>
    <w:p>
      <w:pPr>
        <w:pStyle w:val="Heading2"/>
      </w:pPr>
      <w:r>
        <w:t xml:space="preserve">Phase 0 · Foundation / Kernel</w:t>
      </w:r>
    </w:p>
    <w:p>
      <w:pPr>
        <w:spacing w:after="80" w:before="0"/>
      </w:pPr>
      <w:r>
        <w:rPr>
          <w:b w:val="false"/>
          <w:bCs w:val="false"/>
          <w:i/>
          <w:iCs/>
          <w:color w:val="5A6370"/>
          <w:sz w:val="19"/>
          <w:szCs w:val="19"/>
        </w:rPr>
        <w:t xml:space="preserve">One-time enabling platform — module, schema, and the shared services every process reuses.</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P00-S01</w:t>
            </w:r>
          </w:p>
        </w:tc>
        <w:tc>
          <w:tcPr>
            <w:tcW w:type="dxa" w:w="5400"/>
            <w:tcMar>
              <w:top w:type="dxa" w:w="60"/>
              <w:left w:type="dxa" w:w="110"/>
              <w:bottom w:type="dxa" w:w="60"/>
              <w:right w:type="dxa" w:w="110"/>
            </w:tcMar>
          </w:tcPr>
          <w:p>
            <w:pPr>
              <w:jc w:val="left"/>
            </w:pPr>
            <w:r>
              <w:rPr>
                <w:b w:val="false"/>
                <w:bCs w:val="false"/>
                <w:color w:val="2B2F36"/>
                <w:sz w:val="20"/>
                <w:szCs w:val="20"/>
              </w:rPr>
              <w:t xml:space="preserve">Backend module skeleton (7 projects) + DI / gateway route / Swagger client pipeline; Angular ERP + PWA project shells &amp; routing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SQL Server 2014 schema foundation, EF DbContext, audit-ledger table, migrations + seed from the mock dataset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P00-S03</w:t>
            </w:r>
          </w:p>
        </w:tc>
        <w:tc>
          <w:tcPr>
            <w:tcW w:type="dxa" w:w="5400"/>
            <w:tcMar>
              <w:top w:type="dxa" w:w="60"/>
              <w:left w:type="dxa" w:w="110"/>
              <w:bottom w:type="dxa" w:w="60"/>
              <w:right w:type="dxa" w:w="110"/>
            </w:tcMar>
          </w:tcPr>
          <w:p>
            <w:pPr>
              <w:jc w:val="left"/>
            </w:pPr>
            <w:r>
              <w:rPr>
                <w:b w:val="false"/>
                <w:bCs w:val="false"/>
                <w:color w:val="2B2F36"/>
                <w:sz w:val="20"/>
                <w:szCs w:val="20"/>
              </w:rPr>
              <w:t xml:space="preserve">Tenant / site scoping service + WMS role/claim integration (touches the shared Auth module)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P00-S04</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Stock-ledger service — append-only transaction log, written in-transaction by every action</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P00-S05</w:t>
            </w:r>
          </w:p>
        </w:tc>
        <w:tc>
          <w:tcPr>
            <w:tcW w:type="dxa" w:w="5400"/>
            <w:tcMar>
              <w:top w:type="dxa" w:w="60"/>
              <w:left w:type="dxa" w:w="110"/>
              <w:bottom w:type="dxa" w:w="60"/>
              <w:right w:type="dxa" w:w="110"/>
            </w:tcMar>
          </w:tcPr>
          <w:p>
            <w:pPr>
              <w:jc w:val="left"/>
            </w:pPr>
            <w:r>
              <w:rPr>
                <w:b w:val="false"/>
                <w:bCs w:val="false"/>
                <w:color w:val="2B2F36"/>
                <w:sz w:val="20"/>
                <w:szCs w:val="20"/>
              </w:rPr>
              <w:t xml:space="preserve">Freeze service — the cross-screen frozen-scope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P00-S06</w:t>
            </w:r>
          </w:p>
        </w:tc>
        <w:tc>
          <w:tcPr>
            <w:tcW w:type="dxa" w:w="5400"/>
            <w:tcMar>
              <w:top w:type="dxa" w:w="60"/>
              <w:left w:type="dxa" w:w="110"/>
              <w:bottom w:type="dxa" w:w="60"/>
              <w:right w:type="dxa" w:w="110"/>
            </w:tcMar>
          </w:tcPr>
          <w:p>
            <w:pPr>
              <w:jc w:val="left"/>
            </w:pPr>
            <w:r>
              <w:rPr>
                <w:b w:val="false"/>
                <w:bCs w:val="false"/>
                <w:color w:val="2B2F36"/>
                <w:sz w:val="20"/>
                <w:szCs w:val="20"/>
              </w:rPr>
              <w:t xml:space="preserve">Capacity + segregation service — single source of truth for every bin write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P00-S07</w:t>
            </w:r>
          </w:p>
        </w:tc>
        <w:tc>
          <w:tcPr>
            <w:tcW w:type="dxa" w:w="5400"/>
            <w:tcMar>
              <w:top w:type="dxa" w:w="60"/>
              <w:left w:type="dxa" w:w="110"/>
              <w:bottom w:type="dxa" w:w="60"/>
              <w:right w:type="dxa" w:w="110"/>
            </w:tcMar>
          </w:tcPr>
          <w:p>
            <w:pPr>
              <w:jc w:val="left"/>
            </w:pPr>
            <w:r>
              <w:rPr>
                <w:b w:val="false"/>
                <w:bCs w:val="false"/>
                <w:color w:val="2B2F36"/>
                <w:sz w:val="20"/>
                <w:szCs w:val="20"/>
              </w:rPr>
              <w:t xml:space="preserve">Allocation engine core — FEFO / FIFO + reservation-aware availability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P00-S08</w:t>
            </w:r>
          </w:p>
        </w:tc>
        <w:tc>
          <w:tcPr>
            <w:tcW w:type="dxa" w:w="5400"/>
            <w:tcMar>
              <w:top w:type="dxa" w:w="60"/>
              <w:left w:type="dxa" w:w="110"/>
              <w:bottom w:type="dxa" w:w="60"/>
              <w:right w:type="dxa" w:w="110"/>
            </w:tcMar>
          </w:tcPr>
          <w:p>
            <w:pPr>
              <w:jc w:val="left"/>
            </w:pPr>
            <w:r>
              <w:rPr>
                <w:b w:val="false"/>
                <w:bCs w:val="false"/>
                <w:color w:val="2B2F36"/>
                <w:sz w:val="20"/>
                <w:szCs w:val="20"/>
              </w:rPr>
              <w:t xml:space="preserve">Reason-code service + approval / maker-checker framework</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P00-S09</w:t>
            </w:r>
          </w:p>
        </w:tc>
        <w:tc>
          <w:tcPr>
            <w:tcW w:type="dxa" w:w="5400"/>
            <w:tcMar>
              <w:top w:type="dxa" w:w="60"/>
              <w:left w:type="dxa" w:w="110"/>
              <w:bottom w:type="dxa" w:w="60"/>
              <w:right w:type="dxa" w:w="110"/>
            </w:tcMar>
          </w:tcPr>
          <w:p>
            <w:pPr>
              <w:jc w:val="left"/>
            </w:pPr>
            <w:r>
              <w:rPr>
                <w:b w:val="false"/>
                <w:bCs w:val="false"/>
                <w:color w:val="2B2F36"/>
                <w:sz w:val="20"/>
                <w:szCs w:val="20"/>
              </w:rPr>
              <w:t xml:space="preserve">Work-item assignment facet (My-tasks / claim) + tracking-flag (lot/expiry/serial) plumbing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P00-S10</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shell — scan engine (camera / ZXing / manual / list), service worker, shared models &amp; API client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0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122</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46</w:t>
            </w:r>
          </w:p>
        </w:tc>
      </w:tr>
    </w:tbl>
    <w:p>
      <w:pPr>
        <w:spacing w:after="20" w:before="0"/>
      </w:pPr>
      <w:r>
        <w:rPr>
          <w:b w:val="false"/>
          <w:bCs w:val="false"/>
          <w:i w:val="false"/>
          <w:iCs w:val="false"/>
          <w:color w:val="2B2F36"/>
          <w:sz w:val="6"/>
          <w:szCs w:val="6"/>
        </w:rPr>
        <w:t xml:space="preserve"/>
      </w:r>
    </w:p>
    <w:p>
      <w:pPr>
        <w:pStyle w:val="Heading2"/>
      </w:pPr>
      <w:r>
        <w:t xml:space="preserve">Phase 1 · Master Data</w:t>
      </w:r>
    </w:p>
    <w:p>
      <w:pPr>
        <w:spacing w:after="80" w:before="0"/>
      </w:pPr>
      <w:r>
        <w:rPr>
          <w:b w:val="false"/>
          <w:bCs w:val="false"/>
          <w:i/>
          <w:iCs/>
          <w:color w:val="5A6370"/>
          <w:sz w:val="19"/>
          <w:szCs w:val="19"/>
        </w:rPr>
        <w:t xml:space="preserve">Mostly the CRUD recipe over the Phase-0 base classes — highly parallel.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P01-S01</w:t>
            </w:r>
          </w:p>
        </w:tc>
        <w:tc>
          <w:tcPr>
            <w:tcW w:type="dxa" w:w="5400"/>
            <w:tcMar>
              <w:top w:type="dxa" w:w="60"/>
              <w:left w:type="dxa" w:w="110"/>
              <w:bottom w:type="dxa" w:w="60"/>
              <w:right w:type="dxa" w:w="110"/>
            </w:tcMar>
          </w:tcPr>
          <w:p>
            <w:pPr>
              <w:jc w:val="left"/>
            </w:pPr>
            <w:r>
              <w:rPr>
                <w:b w:val="false"/>
                <w:bCs w:val="false"/>
                <w:color w:val="2B2F36"/>
                <w:sz w:val="20"/>
                <w:szCs w:val="20"/>
              </w:rPr>
              <w:t xml:space="preserve">Clients (+ back-order policy), Suppliers, Carriers, Consignees</w:t>
            </w:r>
          </w:p>
        </w:tc>
        <w:tc>
          <w:tcPr>
            <w:tcW w:type="dxa" w:w="560"/>
            <w:tcMar>
              <w:top w:type="dxa" w:w="60"/>
              <w:left w:type="dxa" w:w="110"/>
              <w:bottom w:type="dxa" w:w="60"/>
              <w:right w:type="dxa" w:w="110"/>
            </w:tcMar>
          </w:tcPr>
          <w:p>
            <w:pPr>
              <w:jc w:val="center"/>
            </w:pPr>
            <w:r>
              <w:rPr>
                <w:b w:val="false"/>
                <w:bCs w:val="false"/>
                <w:color w:val="2B2F36"/>
                <w:sz w:val="20"/>
                <w:szCs w:val="20"/>
              </w:rPr>
              <w:t xml:space="preserve">S–M</w:t>
            </w:r>
          </w:p>
        </w:tc>
        <w:tc>
          <w:tcPr>
            <w:tcW w:type="dxa" w:w="1210"/>
            <w:tcMar>
              <w:top w:type="dxa" w:w="60"/>
              <w:left w:type="dxa" w:w="110"/>
              <w:bottom w:type="dxa" w:w="60"/>
              <w:right w:type="dxa" w:w="110"/>
            </w:tcMar>
          </w:tcPr>
          <w:p>
            <w:pPr>
              <w:jc w:val="right"/>
            </w:pPr>
            <w:r>
              <w:rPr>
                <w:b w:val="false"/>
                <w:bCs w:val="false"/>
                <w:color w:val="2B2F36"/>
                <w:sz w:val="20"/>
                <w:szCs w:val="20"/>
              </w:rPr>
              <w:t xml:space="preserve">6.5</w:t>
            </w:r>
          </w:p>
        </w:tc>
        <w:tc>
          <w:tcPr>
            <w:tcW w:type="dxa" w:w="1210"/>
            <w:tcMar>
              <w:top w:type="dxa" w:w="60"/>
              <w:left w:type="dxa" w:w="110"/>
              <w:bottom w:type="dxa" w:w="60"/>
              <w:right w:type="dxa" w:w="110"/>
            </w:tcMar>
          </w:tcPr>
          <w:p>
            <w:pPr>
              <w:jc w:val="right"/>
            </w:pPr>
            <w:r>
              <w:rPr>
                <w:b w:val="false"/>
                <w:bCs w:val="false"/>
                <w:color w:val="2B2F36"/>
                <w:sz w:val="20"/>
                <w:szCs w:val="20"/>
              </w:rPr>
              <w:t xml:space="preserve">2</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Sites (+ addressing levels, storage areas), Locations (+ capacity, area)</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P01-S03</w:t>
            </w:r>
          </w:p>
        </w:tc>
        <w:tc>
          <w:tcPr>
            <w:tcW w:type="dxa" w:w="5400"/>
            <w:tcMar>
              <w:top w:type="dxa" w:w="60"/>
              <w:left w:type="dxa" w:w="110"/>
              <w:bottom w:type="dxa" w:w="60"/>
              <w:right w:type="dxa" w:w="110"/>
            </w:tcMar>
          </w:tcPr>
          <w:p>
            <w:pPr>
              <w:jc w:val="left"/>
            </w:pPr>
            <w:r>
              <w:rPr>
                <w:b w:val="false"/>
                <w:bCs w:val="false"/>
                <w:color w:val="2B2F36"/>
                <w:sz w:val="20"/>
                <w:szCs w:val="20"/>
              </w:rPr>
              <w:t xml:space="preserve">Products (+ tracking flags, category, weight, preferred storage), Categories, UoM</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P01-S04</w:t>
            </w:r>
          </w:p>
        </w:tc>
        <w:tc>
          <w:tcPr>
            <w:tcW w:type="dxa" w:w="5400"/>
            <w:tcMar>
              <w:top w:type="dxa" w:w="60"/>
              <w:left w:type="dxa" w:w="110"/>
              <w:bottom w:type="dxa" w:w="60"/>
              <w:right w:type="dxa" w:w="110"/>
            </w:tcMar>
          </w:tcPr>
          <w:p>
            <w:pPr>
              <w:jc w:val="left"/>
            </w:pPr>
            <w:r>
              <w:rPr>
                <w:b w:val="false"/>
                <w:bCs w:val="false"/>
                <w:color w:val="2B2F36"/>
                <w:sz w:val="20"/>
                <w:szCs w:val="20"/>
              </w:rPr>
              <w:t xml:space="preserve">Packaging — shared templates + per-product packaging with per-level barcodes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P01-S05</w:t>
            </w:r>
          </w:p>
        </w:tc>
        <w:tc>
          <w:tcPr>
            <w:tcW w:type="dxa" w:w="5400"/>
            <w:tcMar>
              <w:top w:type="dxa" w:w="60"/>
              <w:left w:type="dxa" w:w="110"/>
              <w:bottom w:type="dxa" w:w="60"/>
              <w:right w:type="dxa" w:w="110"/>
            </w:tcMar>
          </w:tcPr>
          <w:p>
            <w:pPr>
              <w:jc w:val="left"/>
            </w:pPr>
            <w:r>
              <w:rPr>
                <w:b w:val="false"/>
                <w:bCs w:val="false"/>
                <w:color w:val="2B2F36"/>
                <w:sz w:val="20"/>
                <w:szCs w:val="20"/>
              </w:rPr>
              <w:t xml:space="preserve">Reason Codes master (all domains)</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1</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P01-S06</w:t>
            </w:r>
          </w:p>
        </w:tc>
        <w:tc>
          <w:tcPr>
            <w:tcW w:type="dxa" w:w="5400"/>
            <w:tcMar>
              <w:top w:type="dxa" w:w="60"/>
              <w:left w:type="dxa" w:w="110"/>
              <w:bottom w:type="dxa" w:w="60"/>
              <w:right w:type="dxa" w:w="110"/>
            </w:tcMar>
          </w:tcPr>
          <w:p>
            <w:pPr>
              <w:jc w:val="left"/>
            </w:pPr>
            <w:r>
              <w:rPr>
                <w:b w:val="false"/>
                <w:bCs w:val="false"/>
                <w:color w:val="2B2F36"/>
                <w:sz w:val="20"/>
                <w:szCs w:val="20"/>
              </w:rPr>
              <w:t xml:space="preserve">Users + WMS roles/rights + client/site scope + client–user mapping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P01-S07</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lookups (location, product) — read-only</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1</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P01-S08</w:t>
            </w:r>
          </w:p>
        </w:tc>
        <w:tc>
          <w:tcPr>
            <w:tcW w:type="dxa" w:w="5400"/>
            <w:tcMar>
              <w:top w:type="dxa" w:w="60"/>
              <w:left w:type="dxa" w:w="110"/>
              <w:bottom w:type="dxa" w:w="60"/>
              <w:right w:type="dxa" w:w="110"/>
            </w:tcMar>
          </w:tcPr>
          <w:p>
            <w:pPr>
              <w:jc w:val="left"/>
            </w:pPr>
            <w:r>
              <w:rPr>
                <w:b w:val="false"/>
                <w:bCs w:val="false"/>
                <w:color w:val="2B2F36"/>
                <w:sz w:val="20"/>
                <w:szCs w:val="20"/>
              </w:rPr>
              <w:t xml:space="preserve">Bulk CSV import (products, locations)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1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59.5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19</w:t>
            </w:r>
          </w:p>
        </w:tc>
      </w:tr>
    </w:tbl>
    <w:p>
      <w:pPr>
        <w:spacing w:after="20" w:before="0"/>
      </w:pPr>
      <w:r>
        <w:rPr>
          <w:b w:val="false"/>
          <w:bCs w:val="false"/>
          <w:i w:val="false"/>
          <w:iCs w:val="false"/>
          <w:color w:val="2B2F36"/>
          <w:sz w:val="6"/>
          <w:szCs w:val="6"/>
        </w:rPr>
        <w:t xml:space="preserve"/>
      </w:r>
    </w:p>
    <w:p>
      <w:pPr>
        <w:pStyle w:val="Heading2"/>
      </w:pPr>
      <w:r>
        <w:t xml:space="preserve">Phase 2 · Goods Reception</w:t>
      </w:r>
    </w:p>
    <w:p>
      <w:pPr>
        <w:spacing w:after="80" w:before="0"/>
      </w:pPr>
      <w:r>
        <w:rPr>
          <w:b w:val="false"/>
          <w:bCs w:val="false"/>
          <w:i/>
          <w:iCs/>
          <w:color w:val="5A6370"/>
          <w:sz w:val="19"/>
          <w:szCs w:val="19"/>
        </w:rPr>
        <w:t xml:space="preserve">First stock-creating process — ASN → receive → inspect → GRN, minting LPNs.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P02-S01</w:t>
            </w:r>
          </w:p>
        </w:tc>
        <w:tc>
          <w:tcPr>
            <w:tcW w:type="dxa" w:w="5400"/>
            <w:tcMar>
              <w:top w:type="dxa" w:w="60"/>
              <w:left w:type="dxa" w:w="110"/>
              <w:bottom w:type="dxa" w:w="60"/>
              <w:right w:type="dxa" w:w="110"/>
            </w:tcMar>
          </w:tcPr>
          <w:p>
            <w:pPr>
              <w:jc w:val="left"/>
            </w:pPr>
            <w:r>
              <w:rPr>
                <w:b w:val="false"/>
                <w:bCs w:val="false"/>
                <w:color w:val="2B2F36"/>
                <w:sz w:val="20"/>
                <w:szCs w:val="20"/>
              </w:rPr>
              <w:t xml:space="preserve">ASN management — CRUD, lines, derived open / partial / closed status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P02-S02</w:t>
            </w:r>
          </w:p>
        </w:tc>
        <w:tc>
          <w:tcPr>
            <w:tcW w:type="dxa" w:w="5400"/>
            <w:tcMar>
              <w:top w:type="dxa" w:w="60"/>
              <w:left w:type="dxa" w:w="110"/>
              <w:bottom w:type="dxa" w:w="60"/>
              <w:right w:type="dxa" w:w="110"/>
            </w:tcMar>
          </w:tcPr>
          <w:p>
            <w:pPr>
              <w:jc w:val="left"/>
            </w:pPr>
            <w:r>
              <w:rPr>
                <w:b w:val="false"/>
                <w:bCs w:val="false"/>
                <w:color w:val="2B2F36"/>
                <w:sz w:val="20"/>
                <w:szCs w:val="20"/>
              </w:rPr>
              <w:t xml:space="preserve">Receive against ASN + blind → mint LPNs, LPN split (per-each / per-pack), close-short, wrong-client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P02-S03</w:t>
            </w:r>
          </w:p>
        </w:tc>
        <w:tc>
          <w:tcPr>
            <w:tcW w:type="dxa" w:w="5400"/>
            <w:tcMar>
              <w:top w:type="dxa" w:w="60"/>
              <w:left w:type="dxa" w:w="110"/>
              <w:bottom w:type="dxa" w:w="60"/>
              <w:right w:type="dxa" w:w="110"/>
            </w:tcMar>
          </w:tcPr>
          <w:p>
            <w:pPr>
              <w:jc w:val="left"/>
            </w:pPr>
            <w:r>
              <w:rPr>
                <w:b w:val="false"/>
                <w:bCs w:val="false"/>
                <w:color w:val="2B2F36"/>
                <w:sz w:val="20"/>
                <w:szCs w:val="20"/>
              </w:rPr>
              <w:t xml:space="preserve">Mixed-pallet build (aggregate LPN + manifest label) + decomposition hand-off to Putaway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P02-S04</w:t>
            </w:r>
          </w:p>
        </w:tc>
        <w:tc>
          <w:tcPr>
            <w:tcW w:type="dxa" w:w="5400"/>
            <w:tcMar>
              <w:top w:type="dxa" w:w="60"/>
              <w:left w:type="dxa" w:w="110"/>
              <w:bottom w:type="dxa" w:w="60"/>
              <w:right w:type="dxa" w:w="110"/>
            </w:tcMar>
          </w:tcPr>
          <w:p>
            <w:pPr>
              <w:jc w:val="left"/>
            </w:pPr>
            <w:r>
              <w:rPr>
                <w:b w:val="false"/>
                <w:bCs w:val="false"/>
                <w:color w:val="2B2F36"/>
                <w:sz w:val="20"/>
                <w:szCs w:val="20"/>
              </w:rPr>
              <w:t xml:space="preserve">Inspection — quantity-based partial accept/reject, dispositions, reason codes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P02-S05</w:t>
            </w:r>
          </w:p>
        </w:tc>
        <w:tc>
          <w:tcPr>
            <w:tcW w:type="dxa" w:w="5400"/>
            <w:tcMar>
              <w:top w:type="dxa" w:w="60"/>
              <w:left w:type="dxa" w:w="110"/>
              <w:bottom w:type="dxa" w:w="60"/>
              <w:right w:type="dxa" w:w="110"/>
            </w:tcMar>
          </w:tcPr>
          <w:p>
            <w:pPr>
              <w:jc w:val="left"/>
            </w:pPr>
            <w:r>
              <w:rPr>
                <w:b w:val="false"/>
                <w:bCs w:val="false"/>
                <w:color w:val="2B2F36"/>
                <w:sz w:val="20"/>
                <w:szCs w:val="20"/>
              </w:rPr>
              <w:t xml:space="preserve">GRN — Goods Received Note (document / print, one per receipt)</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P02-S06</w:t>
            </w:r>
          </w:p>
        </w:tc>
        <w:tc>
          <w:tcPr>
            <w:tcW w:type="dxa" w:w="5400"/>
            <w:tcMar>
              <w:top w:type="dxa" w:w="60"/>
              <w:left w:type="dxa" w:w="110"/>
              <w:bottom w:type="dxa" w:w="60"/>
              <w:right w:type="dxa" w:w="110"/>
            </w:tcMar>
          </w:tcPr>
          <w:p>
            <w:pPr>
              <w:jc w:val="left"/>
            </w:pPr>
            <w:r>
              <w:rPr>
                <w:b w:val="false"/>
                <w:bCs w:val="false"/>
                <w:color w:val="2B2F36"/>
                <w:sz w:val="20"/>
                <w:szCs w:val="20"/>
              </w:rPr>
              <w:t xml:space="preserve">Labels / reprint (LPN + pallet, recovery by ASN / recent, audited)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P02-S07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Reception edge cases — refuse-at-door, over-receipt approval, duplicate / damaged / expired guards, cold-chain</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2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95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37</w:t>
            </w:r>
          </w:p>
        </w:tc>
      </w:tr>
    </w:tbl>
    <w:p>
      <w:pPr>
        <w:spacing w:after="20" w:before="0"/>
      </w:pPr>
      <w:r>
        <w:rPr>
          <w:b w:val="false"/>
          <w:bCs w:val="false"/>
          <w:i w:val="false"/>
          <w:iCs w:val="false"/>
          <w:color w:val="2B2F36"/>
          <w:sz w:val="6"/>
          <w:szCs w:val="6"/>
        </w:rPr>
        <w:t xml:space="preserve"/>
      </w:r>
    </w:p>
    <w:p>
      <w:pPr>
        <w:pStyle w:val="Heading2"/>
      </w:pPr>
      <w:r>
        <w:t xml:space="preserve">Phase 3 · Putaway</w:t>
      </w:r>
    </w:p>
    <w:p>
      <w:pPr>
        <w:spacing w:after="80" w:before="0"/>
      </w:pPr>
      <w:r>
        <w:rPr>
          <w:b w:val="false"/>
          <w:bCs w:val="false"/>
          <w:i/>
          <w:iCs/>
          <w:color w:val="5A6370"/>
          <w:sz w:val="19"/>
          <w:szCs w:val="19"/>
        </w:rPr>
        <w:t xml:space="preserve">Directed slotting into bins, enforcing capacity / segregation / freeze.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Single-LPN directed putaway — ranked bins (home→consolidate→category→open), guards, partial split</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P03-S02</w:t>
            </w:r>
          </w:p>
        </w:tc>
        <w:tc>
          <w:tcPr>
            <w:tcW w:type="dxa" w:w="5400"/>
            <w:tcMar>
              <w:top w:type="dxa" w:w="60"/>
              <w:left w:type="dxa" w:w="110"/>
              <w:bottom w:type="dxa" w:w="60"/>
              <w:right w:type="dxa" w:w="110"/>
            </w:tcMar>
          </w:tcPr>
          <w:p>
            <w:pPr>
              <w:jc w:val="left"/>
            </w:pPr>
            <w:r>
              <w:rPr>
                <w:b w:val="false"/>
                <w:bCs w:val="false"/>
                <w:color w:val="2B2F36"/>
                <w:sz w:val="20"/>
                <w:szCs w:val="20"/>
              </w:rPr>
              <w:t xml:space="preserve">Mixed-pallet decomposition — operator-chosen order → child LPNs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P03-S03</w:t>
            </w:r>
          </w:p>
        </w:tc>
        <w:tc>
          <w:tcPr>
            <w:tcW w:type="dxa" w:w="5400"/>
            <w:tcMar>
              <w:top w:type="dxa" w:w="60"/>
              <w:left w:type="dxa" w:w="110"/>
              <w:bottom w:type="dxa" w:w="60"/>
              <w:right w:type="dxa" w:w="110"/>
            </w:tcMar>
          </w:tcPr>
          <w:p>
            <w:pPr>
              <w:jc w:val="left"/>
            </w:pPr>
            <w:r>
              <w:rPr>
                <w:b w:val="false"/>
                <w:bCs w:val="false"/>
                <w:color w:val="2B2F36"/>
                <w:sz w:val="20"/>
                <w:szCs w:val="20"/>
              </w:rPr>
              <w:t xml:space="preserve">Damage-found reject, overflow-park, resume / partial-progress visibility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3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43</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17</w:t>
            </w:r>
          </w:p>
        </w:tc>
      </w:tr>
    </w:tbl>
    <w:p>
      <w:pPr>
        <w:spacing w:after="20" w:before="0"/>
      </w:pPr>
      <w:r>
        <w:rPr>
          <w:b w:val="false"/>
          <w:bCs w:val="false"/>
          <w:i w:val="false"/>
          <w:iCs w:val="false"/>
          <w:color w:val="2B2F36"/>
          <w:sz w:val="6"/>
          <w:szCs w:val="6"/>
        </w:rPr>
        <w:t xml:space="preserve"/>
      </w:r>
    </w:p>
    <w:p>
      <w:pPr>
        <w:pStyle w:val="Heading2"/>
      </w:pPr>
      <w:r>
        <w:t xml:space="preserve">Phase 4 · Stock Visibility &amp; Status</w:t>
      </w:r>
    </w:p>
    <w:p>
      <w:pPr>
        <w:spacing w:after="80" w:before="0"/>
      </w:pPr>
      <w:r>
        <w:rPr>
          <w:b w:val="false"/>
          <w:bCs w:val="false"/>
          <w:i/>
          <w:iCs/>
          <w:color w:val="5A6370"/>
          <w:sz w:val="19"/>
          <w:szCs w:val="19"/>
        </w:rPr>
        <w:t xml:space="preserve">The read model + status engine that Stock-Out and Reports both depend on.</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Stock-on-hand / availability read model + query API (the hot path for outbound &amp; reports)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P04-S02</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 Status screen + reason-coded status-change engine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P04-S03</w:t>
            </w:r>
          </w:p>
        </w:tc>
        <w:tc>
          <w:tcPr>
            <w:tcW w:type="dxa" w:w="5400"/>
            <w:tcMar>
              <w:top w:type="dxa" w:w="60"/>
              <w:left w:type="dxa" w:w="110"/>
              <w:bottom w:type="dxa" w:w="60"/>
              <w:right w:type="dxa" w:w="110"/>
            </w:tcMar>
          </w:tcPr>
          <w:p>
            <w:pPr>
              <w:jc w:val="left"/>
            </w:pPr>
            <w:r>
              <w:rPr>
                <w:b w:val="false"/>
                <w:bCs w:val="false"/>
                <w:color w:val="2B2F36"/>
                <w:sz w:val="20"/>
                <w:szCs w:val="20"/>
              </w:rPr>
              <w:t xml:space="preserve">Expose blocked / frozen / expiry / in-transit flags consistently across every stock payload</w:t>
            </w:r>
          </w:p>
        </w:tc>
        <w:tc>
          <w:tcPr>
            <w:tcW w:type="dxa" w:w="560"/>
            <w:tcMar>
              <w:top w:type="dxa" w:w="60"/>
              <w:left w:type="dxa" w:w="110"/>
              <w:bottom w:type="dxa" w:w="60"/>
              <w:right w:type="dxa" w:w="110"/>
            </w:tcMar>
          </w:tcPr>
          <w:p>
            <w:pPr>
              <w:jc w:val="center"/>
            </w:pPr>
            <w:r>
              <w:rPr>
                <w:b w:val="false"/>
                <w:bCs w:val="false"/>
                <w:color w:val="2B2F36"/>
                <w:sz w:val="20"/>
                <w:szCs w:val="20"/>
              </w:rPr>
              <w:t xml:space="preserve">S</w:t>
            </w:r>
          </w:p>
        </w:tc>
        <w:tc>
          <w:tcPr>
            <w:tcW w:type="dxa" w:w="1210"/>
            <w:tcMar>
              <w:top w:type="dxa" w:w="60"/>
              <w:left w:type="dxa" w:w="110"/>
              <w:bottom w:type="dxa" w:w="60"/>
              <w:right w:type="dxa" w:w="110"/>
            </w:tcMar>
          </w:tcPr>
          <w:p>
            <w:pPr>
              <w:jc w:val="right"/>
            </w:pPr>
            <w:r>
              <w:rPr>
                <w:b w:val="false"/>
                <w:bCs w:val="false"/>
                <w:color w:val="2B2F36"/>
                <w:sz w:val="20"/>
                <w:szCs w:val="20"/>
              </w:rPr>
              <w:t xml:space="preserve">4</w:t>
            </w:r>
          </w:p>
        </w:tc>
        <w:tc>
          <w:tcPr>
            <w:tcW w:type="dxa" w:w="1210"/>
            <w:tcMar>
              <w:top w:type="dxa" w:w="60"/>
              <w:left w:type="dxa" w:w="110"/>
              <w:bottom w:type="dxa" w:w="60"/>
              <w:right w:type="dxa" w:w="110"/>
            </w:tcMar>
          </w:tcPr>
          <w:p>
            <w:pPr>
              <w:jc w:val="right"/>
            </w:pPr>
            <w:r>
              <w:rPr>
                <w:b w:val="false"/>
                <w:bCs w:val="false"/>
                <w:color w:val="2B2F36"/>
                <w:sz w:val="20"/>
                <w:szCs w:val="20"/>
              </w:rPr>
              <w:t xml:space="preserve">1</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4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30</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11</w:t>
            </w:r>
          </w:p>
        </w:tc>
      </w:tr>
    </w:tbl>
    <w:p>
      <w:pPr>
        <w:spacing w:after="20" w:before="0"/>
      </w:pPr>
      <w:r>
        <w:rPr>
          <w:b w:val="false"/>
          <w:bCs w:val="false"/>
          <w:i w:val="false"/>
          <w:iCs w:val="false"/>
          <w:color w:val="2B2F36"/>
          <w:sz w:val="6"/>
          <w:szCs w:val="6"/>
        </w:rPr>
        <w:t xml:space="preserve"/>
      </w:r>
    </w:p>
    <w:p>
      <w:pPr>
        <w:pStyle w:val="Heading2"/>
      </w:pPr>
      <w:r>
        <w:t xml:space="preserve">Phase 5 · Stock-Out (Outbound)</w:t>
      </w:r>
    </w:p>
    <w:p>
      <w:pPr>
        <w:spacing w:after="80" w:before="0"/>
      </w:pPr>
      <w:r>
        <w:rPr>
          <w:b w:val="false"/>
          <w:bCs w:val="false"/>
          <w:i/>
          <w:iCs/>
          <w:color w:val="5A6370"/>
          <w:sz w:val="19"/>
          <w:szCs w:val="19"/>
        </w:rPr>
        <w:t xml:space="preserve">The most complex process — orders → allocation → pick/dispatch → delivery notes. Dual-channel.</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P05-S01</w:t>
            </w:r>
          </w:p>
        </w:tc>
        <w:tc>
          <w:tcPr>
            <w:tcW w:type="dxa" w:w="5400"/>
            <w:tcMar>
              <w:top w:type="dxa" w:w="60"/>
              <w:left w:type="dxa" w:w="110"/>
              <w:bottom w:type="dxa" w:w="60"/>
              <w:right w:type="dxa" w:w="110"/>
            </w:tcMar>
          </w:tcPr>
          <w:p>
            <w:pPr>
              <w:jc w:val="left"/>
            </w:pPr>
            <w:r>
              <w:rPr>
                <w:b w:val="false"/>
                <w:bCs w:val="false"/>
                <w:color w:val="2B2F36"/>
                <w:sz w:val="20"/>
                <w:szCs w:val="20"/>
              </w:rPr>
              <w:t xml:space="preserve">Outbound orders — CRUD, lines, ship-to consignee, full-stock-out, cancel order / line, status flow</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5</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P05-S02</w:t>
            </w:r>
          </w:p>
        </w:tc>
        <w:tc>
          <w:tcPr>
            <w:tcW w:type="dxa" w:w="5400"/>
            <w:tcMar>
              <w:top w:type="dxa" w:w="60"/>
              <w:left w:type="dxa" w:w="110"/>
              <w:bottom w:type="dxa" w:w="60"/>
              <w:right w:type="dxa" w:w="110"/>
            </w:tcMar>
          </w:tcPr>
          <w:p>
            <w:pPr>
              <w:jc w:val="left"/>
            </w:pPr>
            <w:r>
              <w:rPr>
                <w:b w:val="false"/>
                <w:bCs w:val="false"/>
                <w:color w:val="2B2F36"/>
                <w:sz w:val="20"/>
                <w:szCs w:val="20"/>
              </w:rPr>
              <w:t xml:space="preserve">Allocation surface — FEFO/FIFO, reservation-aware, short-pick, manual override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P05-S03</w:t>
            </w:r>
          </w:p>
        </w:tc>
        <w:tc>
          <w:tcPr>
            <w:tcW w:type="dxa" w:w="5400"/>
            <w:tcMar>
              <w:top w:type="dxa" w:w="60"/>
              <w:left w:type="dxa" w:w="110"/>
              <w:bottom w:type="dxa" w:w="60"/>
              <w:right w:type="dxa" w:w="110"/>
            </w:tcMar>
          </w:tcPr>
          <w:p>
            <w:pPr>
              <w:jc w:val="left"/>
            </w:pPr>
            <w:r>
              <w:rPr>
                <w:b w:val="false"/>
                <w:bCs w:val="false"/>
                <w:color w:val="2B2F36"/>
                <w:sz w:val="20"/>
                <w:szCs w:val="20"/>
              </w:rPr>
              <w:t xml:space="preserve">Pick / Dispatch (classic) — scan-confirm, serials-on-issue, carrier + proof-of-load, Delivery Note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P05-S04</w:t>
            </w:r>
          </w:p>
        </w:tc>
        <w:tc>
          <w:tcPr>
            <w:tcW w:type="dxa" w:w="5400"/>
            <w:tcMar>
              <w:top w:type="dxa" w:w="60"/>
              <w:left w:type="dxa" w:w="110"/>
              <w:bottom w:type="dxa" w:w="60"/>
              <w:right w:type="dxa" w:w="110"/>
            </w:tcMar>
          </w:tcPr>
          <w:p>
            <w:pPr>
              <w:jc w:val="left"/>
            </w:pPr>
            <w:r>
              <w:rPr>
                <w:b w:val="false"/>
                <w:bCs w:val="false"/>
                <w:color w:val="2B2F36"/>
                <w:sz w:val="20"/>
                <w:szCs w:val="20"/>
              </w:rPr>
              <w:t xml:space="preserve">Express Fulfil — one-pass allocate→pick→dispatch, role-gated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P05-S05</w:t>
            </w:r>
          </w:p>
        </w:tc>
        <w:tc>
          <w:tcPr>
            <w:tcW w:type="dxa" w:w="5400"/>
            <w:tcMar>
              <w:top w:type="dxa" w:w="60"/>
              <w:left w:type="dxa" w:w="110"/>
              <w:bottom w:type="dxa" w:w="60"/>
              <w:right w:type="dxa" w:w="110"/>
            </w:tcMar>
          </w:tcPr>
          <w:p>
            <w:pPr>
              <w:jc w:val="left"/>
            </w:pPr>
            <w:r>
              <w:rPr>
                <w:b w:val="false"/>
                <w:bCs w:val="false"/>
                <w:color w:val="2B2F36"/>
                <w:sz w:val="20"/>
                <w:szCs w:val="20"/>
              </w:rPr>
              <w:t xml:space="preserve">Back-order vs short-close + multi-shipment delivery notes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P05-S06</w:t>
            </w:r>
          </w:p>
        </w:tc>
        <w:tc>
          <w:tcPr>
            <w:tcW w:type="dxa" w:w="5400"/>
            <w:tcMar>
              <w:top w:type="dxa" w:w="60"/>
              <w:left w:type="dxa" w:w="110"/>
              <w:bottom w:type="dxa" w:w="60"/>
              <w:right w:type="dxa" w:w="110"/>
            </w:tcMar>
          </w:tcPr>
          <w:p>
            <w:pPr>
              <w:jc w:val="left"/>
            </w:pPr>
            <w:r>
              <w:rPr>
                <w:b w:val="false"/>
                <w:bCs w:val="false"/>
                <w:color w:val="2B2F36"/>
                <w:sz w:val="20"/>
                <w:szCs w:val="20"/>
              </w:rPr>
              <w:t xml:space="preserve">Ad-hoc / emergency dispatch — governance gate, role-gated + back-office approval queue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Return-to-vendor / client — non-consignee outbound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P05-S08</w:t>
            </w:r>
          </w:p>
        </w:tc>
        <w:tc>
          <w:tcPr>
            <w:tcW w:type="dxa" w:w="5400"/>
            <w:tcMar>
              <w:top w:type="dxa" w:w="60"/>
              <w:left w:type="dxa" w:w="110"/>
              <w:bottom w:type="dxa" w:w="60"/>
              <w:right w:type="dxa" w:w="110"/>
            </w:tcMar>
          </w:tcPr>
          <w:p>
            <w:pPr>
              <w:jc w:val="left"/>
            </w:pPr>
            <w:r>
              <w:rPr>
                <w:b w:val="false"/>
                <w:bCs w:val="false"/>
                <w:color w:val="2B2F36"/>
                <w:sz w:val="20"/>
                <w:szCs w:val="20"/>
              </w:rPr>
              <w:t xml:space="preserve">PWA pick / dispatch + ad-hoc + RTV parity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5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116</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46</w:t>
            </w:r>
          </w:p>
        </w:tc>
      </w:tr>
    </w:tbl>
    <w:p>
      <w:pPr>
        <w:spacing w:after="20" w:before="0"/>
      </w:pPr>
      <w:r>
        <w:rPr>
          <w:b w:val="false"/>
          <w:bCs w:val="false"/>
          <w:i w:val="false"/>
          <w:iCs w:val="false"/>
          <w:color w:val="2B2F36"/>
          <w:sz w:val="6"/>
          <w:szCs w:val="6"/>
        </w:rPr>
        <w:t xml:space="preserve"/>
      </w:r>
    </w:p>
    <w:p>
      <w:pPr>
        <w:pStyle w:val="Heading2"/>
      </w:pPr>
      <w:r>
        <w:t xml:space="preserve">Phase 6 · Inventory Operations</w:t>
      </w:r>
    </w:p>
    <w:p>
      <w:pPr>
        <w:spacing w:after="80" w:before="0"/>
      </w:pPr>
      <w:r>
        <w:rPr>
          <w:b w:val="false"/>
          <w:bCs w:val="false"/>
          <w:i/>
          <w:iCs/>
          <w:color w:val="5A6370"/>
          <w:sz w:val="19"/>
          <w:szCs w:val="19"/>
        </w:rPr>
        <w:t xml:space="preserve">In-warehouse stock operations incl. the freeze workflow; each card largely standalone.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P06-S01</w:t>
            </w:r>
          </w:p>
        </w:tc>
        <w:tc>
          <w:tcPr>
            <w:tcW w:type="dxa" w:w="5400"/>
            <w:tcMar>
              <w:top w:type="dxa" w:w="60"/>
              <w:left w:type="dxa" w:w="110"/>
              <w:bottom w:type="dxa" w:w="60"/>
              <w:right w:type="dxa" w:w="110"/>
            </w:tcMar>
          </w:tcPr>
          <w:p>
            <w:pPr>
              <w:jc w:val="left"/>
            </w:pPr>
            <w:r>
              <w:rPr>
                <w:b w:val="false"/>
                <w:bCs w:val="false"/>
                <w:color w:val="2B2F36"/>
                <w:sz w:val="20"/>
                <w:szCs w:val="20"/>
              </w:rPr>
              <w:t xml:space="preserve">Move — intra-site relocation, partial split, guards</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5</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P06-S02</w:t>
            </w:r>
          </w:p>
        </w:tc>
        <w:tc>
          <w:tcPr>
            <w:tcW w:type="dxa" w:w="5400"/>
            <w:tcMar>
              <w:top w:type="dxa" w:w="60"/>
              <w:left w:type="dxa" w:w="110"/>
              <w:bottom w:type="dxa" w:w="60"/>
              <w:right w:type="dxa" w:w="110"/>
            </w:tcMar>
          </w:tcPr>
          <w:p>
            <w:pPr>
              <w:jc w:val="left"/>
            </w:pPr>
            <w:r>
              <w:rPr>
                <w:b w:val="false"/>
                <w:bCs w:val="false"/>
                <w:color w:val="2B2F36"/>
                <w:sz w:val="20"/>
                <w:szCs w:val="20"/>
              </w:rPr>
              <w:t xml:space="preserve">Transfer — inter-site ship → in-transit → receive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P06-S03</w:t>
            </w:r>
          </w:p>
        </w:tc>
        <w:tc>
          <w:tcPr>
            <w:tcW w:type="dxa" w:w="5400"/>
            <w:tcMar>
              <w:top w:type="dxa" w:w="60"/>
              <w:left w:type="dxa" w:w="110"/>
              <w:bottom w:type="dxa" w:w="60"/>
              <w:right w:type="dxa" w:w="110"/>
            </w:tcMar>
          </w:tcPr>
          <w:p>
            <w:pPr>
              <w:jc w:val="left"/>
            </w:pPr>
            <w:r>
              <w:rPr>
                <w:b w:val="false"/>
                <w:bCs w:val="false"/>
                <w:color w:val="2B2F36"/>
                <w:sz w:val="20"/>
                <w:szCs w:val="20"/>
              </w:rPr>
              <w:t xml:space="preserve">Cycle Count — multi-location sheet → approve corrects stock; found / missing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P06-S04</w:t>
            </w:r>
          </w:p>
        </w:tc>
        <w:tc>
          <w:tcPr>
            <w:tcW w:type="dxa" w:w="5400"/>
            <w:tcMar>
              <w:top w:type="dxa" w:w="60"/>
              <w:left w:type="dxa" w:w="110"/>
              <w:bottom w:type="dxa" w:w="60"/>
              <w:right w:type="dxa" w:w="110"/>
            </w:tcMar>
          </w:tcPr>
          <w:p>
            <w:pPr>
              <w:jc w:val="left"/>
            </w:pPr>
            <w:r>
              <w:rPr>
                <w:b w:val="false"/>
                <w:bCs w:val="false"/>
                <w:color w:val="2B2F36"/>
                <w:sz w:val="20"/>
                <w:szCs w:val="20"/>
              </w:rPr>
              <w:t xml:space="preserve">Physical Inventory — freeze → count → post → unfreeze</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P06-S05</w:t>
            </w:r>
          </w:p>
        </w:tc>
        <w:tc>
          <w:tcPr>
            <w:tcW w:type="dxa" w:w="5400"/>
            <w:tcMar>
              <w:top w:type="dxa" w:w="60"/>
              <w:left w:type="dxa" w:w="110"/>
              <w:bottom w:type="dxa" w:w="60"/>
              <w:right w:type="dxa" w:w="110"/>
            </w:tcMar>
          </w:tcPr>
          <w:p>
            <w:pPr>
              <w:jc w:val="left"/>
            </w:pPr>
            <w:r>
              <w:rPr>
                <w:b w:val="false"/>
                <w:bCs w:val="false"/>
                <w:color w:val="2B2F36"/>
                <w:sz w:val="20"/>
                <w:szCs w:val="20"/>
              </w:rPr>
              <w:t xml:space="preserve">Adjustments (qty) + Corrections (attributes) — approval-gated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P06-S06</w:t>
            </w:r>
          </w:p>
        </w:tc>
        <w:tc>
          <w:tcPr>
            <w:tcW w:type="dxa" w:w="5400"/>
            <w:tcMar>
              <w:top w:type="dxa" w:w="60"/>
              <w:left w:type="dxa" w:w="110"/>
              <w:bottom w:type="dxa" w:w="60"/>
              <w:right w:type="dxa" w:w="110"/>
            </w:tcMar>
          </w:tcPr>
          <w:p>
            <w:pPr>
              <w:jc w:val="left"/>
            </w:pPr>
            <w:r>
              <w:rPr>
                <w:b w:val="false"/>
                <w:bCs w:val="false"/>
                <w:color w:val="2B2F36"/>
                <w:sz w:val="20"/>
                <w:szCs w:val="20"/>
              </w:rPr>
              <w:t xml:space="preserve">Repack / split / merge / re-kit — genealogy + balance guard</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P06-S07</w:t>
            </w:r>
          </w:p>
        </w:tc>
        <w:tc>
          <w:tcPr>
            <w:tcW w:type="dxa" w:w="5400"/>
            <w:tcMar>
              <w:top w:type="dxa" w:w="60"/>
              <w:left w:type="dxa" w:w="110"/>
              <w:bottom w:type="dxa" w:w="60"/>
              <w:right w:type="dxa" w:w="110"/>
            </w:tcMar>
          </w:tcPr>
          <w:p>
            <w:pPr>
              <w:jc w:val="left"/>
            </w:pPr>
            <w:r>
              <w:rPr>
                <w:b w:val="false"/>
                <w:bCs w:val="false"/>
                <w:color w:val="2B2F36"/>
                <w:sz w:val="20"/>
                <w:szCs w:val="20"/>
              </w:rPr>
              <w:t xml:space="preserve">Returns / put-back — dispositions (restock / via-putaway / quarantine)</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P06-S08</w:t>
            </w:r>
          </w:p>
        </w:tc>
        <w:tc>
          <w:tcPr>
            <w:tcW w:type="dxa" w:w="5400"/>
            <w:tcMar>
              <w:top w:type="dxa" w:w="60"/>
              <w:left w:type="dxa" w:w="110"/>
              <w:bottom w:type="dxa" w:w="60"/>
              <w:right w:type="dxa" w:w="110"/>
            </w:tcMar>
          </w:tcPr>
          <w:p>
            <w:pPr>
              <w:jc w:val="left"/>
            </w:pPr>
            <w:r>
              <w:rPr>
                <w:b w:val="false"/>
                <w:bCs w:val="false"/>
                <w:color w:val="2B2F36"/>
                <w:sz w:val="20"/>
                <w:szCs w:val="20"/>
              </w:rPr>
              <w:t xml:space="preserve">Disposal / Scrap — approval-gated, terminal, maker-checker</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6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108</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42</w:t>
            </w:r>
          </w:p>
        </w:tc>
      </w:tr>
    </w:tbl>
    <w:p>
      <w:pPr>
        <w:spacing w:after="20" w:before="0"/>
      </w:pPr>
      <w:r>
        <w:rPr>
          <w:b w:val="false"/>
          <w:bCs w:val="false"/>
          <w:i w:val="false"/>
          <w:iCs w:val="false"/>
          <w:color w:val="2B2F36"/>
          <w:sz w:val="6"/>
          <w:szCs w:val="6"/>
        </w:rPr>
        <w:t xml:space="preserve"/>
      </w:r>
    </w:p>
    <w:p>
      <w:pPr>
        <w:pStyle w:val="Heading2"/>
      </w:pPr>
      <w:r>
        <w:t xml:space="preserve">Phase 7 · Reports &amp; Visibility</w:t>
      </w:r>
    </w:p>
    <w:p>
      <w:pPr>
        <w:spacing w:after="80" w:before="0"/>
      </w:pPr>
      <w:r>
        <w:rPr>
          <w:b w:val="false"/>
          <w:bCs w:val="false"/>
          <w:i/>
          <w:iCs/>
          <w:color w:val="5A6370"/>
          <w:sz w:val="19"/>
          <w:szCs w:val="19"/>
        </w:rPr>
        <w:t xml:space="preserve">Read-only over the stock read model + the ledger. ERP only.</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P07-S01</w:t>
            </w:r>
          </w:p>
        </w:tc>
        <w:tc>
          <w:tcPr>
            <w:tcW w:type="dxa" w:w="5400"/>
            <w:tcMar>
              <w:top w:type="dxa" w:w="60"/>
              <w:left w:type="dxa" w:w="110"/>
              <w:bottom w:type="dxa" w:w="60"/>
              <w:right w:type="dxa" w:w="110"/>
            </w:tcMar>
          </w:tcPr>
          <w:p>
            <w:pPr>
              <w:jc w:val="left"/>
            </w:pPr>
            <w:r>
              <w:rPr>
                <w:b w:val="false"/>
                <w:bCs w:val="false"/>
                <w:color w:val="2B2F36"/>
                <w:sz w:val="20"/>
                <w:szCs w:val="20"/>
              </w:rPr>
              <w:t xml:space="preserve">Stock on Hand</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P07-S02</w:t>
            </w:r>
          </w:p>
        </w:tc>
        <w:tc>
          <w:tcPr>
            <w:tcW w:type="dxa" w:w="5400"/>
            <w:tcMar>
              <w:top w:type="dxa" w:w="60"/>
              <w:left w:type="dxa" w:w="110"/>
              <w:bottom w:type="dxa" w:w="60"/>
              <w:right w:type="dxa" w:w="110"/>
            </w:tcMar>
          </w:tcPr>
          <w:p>
            <w:pPr>
              <w:jc w:val="left"/>
            </w:pPr>
            <w:r>
              <w:rPr>
                <w:b w:val="false"/>
                <w:bCs w:val="false"/>
                <w:color w:val="2B2F36"/>
                <w:sz w:val="20"/>
                <w:szCs w:val="20"/>
              </w:rPr>
              <w:t xml:space="preserve">Transaction History / stock ledger</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P07-S03</w:t>
            </w:r>
          </w:p>
        </w:tc>
        <w:tc>
          <w:tcPr>
            <w:tcW w:type="dxa" w:w="5400"/>
            <w:tcMar>
              <w:top w:type="dxa" w:w="60"/>
              <w:left w:type="dxa" w:w="110"/>
              <w:bottom w:type="dxa" w:w="60"/>
              <w:right w:type="dxa" w:w="110"/>
            </w:tcMar>
          </w:tcPr>
          <w:p>
            <w:pPr>
              <w:jc w:val="left"/>
            </w:pPr>
            <w:r>
              <w:rPr>
                <w:b w:val="false"/>
                <w:bCs w:val="false"/>
                <w:color w:val="2B2F36"/>
                <w:sz w:val="20"/>
                <w:szCs w:val="20"/>
              </w:rPr>
              <w:t xml:space="preserve">Expiry &amp; Aging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S–M</w:t>
            </w:r>
          </w:p>
        </w:tc>
        <w:tc>
          <w:tcPr>
            <w:tcW w:type="dxa" w:w="1210"/>
            <w:tcMar>
              <w:top w:type="dxa" w:w="60"/>
              <w:left w:type="dxa" w:w="110"/>
              <w:bottom w:type="dxa" w:w="60"/>
              <w:right w:type="dxa" w:w="110"/>
            </w:tcMar>
          </w:tcPr>
          <w:p>
            <w:pPr>
              <w:jc w:val="right"/>
            </w:pPr>
            <w:r>
              <w:rPr>
                <w:b w:val="false"/>
                <w:bCs w:val="false"/>
                <w:color w:val="2B2F36"/>
                <w:sz w:val="20"/>
                <w:szCs w:val="20"/>
              </w:rPr>
              <w:t xml:space="preserve">6.5</w:t>
            </w:r>
          </w:p>
        </w:tc>
        <w:tc>
          <w:tcPr>
            <w:tcW w:type="dxa" w:w="1210"/>
            <w:tcMar>
              <w:top w:type="dxa" w:w="60"/>
              <w:left w:type="dxa" w:w="110"/>
              <w:bottom w:type="dxa" w:w="60"/>
              <w:right w:type="dxa" w:w="110"/>
            </w:tcMar>
          </w:tcPr>
          <w:p>
            <w:pPr>
              <w:jc w:val="right"/>
            </w:pPr>
            <w:r>
              <w:rPr>
                <w:b w:val="false"/>
                <w:bCs w:val="false"/>
                <w:color w:val="2B2F36"/>
                <w:sz w:val="20"/>
                <w:szCs w:val="20"/>
              </w:rPr>
              <w:t xml:space="preserve">2</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P07-S04</w:t>
            </w:r>
          </w:p>
        </w:tc>
        <w:tc>
          <w:tcPr>
            <w:tcW w:type="dxa" w:w="5400"/>
            <w:tcMar>
              <w:top w:type="dxa" w:w="60"/>
              <w:left w:type="dxa" w:w="110"/>
              <w:bottom w:type="dxa" w:w="60"/>
              <w:right w:type="dxa" w:w="110"/>
            </w:tcMar>
          </w:tcPr>
          <w:p>
            <w:pPr>
              <w:jc w:val="left"/>
            </w:pPr>
            <w:r>
              <w:rPr>
                <w:b w:val="false"/>
                <w:bCs w:val="false"/>
                <w:color w:val="2B2F36"/>
                <w:sz w:val="20"/>
                <w:szCs w:val="20"/>
              </w:rPr>
              <w:t xml:space="preserve">Inbound &amp; Outbound activity</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P07-S05</w:t>
            </w:r>
          </w:p>
        </w:tc>
        <w:tc>
          <w:tcPr>
            <w:tcW w:type="dxa" w:w="5400"/>
            <w:tcMar>
              <w:top w:type="dxa" w:w="60"/>
              <w:left w:type="dxa" w:w="110"/>
              <w:bottom w:type="dxa" w:w="60"/>
              <w:right w:type="dxa" w:w="110"/>
            </w:tcMar>
          </w:tcPr>
          <w:p>
            <w:pPr>
              <w:jc w:val="left"/>
            </w:pPr>
            <w:r>
              <w:rPr>
                <w:b w:val="false"/>
                <w:bCs w:val="false"/>
                <w:color w:val="2B2F36"/>
                <w:sz w:val="20"/>
                <w:szCs w:val="20"/>
              </w:rPr>
              <w:t xml:space="preserve">Variance &amp; Bin / Location Utilization</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P07-S06</w:t>
            </w:r>
          </w:p>
        </w:tc>
        <w:tc>
          <w:tcPr>
            <w:tcW w:type="dxa" w:w="5400"/>
            <w:tcMar>
              <w:top w:type="dxa" w:w="60"/>
              <w:left w:type="dxa" w:w="110"/>
              <w:bottom w:type="dxa" w:w="60"/>
              <w:right w:type="dxa" w:w="110"/>
            </w:tcMar>
          </w:tcPr>
          <w:p>
            <w:pPr>
              <w:jc w:val="left"/>
            </w:pPr>
            <w:r>
              <w:rPr>
                <w:b w:val="false"/>
                <w:bCs w:val="false"/>
                <w:color w:val="2B2F36"/>
                <w:sz w:val="20"/>
                <w:szCs w:val="20"/>
              </w:rPr>
              <w:t xml:space="preserve">Lot / Serial Traceability + Stock Card / Product Ledger</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P07-S07</w:t>
            </w:r>
          </w:p>
        </w:tc>
        <w:tc>
          <w:tcPr>
            <w:tcW w:type="dxa" w:w="5400"/>
            <w:tcMar>
              <w:top w:type="dxa" w:w="60"/>
              <w:left w:type="dxa" w:w="110"/>
              <w:bottom w:type="dxa" w:w="60"/>
              <w:right w:type="dxa" w:w="110"/>
            </w:tcMar>
          </w:tcPr>
          <w:p>
            <w:pPr>
              <w:jc w:val="left"/>
            </w:pPr>
            <w:r>
              <w:rPr>
                <w:b w:val="false"/>
                <w:bCs w:val="false"/>
                <w:color w:val="2B2F36"/>
                <w:sz w:val="20"/>
                <w:szCs w:val="20"/>
              </w:rPr>
              <w:t xml:space="preserve">Client Stock Statement</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7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68.5</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24</w:t>
            </w:r>
          </w:p>
        </w:tc>
      </w:tr>
    </w:tbl>
    <w:p>
      <w:pPr>
        <w:spacing w:after="20" w:before="0"/>
      </w:pPr>
      <w:r>
        <w:rPr>
          <w:b w:val="false"/>
          <w:bCs w:val="false"/>
          <w:i w:val="false"/>
          <w:iCs w:val="false"/>
          <w:color w:val="2B2F36"/>
          <w:sz w:val="6"/>
          <w:szCs w:val="6"/>
        </w:rPr>
        <w:t xml:space="preserve"/>
      </w:r>
    </w:p>
    <w:p>
      <w:pPr>
        <w:pStyle w:val="Heading2"/>
      </w:pPr>
      <w:r>
        <w:t xml:space="preserve">Phase 8 · Hardening &amp; Closure</w:t>
      </w:r>
    </w:p>
    <w:p>
      <w:pPr>
        <w:spacing w:after="80" w:before="0"/>
      </w:pPr>
      <w:r>
        <w:rPr>
          <w:b w:val="false"/>
          <w:bCs w:val="false"/>
          <w:i/>
          <w:iCs/>
          <w:color w:val="5A6370"/>
          <w:sz w:val="19"/>
          <w:szCs w:val="19"/>
        </w:rPr>
        <w:t xml:space="preserve">Production-grade non-functionals + carry-overs. (PWA offline sync is a separate optional line.)</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P08-S01</w:t>
            </w:r>
          </w:p>
        </w:tc>
        <w:tc>
          <w:tcPr>
            <w:tcW w:type="dxa" w:w="5400"/>
            <w:tcMar>
              <w:top w:type="dxa" w:w="60"/>
              <w:left w:type="dxa" w:w="110"/>
              <w:bottom w:type="dxa" w:w="60"/>
              <w:right w:type="dxa" w:w="110"/>
            </w:tcMar>
          </w:tcPr>
          <w:p>
            <w:pPr>
              <w:jc w:val="left"/>
            </w:pPr>
            <w:r>
              <w:rPr>
                <w:b w:val="false"/>
                <w:bCs w:val="false"/>
                <w:color w:val="2B2F36"/>
                <w:sz w:val="20"/>
                <w:szCs w:val="20"/>
              </w:rPr>
              <w:t xml:space="preserve">Export (CSV / Excel) across all reports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P08-S02</w:t>
            </w:r>
          </w:p>
        </w:tc>
        <w:tc>
          <w:tcPr>
            <w:tcW w:type="dxa" w:w="5400"/>
            <w:tcMar>
              <w:top w:type="dxa" w:w="60"/>
              <w:left w:type="dxa" w:w="110"/>
              <w:bottom w:type="dxa" w:w="60"/>
              <w:right w:type="dxa" w:w="110"/>
            </w:tcMar>
          </w:tcPr>
          <w:p>
            <w:pPr>
              <w:jc w:val="left"/>
            </w:pPr>
            <w:r>
              <w:rPr>
                <w:b w:val="false"/>
                <w:bCs w:val="false"/>
                <w:color w:val="2B2F36"/>
                <w:sz w:val="20"/>
                <w:szCs w:val="20"/>
              </w:rPr>
              <w:t xml:space="preserve">Performance pass — indexes, query tuning, load tests on SQL 2014, grid paging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M–L</w:t>
            </w:r>
          </w:p>
        </w:tc>
        <w:tc>
          <w:tcPr>
            <w:tcW w:type="dxa" w:w="1210"/>
            <w:tcMar>
              <w:top w:type="dxa" w:w="60"/>
              <w:left w:type="dxa" w:w="110"/>
              <w:bottom w:type="dxa" w:w="60"/>
              <w:right w:type="dxa" w:w="110"/>
            </w:tcMar>
          </w:tcPr>
          <w:p>
            <w:pPr>
              <w:jc w:val="right"/>
            </w:pPr>
            <w:r>
              <w:rPr>
                <w:b w:val="false"/>
                <w:bCs w:val="false"/>
                <w:color w:val="2B2F36"/>
                <w:sz w:val="20"/>
                <w:szCs w:val="20"/>
              </w:rPr>
              <w:t xml:space="preserve">13</w:t>
            </w:r>
          </w:p>
        </w:tc>
        <w:tc>
          <w:tcPr>
            <w:tcW w:type="dxa" w:w="1210"/>
            <w:tcMar>
              <w:top w:type="dxa" w:w="60"/>
              <w:left w:type="dxa" w:w="110"/>
              <w:bottom w:type="dxa" w:w="60"/>
              <w:right w:type="dxa" w:w="110"/>
            </w:tcMar>
          </w:tcPr>
          <w:p>
            <w:pPr>
              <w:jc w:val="right"/>
            </w:pPr>
            <w:r>
              <w:rPr>
                <w:b w:val="false"/>
                <w:bCs w:val="false"/>
                <w:color w:val="2B2F36"/>
                <w:sz w:val="20"/>
                <w:szCs w:val="20"/>
              </w:rPr>
              <w:t xml:space="preserve">5</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P08-S03</w:t>
            </w:r>
          </w:p>
        </w:tc>
        <w:tc>
          <w:tcPr>
            <w:tcW w:type="dxa" w:w="5400"/>
            <w:tcMar>
              <w:top w:type="dxa" w:w="60"/>
              <w:left w:type="dxa" w:w="110"/>
              <w:bottom w:type="dxa" w:w="60"/>
              <w:right w:type="dxa" w:w="110"/>
            </w:tcMar>
          </w:tcPr>
          <w:p>
            <w:pPr>
              <w:jc w:val="left"/>
            </w:pPr>
            <w:r>
              <w:rPr>
                <w:b w:val="false"/>
                <w:bCs w:val="false"/>
                <w:color w:val="2B2F36"/>
                <w:sz w:val="20"/>
                <w:szCs w:val="20"/>
              </w:rPr>
              <w:t xml:space="preserve">Security review — server-side scoping on every endpoint, role matrix, authz tests</w:t>
            </w:r>
          </w:p>
        </w:tc>
        <w:tc>
          <w:tcPr>
            <w:tcW w:type="dxa" w:w="560"/>
            <w:tcMar>
              <w:top w:type="dxa" w:w="60"/>
              <w:left w:type="dxa" w:w="110"/>
              <w:bottom w:type="dxa" w:w="60"/>
              <w:right w:type="dxa" w:w="110"/>
            </w:tcMar>
          </w:tcPr>
          <w:p>
            <w:pPr>
              <w:jc w:val="center"/>
            </w:pPr>
            <w:r>
              <w:rPr>
                <w:b w:val="false"/>
                <w:bCs w:val="false"/>
                <w:color w:val="2B2F36"/>
                <w:sz w:val="20"/>
                <w:szCs w:val="20"/>
              </w:rPr>
              <w:t xml:space="preserve">L</w:t>
            </w:r>
          </w:p>
        </w:tc>
        <w:tc>
          <w:tcPr>
            <w:tcW w:type="dxa" w:w="1210"/>
            <w:tcMar>
              <w:top w:type="dxa" w:w="60"/>
              <w:left w:type="dxa" w:w="110"/>
              <w:bottom w:type="dxa" w:w="60"/>
              <w:right w:type="dxa" w:w="110"/>
            </w:tcMar>
          </w:tcPr>
          <w:p>
            <w:pPr>
              <w:jc w:val="right"/>
            </w:pPr>
            <w:r>
              <w:rPr>
                <w:b w:val="false"/>
                <w:bCs w:val="false"/>
                <w:color w:val="2B2F36"/>
                <w:sz w:val="20"/>
                <w:szCs w:val="20"/>
              </w:rPr>
              <w:t xml:space="preserve">17</w:t>
            </w:r>
          </w:p>
        </w:tc>
        <w:tc>
          <w:tcPr>
            <w:tcW w:type="dxa" w:w="1210"/>
            <w:tcMar>
              <w:top w:type="dxa" w:w="60"/>
              <w:left w:type="dxa" w:w="110"/>
              <w:bottom w:type="dxa" w:w="60"/>
              <w:right w:type="dxa" w:w="110"/>
            </w:tcMar>
          </w:tcPr>
          <w:p>
            <w:pPr>
              <w:jc w:val="right"/>
            </w:pPr>
            <w:r>
              <w:rPr>
                <w:b w:val="false"/>
                <w:bCs w:val="false"/>
                <w:color w:val="2B2F36"/>
                <w:sz w:val="20"/>
                <w:szCs w:val="20"/>
              </w:rPr>
              <w:t xml:space="preserve">7</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P08-S04</w:t>
            </w:r>
          </w:p>
        </w:tc>
        <w:tc>
          <w:tcPr>
            <w:tcW w:type="dxa" w:w="5400"/>
            <w:tcMar>
              <w:top w:type="dxa" w:w="60"/>
              <w:left w:type="dxa" w:w="110"/>
              <w:bottom w:type="dxa" w:w="60"/>
              <w:right w:type="dxa" w:w="110"/>
            </w:tcMar>
          </w:tcPr>
          <w:p>
            <w:pPr>
              <w:jc w:val="left"/>
            </w:pPr>
            <w:r>
              <w:rPr>
                <w:b w:val="false"/>
                <w:bCs w:val="false"/>
                <w:color w:val="2B2F36"/>
                <w:sz w:val="20"/>
                <w:szCs w:val="20"/>
              </w:rPr>
              <w:t xml:space="preserve">Audit completeness — immutable ledger + before/after snapshots, reprint / override auditing</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P08-S05</w:t>
            </w:r>
          </w:p>
        </w:tc>
        <w:tc>
          <w:tcPr>
            <w:tcW w:type="dxa" w:w="5400"/>
            <w:tcMar>
              <w:top w:type="dxa" w:w="60"/>
              <w:left w:type="dxa" w:w="110"/>
              <w:bottom w:type="dxa" w:w="60"/>
              <w:right w:type="dxa" w:w="110"/>
            </w:tcMar>
          </w:tcPr>
          <w:p>
            <w:pPr>
              <w:jc w:val="left"/>
            </w:pPr>
            <w:r>
              <w:rPr>
                <w:b w:val="false"/>
                <w:bCs w:val="false"/>
                <w:color w:val="2B2F36"/>
                <w:sz w:val="20"/>
                <w:szCs w:val="20"/>
              </w:rPr>
              <w:t xml:space="preserve">Operations dashboard wired to live rollups</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tcMar>
              <w:top w:type="dxa" w:w="60"/>
              <w:left w:type="dxa" w:w="110"/>
              <w:bottom w:type="dxa" w:w="60"/>
              <w:right w:type="dxa" w:w="110"/>
            </w:tcMar>
          </w:tcPr>
          <w:p>
            <w:pPr>
              <w:jc w:val="left"/>
            </w:pPr>
            <w:r>
              <w:rPr>
                <w:b w:val="false"/>
                <w:bCs w:val="false"/>
                <w:color w:val="2B2F36"/>
                <w:sz w:val="20"/>
                <w:szCs w:val="20"/>
              </w:rPr>
              <w:t xml:space="preserve">P08-S07</w:t>
            </w:r>
          </w:p>
        </w:tc>
        <w:tc>
          <w:tcPr>
            <w:tcW w:type="dxa" w:w="5400"/>
            <w:tcMar>
              <w:top w:type="dxa" w:w="60"/>
              <w:left w:type="dxa" w:w="110"/>
              <w:bottom w:type="dxa" w:w="60"/>
              <w:right w:type="dxa" w:w="110"/>
            </w:tcMar>
          </w:tcPr>
          <w:p>
            <w:pPr>
              <w:jc w:val="left"/>
            </w:pPr>
            <w:r>
              <w:rPr>
                <w:b w:val="false"/>
                <w:bCs w:val="false"/>
                <w:color w:val="2B2F36"/>
                <w:sz w:val="20"/>
                <w:szCs w:val="20"/>
              </w:rPr>
              <w:t xml:space="preserve">Carry-over alignment sweep — shared capacity service, dispatch-txn parity, etc.</w:t>
            </w:r>
          </w:p>
        </w:tc>
        <w:tc>
          <w:tcPr>
            <w:tcW w:type="dxa" w:w="560"/>
            <w:tcMar>
              <w:top w:type="dxa" w:w="60"/>
              <w:left w:type="dxa" w:w="110"/>
              <w:bottom w:type="dxa" w:w="60"/>
              <w:right w:type="dxa" w:w="110"/>
            </w:tcMar>
          </w:tcPr>
          <w:p>
            <w:pPr>
              <w:jc w:val="center"/>
            </w:pPr>
            <w:r>
              <w:rPr>
                <w:b w:val="false"/>
                <w:bCs w:val="false"/>
                <w:color w:val="2B2F36"/>
                <w:sz w:val="20"/>
                <w:szCs w:val="20"/>
              </w:rPr>
              <w:t xml:space="preserve">M</w:t>
            </w:r>
          </w:p>
        </w:tc>
        <w:tc>
          <w:tcPr>
            <w:tcW w:type="dxa" w:w="1210"/>
            <w:tcMar>
              <w:top w:type="dxa" w:w="60"/>
              <w:left w:type="dxa" w:w="110"/>
              <w:bottom w:type="dxa" w:w="60"/>
              <w:right w:type="dxa" w:w="110"/>
            </w:tcMar>
          </w:tcPr>
          <w:p>
            <w:pPr>
              <w:jc w:val="right"/>
            </w:pPr>
            <w:r>
              <w:rPr>
                <w:b w:val="false"/>
                <w:bCs w:val="false"/>
                <w:color w:val="2B2F36"/>
                <w:sz w:val="20"/>
                <w:szCs w:val="20"/>
              </w:rPr>
              <w:t xml:space="preserve">9</w:t>
            </w:r>
          </w:p>
        </w:tc>
        <w:tc>
          <w:tcPr>
            <w:tcW w:type="dxa" w:w="1210"/>
            <w:tcMar>
              <w:top w:type="dxa" w:w="60"/>
              <w:left w:type="dxa" w:w="110"/>
              <w:bottom w:type="dxa" w:w="60"/>
              <w:right w:type="dxa" w:w="110"/>
            </w:tcMar>
          </w:tcPr>
          <w:p>
            <w:pPr>
              <w:jc w:val="right"/>
            </w:pPr>
            <w:r>
              <w:rPr>
                <w:b w:val="false"/>
                <w:bCs w:val="false"/>
                <w:color w:val="2B2F36"/>
                <w:sz w:val="20"/>
                <w:szCs w:val="20"/>
              </w:rPr>
              <w:t xml:space="preserve">3</w:t>
            </w:r>
          </w:p>
        </w:tc>
      </w:tr>
      <w:tr>
        <w:tc>
          <w:tcPr>
            <w:tcW w:type="dxa" w:w="980"/>
            <w:shd w:fill="F4F8FD" w:val="clear"/>
            <w:tcMar>
              <w:top w:type="dxa" w:w="60"/>
              <w:left w:type="dxa" w:w="110"/>
              <w:bottom w:type="dxa" w:w="60"/>
              <w:right w:type="dxa" w:w="110"/>
            </w:tcMar>
          </w:tcPr>
          <w:p>
            <w:pPr>
              <w:jc w:val="left"/>
            </w:pPr>
            <w:r>
              <w:rPr>
                <w:b/>
                <w:bCs/>
                <w:color w:val="2B2F36"/>
                <w:sz w:val="20"/>
                <w:szCs w:val="20"/>
              </w:rPr>
              <w:t xml:space="preserve"/>
            </w:r>
          </w:p>
        </w:tc>
        <w:tc>
          <w:tcPr>
            <w:tcW w:type="dxa" w:w="5400"/>
            <w:shd w:fill="F4F8FD" w:val="clear"/>
            <w:tcMar>
              <w:top w:type="dxa" w:w="60"/>
              <w:left w:type="dxa" w:w="110"/>
              <w:bottom w:type="dxa" w:w="60"/>
              <w:right w:type="dxa" w:w="110"/>
            </w:tcMar>
          </w:tcPr>
          <w:p>
            <w:pPr>
              <w:jc w:val="left"/>
            </w:pPr>
            <w:r>
              <w:rPr>
                <w:b/>
                <w:bCs/>
                <w:color w:val="2B2F36"/>
                <w:sz w:val="20"/>
                <w:szCs w:val="20"/>
              </w:rPr>
              <w:t xml:space="preserve">Phase 8 subtotal</w:t>
            </w:r>
          </w:p>
        </w:tc>
        <w:tc>
          <w:tcPr>
            <w:tcW w:type="dxa" w:w="560"/>
            <w:shd w:fill="F4F8FD" w:val="clear"/>
            <w:tcMar>
              <w:top w:type="dxa" w:w="60"/>
              <w:left w:type="dxa" w:w="110"/>
              <w:bottom w:type="dxa" w:w="60"/>
              <w:right w:type="dxa" w:w="110"/>
            </w:tcMar>
          </w:tcPr>
          <w:p>
            <w:pPr>
              <w:jc w:val="center"/>
            </w:pPr>
            <w:r>
              <w:rPr>
                <w:b/>
                <w:bCs/>
                <w:color w:val="2B2F36"/>
                <w:sz w:val="20"/>
                <w:szCs w:val="20"/>
              </w:rPr>
              <w:t xml:space="preserve"/>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66</w:t>
            </w:r>
          </w:p>
        </w:tc>
        <w:tc>
          <w:tcPr>
            <w:tcW w:type="dxa" w:w="1210"/>
            <w:shd w:fill="F4F8FD" w:val="clear"/>
            <w:tcMar>
              <w:top w:type="dxa" w:w="60"/>
              <w:left w:type="dxa" w:w="110"/>
              <w:bottom w:type="dxa" w:w="60"/>
              <w:right w:type="dxa" w:w="110"/>
            </w:tcMar>
          </w:tcPr>
          <w:p>
            <w:pPr>
              <w:jc w:val="right"/>
            </w:pPr>
            <w:r>
              <w:rPr>
                <w:b/>
                <w:bCs/>
                <w:color w:val="2B2F36"/>
                <w:sz w:val="20"/>
                <w:szCs w:val="20"/>
              </w:rPr>
              <w:t xml:space="preserve">24</w:t>
            </w:r>
          </w:p>
        </w:tc>
      </w:tr>
    </w:tbl>
    <w:p>
      <w:pPr>
        <w:spacing w:after="20" w:before="0"/>
      </w:pPr>
      <w:r>
        <w:rPr>
          <w:b w:val="false"/>
          <w:bCs w:val="false"/>
          <w:i w:val="false"/>
          <w:iCs w:val="false"/>
          <w:color w:val="2B2F36"/>
          <w:sz w:val="6"/>
          <w:szCs w:val="6"/>
        </w:rPr>
        <w:t xml:space="preserve"/>
      </w:r>
    </w:p>
    <w:p>
      <w:pPr>
        <w:pStyle w:val="Heading2"/>
      </w:pPr>
      <w:r>
        <w:t xml:space="preserve">Optional — conditional on decision #5</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980"/>
        <w:gridCol w:w="5400"/>
        <w:gridCol w:w="560"/>
        <w:gridCol w:w="1210"/>
        <w:gridCol w:w="1210"/>
      </w:tblGrid>
      <w:tr>
        <w:trPr>
          <w:tblHeader/>
        </w:trPr>
        <w:tc>
          <w:tcPr>
            <w:tcW w:type="dxa" w:w="980"/>
            <w:shd w:fill="EAF2FB" w:val="clear"/>
            <w:tcMar>
              <w:top w:type="dxa" w:w="60"/>
              <w:left w:type="dxa" w:w="110"/>
              <w:bottom w:type="dxa" w:w="60"/>
              <w:right w:type="dxa" w:w="110"/>
            </w:tcMar>
          </w:tcPr>
          <w:p>
            <w:pPr>
              <w:jc w:val="left"/>
            </w:pPr>
            <w:r>
              <w:rPr>
                <w:b/>
                <w:bCs/>
                <w:color w:val="1559B3"/>
                <w:sz w:val="20"/>
                <w:szCs w:val="20"/>
              </w:rPr>
              <w:t xml:space="preserve">Item</w:t>
            </w:r>
          </w:p>
        </w:tc>
        <w:tc>
          <w:tcPr>
            <w:tcW w:type="dxa" w:w="5400"/>
            <w:shd w:fill="EAF2FB" w:val="clear"/>
            <w:tcMar>
              <w:top w:type="dxa" w:w="60"/>
              <w:left w:type="dxa" w:w="110"/>
              <w:bottom w:type="dxa" w:w="60"/>
              <w:right w:type="dxa" w:w="110"/>
            </w:tcMar>
          </w:tcPr>
          <w:p>
            <w:pPr>
              <w:jc w:val="left"/>
            </w:pPr>
            <w:r>
              <w:rPr>
                <w:b/>
                <w:bCs/>
                <w:color w:val="1559B3"/>
                <w:sz w:val="20"/>
                <w:szCs w:val="20"/>
              </w:rPr>
              <w:t xml:space="preserve">Delivers</w:t>
            </w:r>
          </w:p>
        </w:tc>
        <w:tc>
          <w:tcPr>
            <w:tcW w:type="dxa" w:w="560"/>
            <w:shd w:fill="EAF2FB" w:val="clear"/>
            <w:tcMar>
              <w:top w:type="dxa" w:w="60"/>
              <w:left w:type="dxa" w:w="110"/>
              <w:bottom w:type="dxa" w:w="60"/>
              <w:right w:type="dxa" w:w="110"/>
            </w:tcMar>
          </w:tcPr>
          <w:p>
            <w:pPr>
              <w:jc w:val="center"/>
            </w:pPr>
            <w:r>
              <w:rPr>
                <w:b/>
                <w:bCs/>
                <w:color w:val="1559B3"/>
                <w:sz w:val="20"/>
                <w:szCs w:val="20"/>
              </w:rPr>
              <w:t xml:space="preserve">Tier</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21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980"/>
            <w:shd w:fill="F4F8FD" w:val="clear"/>
            <w:tcMar>
              <w:top w:type="dxa" w:w="60"/>
              <w:left w:type="dxa" w:w="110"/>
              <w:bottom w:type="dxa" w:w="60"/>
              <w:right w:type="dxa" w:w="110"/>
            </w:tcMar>
          </w:tcPr>
          <w:p>
            <w:pPr>
              <w:jc w:val="left"/>
            </w:pPr>
            <w:r>
              <w:rPr>
                <w:b w:val="false"/>
                <w:bCs w:val="false"/>
                <w:color w:val="2B2F36"/>
                <w:sz w:val="20"/>
                <w:szCs w:val="20"/>
              </w:rPr>
              <w:t xml:space="preserve">P08-S06</w:t>
            </w:r>
          </w:p>
        </w:tc>
        <w:tc>
          <w:tcPr>
            <w:tcW w:type="dxa" w:w="5400"/>
            <w:shd w:fill="F4F8FD" w:val="clear"/>
            <w:tcMar>
              <w:top w:type="dxa" w:w="60"/>
              <w:left w:type="dxa" w:w="110"/>
              <w:bottom w:type="dxa" w:w="60"/>
              <w:right w:type="dxa" w:w="110"/>
            </w:tcMar>
          </w:tcPr>
          <w:p>
            <w:pPr>
              <w:jc w:val="left"/>
            </w:pPr>
            <w:r>
              <w:rPr>
                <w:b w:val="false"/>
                <w:bCs w:val="false"/>
                <w:color w:val="2B2F36"/>
                <w:sz w:val="20"/>
                <w:szCs w:val="20"/>
              </w:rPr>
              <w:t xml:space="preserve">PWA offline sync — IndexedDB queue, sync-on-reconnect, conflict resolution (only if offline scanning is a v1 requirement — open decision #5)</w:t>
            </w:r>
          </w:p>
        </w:tc>
        <w:tc>
          <w:tcPr>
            <w:tcW w:type="dxa" w:w="560"/>
            <w:shd w:fill="F4F8FD" w:val="clear"/>
            <w:tcMar>
              <w:top w:type="dxa" w:w="60"/>
              <w:left w:type="dxa" w:w="110"/>
              <w:bottom w:type="dxa" w:w="60"/>
              <w:right w:type="dxa" w:w="110"/>
            </w:tcMar>
          </w:tcPr>
          <w:p>
            <w:pPr>
              <w:jc w:val="center"/>
            </w:pPr>
            <w:r>
              <w:rPr>
                <w:b w:val="false"/>
                <w:bCs w:val="false"/>
                <w:color w:val="2B2F36"/>
                <w:sz w:val="20"/>
                <w:szCs w:val="20"/>
              </w:rPr>
              <w:t xml:space="preserve">XL</w:t>
            </w:r>
          </w:p>
        </w:tc>
        <w:tc>
          <w:tcPr>
            <w:tcW w:type="dxa" w:w="1210"/>
            <w:shd w:fill="F4F8FD" w:val="clear"/>
            <w:tcMar>
              <w:top w:type="dxa" w:w="60"/>
              <w:left w:type="dxa" w:w="110"/>
              <w:bottom w:type="dxa" w:w="60"/>
              <w:right w:type="dxa" w:w="110"/>
            </w:tcMar>
          </w:tcPr>
          <w:p>
            <w:pPr>
              <w:jc w:val="right"/>
            </w:pPr>
            <w:r>
              <w:rPr>
                <w:b w:val="false"/>
                <w:bCs w:val="false"/>
                <w:color w:val="2B2F36"/>
                <w:sz w:val="20"/>
                <w:szCs w:val="20"/>
              </w:rPr>
              <w:t xml:space="preserve">28</w:t>
            </w:r>
          </w:p>
        </w:tc>
        <w:tc>
          <w:tcPr>
            <w:tcW w:type="dxa" w:w="1210"/>
            <w:shd w:fill="F4F8FD" w:val="clear"/>
            <w:tcMar>
              <w:top w:type="dxa" w:w="60"/>
              <w:left w:type="dxa" w:w="110"/>
              <w:bottom w:type="dxa" w:w="60"/>
              <w:right w:type="dxa" w:w="110"/>
            </w:tcMar>
          </w:tcPr>
          <w:p>
            <w:pPr>
              <w:jc w:val="right"/>
            </w:pPr>
            <w:r>
              <w:rPr>
                <w:b w:val="false"/>
                <w:bCs w:val="false"/>
                <w:color w:val="2B2F36"/>
                <w:sz w:val="20"/>
                <w:szCs w:val="20"/>
              </w:rPr>
              <w:t xml:space="preserve">12.5</w:t>
            </w:r>
          </w:p>
        </w:tc>
      </w:tr>
    </w:tbl>
    <w:p>
      <w:pPr>
        <w:pStyle w:val="Heading1"/>
        <w:pageBreakBefore/>
      </w:pPr>
      <w:r>
        <w:t xml:space="preserve">4 · Overhead, Risk &amp; Adjusting the Estimate</w:t>
      </w:r>
    </w:p>
    <w:p>
      <w:pPr>
        <w:pStyle w:val="Heading2"/>
      </w:pPr>
      <w:r>
        <w:t xml:space="preserve">Delivery overhead</w:t>
      </w:r>
    </w:p>
    <w:p>
      <w:pPr>
        <w:spacing w:after="120" w:before="0"/>
      </w:pPr>
      <w:r>
        <w:rPr>
          <w:b w:val="false"/>
          <w:bCs w:val="false"/>
          <w:i w:val="false"/>
          <w:iCs w:val="false"/>
          <w:color w:val="2B2F36"/>
          <w:sz w:val="21"/>
          <w:szCs w:val="21"/>
        </w:rPr>
        <w:t xml:space="preserve">Applied as a percentage of the engineering subtotal (it scales with the work):</w:t>
      </w:r>
    </w:p>
    <w:tbl>
      <w:tblPr>
        <w:tblW w:type="dxa" w:w="9360"/>
        <w:tblBorders>
          <w:top w:val="single" w:color="C9CED6" w:sz="1"/>
          <w:left w:val="single" w:color="C9CED6" w:sz="1"/>
          <w:bottom w:val="single" w:color="C9CED6" w:sz="1"/>
          <w:right w:val="single" w:color="C9CED6" w:sz="1"/>
          <w:insideH w:val="single" w:color="E4E7EC" w:sz="1"/>
          <w:insideV w:val="single" w:color="E4E7EC" w:sz="1"/>
        </w:tblBorders>
      </w:tblPr>
      <w:tblGrid>
        <w:gridCol w:w="5200"/>
        <w:gridCol w:w="900"/>
        <w:gridCol w:w="1630"/>
        <w:gridCol w:w="1630"/>
      </w:tblGrid>
      <w:tr>
        <w:trPr>
          <w:tblHeader/>
        </w:trPr>
        <w:tc>
          <w:tcPr>
            <w:tcW w:type="dxa" w:w="5200"/>
            <w:shd w:fill="EAF2FB" w:val="clear"/>
            <w:tcMar>
              <w:top w:type="dxa" w:w="60"/>
              <w:left w:type="dxa" w:w="110"/>
              <w:bottom w:type="dxa" w:w="60"/>
              <w:right w:type="dxa" w:w="110"/>
            </w:tcMar>
          </w:tcPr>
          <w:p>
            <w:pPr>
              <w:jc w:val="left"/>
            </w:pPr>
            <w:r>
              <w:rPr>
                <w:b/>
                <w:bCs/>
                <w:color w:val="1559B3"/>
                <w:sz w:val="20"/>
                <w:szCs w:val="20"/>
              </w:rPr>
              <w:t xml:space="preserve">Overhead component</w:t>
            </w:r>
          </w:p>
        </w:tc>
        <w:tc>
          <w:tcPr>
            <w:tcW w:type="dxa" w:w="900"/>
            <w:shd w:fill="EAF2FB" w:val="clear"/>
            <w:tcMar>
              <w:top w:type="dxa" w:w="60"/>
              <w:left w:type="dxa" w:w="110"/>
              <w:bottom w:type="dxa" w:w="60"/>
              <w:right w:type="dxa" w:w="110"/>
            </w:tcMar>
          </w:tcPr>
          <w:p>
            <w:pPr>
              <w:jc w:val="right"/>
            </w:pPr>
            <w:r>
              <w:rPr>
                <w:b/>
                <w:bCs/>
                <w:color w:val="1559B3"/>
                <w:sz w:val="20"/>
                <w:szCs w:val="20"/>
              </w:rPr>
              <w:t xml:space="preserve">%</w:t>
            </w:r>
          </w:p>
        </w:tc>
        <w:tc>
          <w:tcPr>
            <w:tcW w:type="dxa" w:w="1630"/>
            <w:shd w:fill="EAF2FB" w:val="clear"/>
            <w:tcMar>
              <w:top w:type="dxa" w:w="60"/>
              <w:left w:type="dxa" w:w="110"/>
              <w:bottom w:type="dxa" w:w="60"/>
              <w:right w:type="dxa" w:w="110"/>
            </w:tcMar>
          </w:tcPr>
          <w:p>
            <w:pPr>
              <w:jc w:val="right"/>
            </w:pPr>
            <w:r>
              <w:rPr>
                <w:b/>
                <w:bCs/>
                <w:color w:val="1559B3"/>
                <w:sz w:val="20"/>
                <w:szCs w:val="20"/>
              </w:rPr>
              <w:t xml:space="preserve">Trad. md</w:t>
            </w:r>
          </w:p>
        </w:tc>
        <w:tc>
          <w:tcPr>
            <w:tcW w:type="dxa" w:w="1630"/>
            <w:shd w:fill="EAF2FB" w:val="clear"/>
            <w:tcMar>
              <w:top w:type="dxa" w:w="60"/>
              <w:left w:type="dxa" w:w="110"/>
              <w:bottom w:type="dxa" w:w="60"/>
              <w:right w:type="dxa" w:w="110"/>
            </w:tcMar>
          </w:tcPr>
          <w:p>
            <w:pPr>
              <w:jc w:val="right"/>
            </w:pPr>
            <w:r>
              <w:rPr>
                <w:b/>
                <w:bCs/>
                <w:color w:val="1559B3"/>
                <w:sz w:val="20"/>
                <w:szCs w:val="20"/>
              </w:rPr>
              <w:t xml:space="preserve">Opus md</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System test, integration &amp; UAT</w:t>
            </w:r>
          </w:p>
        </w:tc>
        <w:tc>
          <w:tcPr>
            <w:tcW w:type="dxa" w:w="900"/>
            <w:tcMar>
              <w:top w:type="dxa" w:w="60"/>
              <w:left w:type="dxa" w:w="110"/>
              <w:bottom w:type="dxa" w:w="60"/>
              <w:right w:type="dxa" w:w="110"/>
            </w:tcMar>
          </w:tcPr>
          <w:p>
            <w:pPr>
              <w:jc w:val="right"/>
            </w:pPr>
            <w:r>
              <w:rPr>
                <w:b w:val="false"/>
                <w:bCs w:val="false"/>
                <w:color w:val="2B2F36"/>
                <w:sz w:val="20"/>
                <w:szCs w:val="20"/>
              </w:rPr>
              <w:t xml:space="preserve">12%</w:t>
            </w:r>
          </w:p>
        </w:tc>
        <w:tc>
          <w:tcPr>
            <w:tcW w:type="dxa" w:w="1630"/>
            <w:tcMar>
              <w:top w:type="dxa" w:w="60"/>
              <w:left w:type="dxa" w:w="110"/>
              <w:bottom w:type="dxa" w:w="60"/>
              <w:right w:type="dxa" w:w="110"/>
            </w:tcMar>
          </w:tcPr>
          <w:p>
            <w:pPr>
              <w:jc w:val="right"/>
            </w:pPr>
            <w:r>
              <w:rPr>
                <w:b w:val="false"/>
                <w:bCs w:val="false"/>
                <w:color w:val="2B2F36"/>
                <w:sz w:val="20"/>
                <w:szCs w:val="20"/>
              </w:rPr>
              <w:t xml:space="preserve">85</w:t>
            </w:r>
          </w:p>
        </w:tc>
        <w:tc>
          <w:tcPr>
            <w:tcW w:type="dxa" w:w="1630"/>
            <w:tcMar>
              <w:top w:type="dxa" w:w="60"/>
              <w:left w:type="dxa" w:w="110"/>
              <w:bottom w:type="dxa" w:w="60"/>
              <w:right w:type="dxa" w:w="110"/>
            </w:tcMar>
          </w:tcPr>
          <w:p>
            <w:pPr>
              <w:jc w:val="right"/>
            </w:pPr>
            <w:r>
              <w:rPr>
                <w:b w:val="false"/>
                <w:bCs w:val="false"/>
                <w:color w:val="2B2F36"/>
                <w:sz w:val="20"/>
                <w:szCs w:val="20"/>
              </w:rPr>
              <w:t xml:space="preserve">31.9</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Project management &amp; coordination</w:t>
            </w:r>
          </w:p>
        </w:tc>
        <w:tc>
          <w:tcPr>
            <w:tcW w:type="dxa" w:w="900"/>
            <w:tcMar>
              <w:top w:type="dxa" w:w="60"/>
              <w:left w:type="dxa" w:w="110"/>
              <w:bottom w:type="dxa" w:w="60"/>
              <w:right w:type="dxa" w:w="110"/>
            </w:tcMar>
          </w:tcPr>
          <w:p>
            <w:pPr>
              <w:jc w:val="right"/>
            </w:pPr>
            <w:r>
              <w:rPr>
                <w:b w:val="false"/>
                <w:bCs w:val="false"/>
                <w:color w:val="2B2F36"/>
                <w:sz w:val="20"/>
                <w:szCs w:val="20"/>
              </w:rPr>
              <w:t xml:space="preserve">12%</w:t>
            </w:r>
          </w:p>
        </w:tc>
        <w:tc>
          <w:tcPr>
            <w:tcW w:type="dxa" w:w="1630"/>
            <w:tcMar>
              <w:top w:type="dxa" w:w="60"/>
              <w:left w:type="dxa" w:w="110"/>
              <w:bottom w:type="dxa" w:w="60"/>
              <w:right w:type="dxa" w:w="110"/>
            </w:tcMar>
          </w:tcPr>
          <w:p>
            <w:pPr>
              <w:jc w:val="right"/>
            </w:pPr>
            <w:r>
              <w:rPr>
                <w:b w:val="false"/>
                <w:bCs w:val="false"/>
                <w:color w:val="2B2F36"/>
                <w:sz w:val="20"/>
                <w:szCs w:val="20"/>
              </w:rPr>
              <w:t xml:space="preserve">85</w:t>
            </w:r>
          </w:p>
        </w:tc>
        <w:tc>
          <w:tcPr>
            <w:tcW w:type="dxa" w:w="1630"/>
            <w:tcMar>
              <w:top w:type="dxa" w:w="60"/>
              <w:left w:type="dxa" w:w="110"/>
              <w:bottom w:type="dxa" w:w="60"/>
              <w:right w:type="dxa" w:w="110"/>
            </w:tcMar>
          </w:tcPr>
          <w:p>
            <w:pPr>
              <w:jc w:val="right"/>
            </w:pPr>
            <w:r>
              <w:rPr>
                <w:b w:val="false"/>
                <w:bCs w:val="false"/>
                <w:color w:val="2B2F36"/>
                <w:sz w:val="20"/>
                <w:szCs w:val="20"/>
              </w:rPr>
              <w:t xml:space="preserve">31.9</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Client review &amp; iteration loops</w:t>
            </w:r>
          </w:p>
        </w:tc>
        <w:tc>
          <w:tcPr>
            <w:tcW w:type="dxa" w:w="900"/>
            <w:tcMar>
              <w:top w:type="dxa" w:w="60"/>
              <w:left w:type="dxa" w:w="110"/>
              <w:bottom w:type="dxa" w:w="60"/>
              <w:right w:type="dxa" w:w="110"/>
            </w:tcMar>
          </w:tcPr>
          <w:p>
            <w:pPr>
              <w:jc w:val="right"/>
            </w:pPr>
            <w:r>
              <w:rPr>
                <w:b w:val="false"/>
                <w:bCs w:val="false"/>
                <w:color w:val="2B2F36"/>
                <w:sz w:val="20"/>
                <w:szCs w:val="20"/>
              </w:rPr>
              <w:t xml:space="preserve">8%</w:t>
            </w:r>
          </w:p>
        </w:tc>
        <w:tc>
          <w:tcPr>
            <w:tcW w:type="dxa" w:w="1630"/>
            <w:tcMar>
              <w:top w:type="dxa" w:w="60"/>
              <w:left w:type="dxa" w:w="110"/>
              <w:bottom w:type="dxa" w:w="60"/>
              <w:right w:type="dxa" w:w="110"/>
            </w:tcMar>
          </w:tcPr>
          <w:p>
            <w:pPr>
              <w:jc w:val="right"/>
            </w:pPr>
            <w:r>
              <w:rPr>
                <w:b w:val="false"/>
                <w:bCs w:val="false"/>
                <w:color w:val="2B2F36"/>
                <w:sz w:val="20"/>
                <w:szCs w:val="20"/>
              </w:rPr>
              <w:t xml:space="preserve">56.6</w:t>
            </w:r>
          </w:p>
        </w:tc>
        <w:tc>
          <w:tcPr>
            <w:tcW w:type="dxa" w:w="1630"/>
            <w:tcMar>
              <w:top w:type="dxa" w:w="60"/>
              <w:left w:type="dxa" w:w="110"/>
              <w:bottom w:type="dxa" w:w="60"/>
              <w:right w:type="dxa" w:w="110"/>
            </w:tcMar>
          </w:tcPr>
          <w:p>
            <w:pPr>
              <w:jc w:val="right"/>
            </w:pPr>
            <w:r>
              <w:rPr>
                <w:b w:val="false"/>
                <w:bCs w:val="false"/>
                <w:color w:val="2B2F36"/>
                <w:sz w:val="20"/>
                <w:szCs w:val="20"/>
              </w:rPr>
              <w:t xml:space="preserve">21.3</w:t>
            </w:r>
          </w:p>
        </w:tc>
      </w:tr>
      <w:tr>
        <w:tc>
          <w:tcPr>
            <w:tcW w:type="dxa" w:w="5200"/>
            <w:tcMar>
              <w:top w:type="dxa" w:w="60"/>
              <w:left w:type="dxa" w:w="110"/>
              <w:bottom w:type="dxa" w:w="60"/>
              <w:right w:type="dxa" w:w="110"/>
            </w:tcMar>
          </w:tcPr>
          <w:p>
            <w:pPr>
              <w:jc w:val="left"/>
            </w:pPr>
            <w:r>
              <w:rPr>
                <w:b w:val="false"/>
                <w:bCs w:val="false"/>
                <w:color w:val="2B2F36"/>
                <w:sz w:val="20"/>
                <w:szCs w:val="20"/>
              </w:rPr>
              <w:t xml:space="preserve">Environment, CI/CD, SQL migration &amp; release</w:t>
            </w:r>
          </w:p>
        </w:tc>
        <w:tc>
          <w:tcPr>
            <w:tcW w:type="dxa" w:w="900"/>
            <w:tcMar>
              <w:top w:type="dxa" w:w="60"/>
              <w:left w:type="dxa" w:w="110"/>
              <w:bottom w:type="dxa" w:w="60"/>
              <w:right w:type="dxa" w:w="110"/>
            </w:tcMar>
          </w:tcPr>
          <w:p>
            <w:pPr>
              <w:jc w:val="right"/>
            </w:pPr>
            <w:r>
              <w:rPr>
                <w:b w:val="false"/>
                <w:bCs w:val="false"/>
                <w:color w:val="2B2F36"/>
                <w:sz w:val="20"/>
                <w:szCs w:val="20"/>
              </w:rPr>
              <w:t xml:space="preserve">5%</w:t>
            </w:r>
          </w:p>
        </w:tc>
        <w:tc>
          <w:tcPr>
            <w:tcW w:type="dxa" w:w="1630"/>
            <w:tcMar>
              <w:top w:type="dxa" w:w="60"/>
              <w:left w:type="dxa" w:w="110"/>
              <w:bottom w:type="dxa" w:w="60"/>
              <w:right w:type="dxa" w:w="110"/>
            </w:tcMar>
          </w:tcPr>
          <w:p>
            <w:pPr>
              <w:jc w:val="right"/>
            </w:pPr>
            <w:r>
              <w:rPr>
                <w:b w:val="false"/>
                <w:bCs w:val="false"/>
                <w:color w:val="2B2F36"/>
                <w:sz w:val="20"/>
                <w:szCs w:val="20"/>
              </w:rPr>
              <w:t xml:space="preserve">35.4</w:t>
            </w:r>
          </w:p>
        </w:tc>
        <w:tc>
          <w:tcPr>
            <w:tcW w:type="dxa" w:w="1630"/>
            <w:tcMar>
              <w:top w:type="dxa" w:w="60"/>
              <w:left w:type="dxa" w:w="110"/>
              <w:bottom w:type="dxa" w:w="60"/>
              <w:right w:type="dxa" w:w="110"/>
            </w:tcMar>
          </w:tcPr>
          <w:p>
            <w:pPr>
              <w:jc w:val="right"/>
            </w:pPr>
            <w:r>
              <w:rPr>
                <w:b w:val="false"/>
                <w:bCs w:val="false"/>
                <w:color w:val="2B2F36"/>
                <w:sz w:val="20"/>
                <w:szCs w:val="20"/>
              </w:rPr>
              <w:t xml:space="preserve">13.3</w:t>
            </w:r>
          </w:p>
        </w:tc>
      </w:tr>
      <w:tr>
        <w:tc>
          <w:tcPr>
            <w:tcW w:type="dxa" w:w="5200"/>
            <w:shd w:fill="F4F8FD" w:val="clear"/>
            <w:tcMar>
              <w:top w:type="dxa" w:w="60"/>
              <w:left w:type="dxa" w:w="110"/>
              <w:bottom w:type="dxa" w:w="60"/>
              <w:right w:type="dxa" w:w="110"/>
            </w:tcMar>
          </w:tcPr>
          <w:p>
            <w:pPr>
              <w:jc w:val="left"/>
            </w:pPr>
            <w:r>
              <w:rPr>
                <w:b/>
                <w:bCs/>
                <w:color w:val="2B2F36"/>
                <w:sz w:val="20"/>
                <w:szCs w:val="20"/>
              </w:rPr>
              <w:t xml:space="preserve">Total overhead</w:t>
            </w:r>
          </w:p>
        </w:tc>
        <w:tc>
          <w:tcPr>
            <w:tcW w:type="dxa" w:w="900"/>
            <w:shd w:fill="F4F8FD" w:val="clear"/>
            <w:tcMar>
              <w:top w:type="dxa" w:w="60"/>
              <w:left w:type="dxa" w:w="110"/>
              <w:bottom w:type="dxa" w:w="60"/>
              <w:right w:type="dxa" w:w="110"/>
            </w:tcMar>
          </w:tcPr>
          <w:p>
            <w:pPr>
              <w:jc w:val="right"/>
            </w:pPr>
            <w:r>
              <w:rPr>
                <w:b/>
                <w:bCs/>
                <w:color w:val="2B2F36"/>
                <w:sz w:val="20"/>
                <w:szCs w:val="20"/>
              </w:rPr>
              <w:t xml:space="preserve">37%</w:t>
            </w:r>
          </w:p>
        </w:tc>
        <w:tc>
          <w:tcPr>
            <w:tcW w:type="dxa" w:w="1630"/>
            <w:shd w:fill="F4F8FD" w:val="clear"/>
            <w:tcMar>
              <w:top w:type="dxa" w:w="60"/>
              <w:left w:type="dxa" w:w="110"/>
              <w:bottom w:type="dxa" w:w="60"/>
              <w:right w:type="dxa" w:w="110"/>
            </w:tcMar>
          </w:tcPr>
          <w:p>
            <w:pPr>
              <w:jc w:val="right"/>
            </w:pPr>
            <w:r>
              <w:rPr>
                <w:b/>
                <w:bCs/>
                <w:color w:val="2B2F36"/>
                <w:sz w:val="20"/>
                <w:szCs w:val="20"/>
              </w:rPr>
              <w:t xml:space="preserve">262</w:t>
            </w:r>
          </w:p>
        </w:tc>
        <w:tc>
          <w:tcPr>
            <w:tcW w:type="dxa" w:w="1630"/>
            <w:shd w:fill="F4F8FD" w:val="clear"/>
            <w:tcMar>
              <w:top w:type="dxa" w:w="60"/>
              <w:left w:type="dxa" w:w="110"/>
              <w:bottom w:type="dxa" w:w="60"/>
              <w:right w:type="dxa" w:w="110"/>
            </w:tcMar>
          </w:tcPr>
          <w:p>
            <w:pPr>
              <w:jc w:val="right"/>
            </w:pPr>
            <w:r>
              <w:rPr>
                <w:b/>
                <w:bCs/>
                <w:color w:val="2B2F36"/>
                <w:sz w:val="20"/>
                <w:szCs w:val="20"/>
              </w:rPr>
              <w:t xml:space="preserve">98</w:t>
            </w:r>
          </w:p>
        </w:tc>
      </w:tr>
    </w:tbl>
    <w:p>
      <w:pPr>
        <w:pStyle w:val="Heading2"/>
      </w:pPr>
      <w:r>
        <w:t xml:space="preserve">Risk contingency</w:t>
      </w:r>
    </w:p>
    <w:p>
      <w:pPr>
        <w:spacing w:after="120" w:before="0"/>
      </w:pPr>
      <w:r>
        <w:rPr>
          <w:b w:val="false"/>
          <w:bCs w:val="false"/>
          <w:i w:val="false"/>
          <w:iCs w:val="false"/>
          <w:color w:val="2B2F36"/>
          <w:sz w:val="21"/>
          <w:szCs w:val="21"/>
        </w:rPr>
        <w:t xml:space="preserve">A flat 25% contingency takes the planning (P50) figure to a budget (P80) figure. The risk is concentrated in the brownfield integration — modelling the mock’s nested data as SQL Server 2014 child tables, extending the shared Auth module for tenant/site scoping, the EOL .NET Core 3.1 / Angular 14 tooling, and resolving the five open integration decisions. A team may key the buffer per item instead (+15% known · +30% open question · +50% shared-module / unknown).</w:t>
      </w:r>
    </w:p>
    <w:p>
      <w:pPr>
        <w:pStyle w:val="Heading2"/>
      </w:pPr>
      <w:r>
        <w:t xml:space="preserve">How to adjust</w:t>
      </w:r>
    </w:p>
    <w:p>
      <w:pPr>
        <w:pStyle w:val="ListParagraph"/>
        <w:numPr>
          <w:ilvl w:val="0"/>
          <w:numId w:val="2"/>
        </w:numPr>
        <w:spacing w:after="60"/>
      </w:pPr>
      <w:r>
        <w:rPr>
          <w:b w:val="false"/>
          <w:bCs w:val="false"/>
          <w:i w:val="false"/>
          <w:iCs w:val="false"/>
          <w:color w:val="2B2F36"/>
          <w:sz w:val="21"/>
          <w:szCs w:val="21"/>
        </w:rPr>
        <w:t xml:space="preserve">The estimate is a model with four levers: the per-tier baseline days, the Opus-4.8 factor per tier, the overhead %, and the risk %. Change any one and the totals re-flow.</w:t>
      </w:r>
    </w:p>
    <w:p>
      <w:pPr>
        <w:pStyle w:val="ListParagraph"/>
        <w:numPr>
          <w:ilvl w:val="0"/>
          <w:numId w:val="2"/>
        </w:numPr>
        <w:spacing w:after="60"/>
      </w:pPr>
      <w:r>
        <w:rPr>
          <w:b w:val="false"/>
          <w:bCs w:val="false"/>
          <w:i w:val="false"/>
          <w:iCs w:val="false"/>
          <w:color w:val="2B2F36"/>
          <w:sz w:val="21"/>
          <w:szCs w:val="21"/>
        </w:rPr>
        <w:t xml:space="preserve">The Opus-4.8 factors (0.30–0.45) are the central judgement. If early build items run faster or slower than assumed, recalibrate them after the first 2–3 items and the rest of the estimate follows.</w:t>
      </w:r>
    </w:p>
    <w:p>
      <w:pPr>
        <w:pStyle w:val="ListParagraph"/>
        <w:numPr>
          <w:ilvl w:val="0"/>
          <w:numId w:val="2"/>
        </w:numPr>
        <w:spacing w:after="60"/>
      </w:pPr>
      <w:r>
        <w:rPr>
          <w:b w:val="false"/>
          <w:bCs w:val="false"/>
          <w:i w:val="false"/>
          <w:iCs w:val="false"/>
          <w:color w:val="2B2F36"/>
          <w:sz w:val="21"/>
          <w:szCs w:val="21"/>
        </w:rPr>
        <w:t xml:space="preserve">A line-by-line, adjustable spreadsheet version (one row per build item, with the levers on an assumptions sheet) is the natural next artifact if you want to tune the numbers interactively.</w:t>
      </w:r>
    </w:p>
    <w:p>
      <w:pPr>
        <w:spacing w:after="120" w:before="80"/>
      </w:pPr>
      <w:r>
        <w:rPr>
          <w:b w:val="false"/>
          <w:bCs w:val="false"/>
          <w:i/>
          <w:iCs/>
          <w:color w:val="8A929C"/>
          <w:sz w:val="18"/>
          <w:szCs w:val="18"/>
        </w:rPr>
        <w:t xml:space="preserve">This is a first-cut, top-down-calibrated estimate for planning. It is not a fixed-price quotation; the figure to budget against is the P80 total in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tabs>
        <w:tab w:val="right" w:pos="9360"/>
      </w:tabs>
    </w:pPr>
    <w:r>
      <w:rPr>
        <w:b w:val="false"/>
        <w:bCs w:val="false"/>
        <w:i w:val="false"/>
        <w:iCs w:val="false"/>
        <w:color w:val="8A929C"/>
        <w:sz w:val="16"/>
        <w:szCs w:val="16"/>
      </w:rPr>
      <w:t xml:space="preserve">WMS — Man-Days Estimation (Chiffrage) · code by Claude Opus 4.8</w:t>
    </w:r>
    <w:r>
      <w:rPr>
        <w:sz w:val="16"/>
        <w:szCs w:val="16"/>
      </w:rPr>
      <w:t xml:space="preserve">	</w:t>
    </w:r>
    <w:r>
      <w:rPr>
        <w:color w:val="8A929C"/>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DD4" w:sz="8" w:space="6"/>
      </w:pBdr>
      <w:spacing w:after="160" w:before="320"/>
      <w:outlineLvl w:val="0"/>
    </w:pPr>
    <w:rPr>
      <w:rFonts w:ascii="Arial" w:cs="Arial" w:eastAsia="Arial" w:hAnsi="Arial"/>
      <w:b/>
      <w:bCs/>
      <w:color w:val="1559B3"/>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A6D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 Man-Days Estimation (Chiffrage)</dc:title>
  <dc:creator>WMS Delivery</dc:creator>
  <cp:lastModifiedBy>Un-named</cp:lastModifiedBy>
  <cp:revision>1</cp:revision>
  <dcterms:created xsi:type="dcterms:W3CDTF">2026-06-19T11:27:20.115Z</dcterms:created>
  <dcterms:modified xsi:type="dcterms:W3CDTF">2026-06-19T11:27:20.116Z</dcterms:modified>
</cp:coreProperties>
</file>

<file path=docProps/custom.xml><?xml version="1.0" encoding="utf-8"?>
<Properties xmlns="http://schemas.openxmlformats.org/officeDocument/2006/custom-properties" xmlns:vt="http://schemas.openxmlformats.org/officeDocument/2006/docPropsVTypes"/>
</file>