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2A41"/>
          <w:sz w:val="32"/>
          <w:szCs w:val="32"/>
        </w:rPr>
        <w:t xml:space="preserve">Comparaison des méthodes testées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Évaluation de la similarité de contenu entre documents — stage recherche</w:t>
      </w:r>
    </w:p>
    <w:p>
      <w:pPr>
        <w:spacing w:after="200"/>
      </w:pPr>
      <w:r>
        <w:rPr>
          <w:color w:val="1B2A41"/>
          <w:sz w:val="20"/>
          <w:szCs w:val="20"/>
        </w:rPr>
        <w:t xml:space="preserve">Résultats obtenus sur le corpus de test (document QHSE original vs sa reformulation) 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200"/>
        <w:gridCol w:w="2100"/>
      </w:tblGrid>
      <w:tr>
        <w:tc>
          <w:tcPr>
            <w:tcW w:type="dxa" w:w="2600"/>
            <w:shd w:fill="1B2A4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Famille</w:t>
            </w:r>
          </w:p>
        </w:tc>
        <w:tc>
          <w:tcPr>
            <w:tcW w:type="dxa" w:w="2600"/>
            <w:shd w:fill="1B2A4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200"/>
            <w:shd w:fill="1B2A4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 obtenu</w:t>
            </w:r>
          </w:p>
        </w:tc>
        <w:tc>
          <w:tcPr>
            <w:tcW w:type="dxa" w:w="2100"/>
            <w:shd w:fill="1B2A41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Comprend le sens ?</w:t>
            </w:r>
          </w:p>
        </w:tc>
      </w:tr>
      <w:tr>
        <w:tc>
          <w:tcPr>
            <w:tcW w:type="dxa" w:w="2600"/>
            <w:shd w:fill="F7F5F1" w:val="clear"/>
          </w:tcPr>
          <w:p>
            <w:pPr>
              <w:jc w:val="left"/>
            </w:pPr>
            <w:r>
              <w:rPr>
                <w:b w:val="false"/>
                <w:bCs w:val="false"/>
                <w:color w:val="1B2A41"/>
                <w:sz w:val="20"/>
                <w:szCs w:val="20"/>
              </w:rPr>
              <w:t xml:space="preserve">Lexicale</w:t>
            </w:r>
          </w:p>
        </w:tc>
        <w:tc>
          <w:tcPr>
            <w:tcW w:type="dxa" w:w="2600"/>
            <w:shd w:fill="F7F5F1" w:val="clear"/>
          </w:tcPr>
          <w:p>
            <w:pPr>
              <w:jc w:val="left"/>
            </w:pPr>
            <w:r>
              <w:rPr>
                <w:b w:val="false"/>
                <w:bCs w:val="false"/>
                <w:color w:val="1B2A41"/>
                <w:sz w:val="20"/>
                <w:szCs w:val="20"/>
              </w:rPr>
              <w:t xml:space="preserve">Jaccard</w:t>
            </w:r>
          </w:p>
        </w:tc>
        <w:tc>
          <w:tcPr>
            <w:tcW w:type="dxa" w:w="2200"/>
            <w:shd w:fill="F7F5F1" w:val="clear"/>
          </w:tcPr>
          <w:p>
            <w:pPr>
              <w:jc w:val="center"/>
            </w:pPr>
            <w:r>
              <w:rPr>
                <w:b/>
                <w:bCs/>
                <w:color w:val="B5533C"/>
                <w:sz w:val="20"/>
                <w:szCs w:val="20"/>
              </w:rPr>
              <w:t xml:space="preserve">23,93 %</w:t>
            </w:r>
          </w:p>
        </w:tc>
        <w:tc>
          <w:tcPr>
            <w:tcW w:type="dxa" w:w="2100"/>
            <w:shd w:fill="F7F5F1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2A4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B2A41"/>
                <w:sz w:val="20"/>
                <w:szCs w:val="20"/>
              </w:rPr>
              <w:t xml:space="preserve">Lexicale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B2A41"/>
                <w:sz w:val="20"/>
                <w:szCs w:val="20"/>
              </w:rPr>
              <w:t xml:space="preserve">Levenshtein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color w:val="B5533C"/>
                <w:sz w:val="20"/>
                <w:szCs w:val="20"/>
              </w:rPr>
              <w:t xml:space="preserve">33,71 %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  <w:color w:val="1B2A4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600"/>
            <w:shd w:fill="F7F5F1" w:val="clear"/>
          </w:tcPr>
          <w:p>
            <w:pPr>
              <w:jc w:val="left"/>
            </w:pPr>
            <w:r>
              <w:rPr>
                <w:b w:val="false"/>
                <w:bCs w:val="false"/>
                <w:color w:val="1B2A41"/>
                <w:sz w:val="20"/>
                <w:szCs w:val="20"/>
              </w:rPr>
              <w:t xml:space="preserve">Lexicale</w:t>
            </w:r>
          </w:p>
        </w:tc>
        <w:tc>
          <w:tcPr>
            <w:tcW w:type="dxa" w:w="2600"/>
            <w:shd w:fill="F7F5F1" w:val="clear"/>
          </w:tcPr>
          <w:p>
            <w:pPr>
              <w:jc w:val="left"/>
            </w:pPr>
            <w:r>
              <w:rPr>
                <w:b w:val="false"/>
                <w:bCs w:val="false"/>
                <w:color w:val="1B2A41"/>
                <w:sz w:val="20"/>
                <w:szCs w:val="20"/>
              </w:rPr>
              <w:t xml:space="preserve">MinHash / k-shingling</w:t>
            </w:r>
          </w:p>
        </w:tc>
        <w:tc>
          <w:tcPr>
            <w:tcW w:type="dxa" w:w="2200"/>
            <w:shd w:fill="F7F5F1" w:val="clear"/>
          </w:tcPr>
          <w:p>
            <w:pPr>
              <w:jc w:val="center"/>
            </w:pPr>
            <w:r>
              <w:rPr>
                <w:b/>
                <w:bCs/>
                <w:color w:val="B5533C"/>
                <w:sz w:val="20"/>
                <w:szCs w:val="20"/>
              </w:rPr>
              <w:t xml:space="preserve">3,12 %</w:t>
            </w:r>
          </w:p>
        </w:tc>
        <w:tc>
          <w:tcPr>
            <w:tcW w:type="dxa" w:w="2100"/>
            <w:shd w:fill="F7F5F1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1B2A4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B2A41"/>
                <w:sz w:val="20"/>
                <w:szCs w:val="20"/>
              </w:rPr>
              <w:t xml:space="preserve">Statistique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  <w:color w:val="1B2A41"/>
                <w:sz w:val="20"/>
                <w:szCs w:val="20"/>
              </w:rPr>
              <w:t xml:space="preserve">TF-IDF + cosinus</w:t>
            </w:r>
          </w:p>
        </w:tc>
        <w:tc>
          <w:tcPr>
            <w:tcW w:type="dxa" w:w="2200"/>
          </w:tcPr>
          <w:p>
            <w:pPr>
              <w:jc w:val="center"/>
            </w:pPr>
            <w:r>
              <w:rPr>
                <w:b/>
                <w:bCs/>
                <w:color w:val="E8A33D"/>
                <w:sz w:val="20"/>
                <w:szCs w:val="20"/>
              </w:rPr>
              <w:t xml:space="preserve">59,51 %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rPr>
                <w:b w:val="false"/>
                <w:bCs w:val="false"/>
                <w:color w:val="1B2A41"/>
                <w:sz w:val="20"/>
                <w:szCs w:val="20"/>
              </w:rPr>
              <w:t xml:space="preserve">Non (partiellement)</w:t>
            </w:r>
          </w:p>
        </w:tc>
      </w:tr>
      <w:tr>
        <w:tc>
          <w:tcPr>
            <w:tcW w:type="dxa" w:w="2600"/>
            <w:shd w:fill="F7F5F1" w:val="clear"/>
          </w:tcPr>
          <w:p>
            <w:pPr>
              <w:jc w:val="left"/>
            </w:pPr>
            <w:r>
              <w:rPr>
                <w:b w:val="false"/>
                <w:bCs w:val="false"/>
                <w:color w:val="1B2A41"/>
                <w:sz w:val="20"/>
                <w:szCs w:val="20"/>
              </w:rPr>
              <w:t xml:space="preserve">Sémantique</w:t>
            </w:r>
          </w:p>
        </w:tc>
        <w:tc>
          <w:tcPr>
            <w:tcW w:type="dxa" w:w="2600"/>
            <w:shd w:fill="F7F5F1" w:val="clear"/>
          </w:tcPr>
          <w:p>
            <w:pPr>
              <w:jc w:val="left"/>
            </w:pPr>
            <w:r>
              <w:rPr>
                <w:b/>
                <w:bCs/>
                <w:color w:val="1B2A41"/>
                <w:sz w:val="20"/>
                <w:szCs w:val="20"/>
              </w:rPr>
              <w:t xml:space="preserve">SBERT</w:t>
            </w:r>
          </w:p>
        </w:tc>
        <w:tc>
          <w:tcPr>
            <w:tcW w:type="dxa" w:w="2200"/>
            <w:shd w:fill="F7F5F1" w:val="clear"/>
          </w:tcPr>
          <w:p>
            <w:pPr>
              <w:jc w:val="center"/>
            </w:pPr>
            <w:r>
              <w:rPr>
                <w:b/>
                <w:bCs/>
                <w:color w:val="2F6D6A"/>
                <w:sz w:val="20"/>
                <w:szCs w:val="20"/>
              </w:rPr>
              <w:t xml:space="preserve">88,24 %</w:t>
            </w:r>
          </w:p>
        </w:tc>
        <w:tc>
          <w:tcPr>
            <w:tcW w:type="dxa" w:w="2100"/>
            <w:shd w:fill="F7F5F1" w:val="clear"/>
          </w:tcPr>
          <w:p>
            <w:pPr>
              <w:jc w:val="center"/>
            </w:pPr>
            <w:r>
              <w:rPr>
                <w:b/>
                <w:bCs/>
                <w:color w:val="2F6D6A"/>
                <w:sz w:val="20"/>
                <w:szCs w:val="20"/>
              </w:rPr>
              <w:t xml:space="preserve">Oui</w:t>
            </w:r>
          </w:p>
        </w:tc>
      </w:tr>
    </w:tbl>
    <w:p>
      <w:pPr>
        <w:spacing w:before="300"/>
      </w:pPr>
      <w:r>
        <w:rPr>
          <w:b/>
          <w:bCs/>
          <w:color w:val="1B2A41"/>
          <w:sz w:val="20"/>
          <w:szCs w:val="20"/>
        </w:rPr>
        <w:t xml:space="preserve">Constat : </w:t>
      </w:r>
      <w:r>
        <w:rPr>
          <w:color w:val="1B2A41"/>
          <w:sz w:val="20"/>
          <w:szCs w:val="20"/>
        </w:rPr>
        <w:t xml:space="preserve">plus la méthode comprend le sens du texte, meilleur est le score. Les méthodes lexicales et statistiques restent insuffisantes seules face à la paraphrase ; SBERT (sémantique) donne le meilleur résultat.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2026-07-21T08:12:43.159Z</dcterms:created>
  <dcterms:modified xsi:type="dcterms:W3CDTF">2026-07-21T08:12:43.169Z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