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signalos-constitution"/>
      <w:r>
        <w:t xml:space="preserve">SignalOS Constitution</w:t>
      </w:r>
      <w:bookmarkEnd w:id="20"/>
    </w:p>
    <w:p>
      <w:pPr>
        <w:pStyle w:val="FirstParagraph"/>
      </w:pPr>
      <w:r>
        <w:rPr>
          <w:rStyle w:val="VerbatimChar"/>
        </w:rPr>
        <w:t xml:space="preserve">Version 1.0 — Locked 2026-04-16</w:t>
      </w:r>
    </w:p>
    <w:p>
      <w:pPr>
        <w:pStyle w:val="BlockText"/>
      </w:pPr>
      <w:r>
        <w:t xml:space="preserve">This is the</w:t>
      </w:r>
      <w:r>
        <w:t xml:space="preserve"> </w:t>
      </w:r>
      <w:r>
        <w:rPr>
          <w:b/>
        </w:rPr>
        <w:t xml:space="preserve">supreme law of every Wave</w:t>
      </w:r>
      <w:r>
        <w:t xml:space="preserve"> </w:t>
      </w:r>
      <w:r>
        <w:t xml:space="preserve">run under SignalOS. It governs how humans and agents collaborate, how trust is assigned, how gates pass, and how the Constitution itself changes. Every agent MUST read and comply before producing any output. Every human MUST sign their named gate before the next phase begins. Violations trigger an immediate protocol reset and a named owner must reconcile.</w:t>
      </w:r>
    </w:p>
    <w:p>
      <w:pPr>
        <w:pStyle w:val="BlockText"/>
      </w:pPr>
      <w:r>
        <w:rPr>
          <w:b/>
        </w:rPr>
        <w:t xml:space="preserve">Scope.</w:t>
      </w:r>
      <w:r>
        <w:t xml:space="preserve"> </w:t>
      </w:r>
      <w:r>
        <w:t xml:space="preserve">This is the</w:t>
      </w:r>
      <w:r>
        <w:t xml:space="preserve"> </w:t>
      </w:r>
      <w:r>
        <w:rPr>
          <w:b/>
        </w:rPr>
        <w:t xml:space="preserve">meta-Constitution</w:t>
      </w:r>
      <w:r>
        <w:t xml:space="preserve"> </w:t>
      </w:r>
      <w:r>
        <w:t xml:space="preserve">— the rules</w:t>
      </w:r>
      <w:r>
        <w:t xml:space="preserve"> </w:t>
      </w:r>
      <w:r>
        <w:rPr>
          <w:i/>
        </w:rPr>
        <w:t xml:space="preserve">about the rules</w:t>
      </w:r>
      <w:r>
        <w:t xml:space="preserve">. It governs the delivery process itself. Each product gets its own</w:t>
      </w:r>
      <w:r>
        <w:t xml:space="preserve"> </w:t>
      </w:r>
      <w:r>
        <w:rPr>
          <w:b/>
        </w:rPr>
        <w:t xml:space="preserve">product-Constitution</w:t>
      </w:r>
      <w:r>
        <w:t xml:space="preserve"> </w:t>
      </w:r>
      <w:r>
        <w:t xml:space="preserve">(see</w:t>
      </w:r>
      <w:r>
        <w:t xml:space="preserve"> </w:t>
      </w:r>
      <w:r>
        <w:rPr>
          <w:rStyle w:val="VerbatimChar"/>
        </w:rPr>
        <w:t xml:space="preserve">core/governance/Templates/example-product-constitution.md</w:t>
      </w:r>
      <w:r>
        <w:t xml:space="preserve">) which encodes that product’s quality bar, tech stack, and security baseline. The meta-Constitution governs how the product-Constitution is written, signed, enforced, and amended.</w:t>
      </w:r>
    </w:p>
    <w:p>
      <w:r>
        <w:pict>
          <v:rect style="width:0;height:1.5pt" o:hralign="center" o:hrstd="t" o:hr="t"/>
        </w:pict>
      </w:r>
    </w:p>
    <w:p>
      <w:pPr>
        <w:pStyle w:val="Heading2"/>
      </w:pPr>
      <w:bookmarkStart w:id="21" w:name="preamble-the-four-laws"/>
      <w:r>
        <w:t xml:space="preserve">Preamble — The Four Laws</w:t>
      </w:r>
      <w:bookmarkEnd w:id="21"/>
    </w:p>
    <w:p>
      <w:pPr>
        <w:pStyle w:val="FirstParagraph"/>
      </w:pPr>
      <w:r>
        <w:t xml:space="preserve">Every Wave under SignalOS is bound by four laws. These are the minimum bar. A Wave that cannot satisfy all four does not start.</w:t>
      </w:r>
    </w:p>
    <w:p>
      <w:pPr>
        <w:numPr>
          <w:ilvl w:val="0"/>
          <w:numId w:val="1001"/>
        </w:numPr>
        <w:pStyle w:val="Compact"/>
      </w:pPr>
      <w:r>
        <w:rPr>
          <w:b/>
        </w:rPr>
        <w:t xml:space="preserve">Every Wave carries a signed Belief.</w:t>
      </w:r>
      <w:r>
        <w:t xml:space="preserve"> </w:t>
      </w:r>
      <w:r>
        <w:t xml:space="preserve">The PO writes what the Wave is meant to prove, the user it serves, and the disproof condition. Unsigned → Wave blocked at Gate 1.</w:t>
      </w:r>
    </w:p>
    <w:p>
      <w:pPr>
        <w:numPr>
          <w:ilvl w:val="0"/>
          <w:numId w:val="1001"/>
        </w:numPr>
        <w:pStyle w:val="Compact"/>
      </w:pPr>
      <w:r>
        <w:rPr>
          <w:b/>
        </w:rPr>
        <w:t xml:space="preserve">Every agent invocation declares a Trust Tier.</w:t>
      </w:r>
      <w:r>
        <w:t xml:space="preserve"> </w:t>
      </w:r>
      <w:r>
        <w:t xml:space="preserve">The Principal Engineer declares T1 / T2 / T3 per surface. Undeclared →</w:t>
      </w:r>
      <w:r>
        <w:t xml:space="preserve"> </w:t>
      </w:r>
      <w:r>
        <w:rPr>
          <w:b/>
        </w:rPr>
        <w:t xml:space="preserve">defaults to T3</w:t>
      </w:r>
      <w:r>
        <w:t xml:space="preserve"> </w:t>
      </w:r>
      <w:r>
        <w:t xml:space="preserve">(human types the diff).</w:t>
      </w:r>
    </w:p>
    <w:p>
      <w:pPr>
        <w:numPr>
          <w:ilvl w:val="0"/>
          <w:numId w:val="1001"/>
        </w:numPr>
        <w:pStyle w:val="Compact"/>
      </w:pPr>
      <w:r>
        <w:rPr>
          <w:b/>
        </w:rPr>
        <w:t xml:space="preserve">Every retro produces a Constitution delta.</w:t>
      </w:r>
      <w:r>
        <w:t xml:space="preserve"> </w:t>
      </w:r>
      <w:r>
        <w:t xml:space="preserve">Either a ratified amendment, or a signed</w:t>
      </w:r>
      <w:r>
        <w:t xml:space="preserve"> </w:t>
      </w:r>
      <w:r>
        <w:t xml:space="preserve">“</w:t>
      </w:r>
      <w:r>
        <w:t xml:space="preserve">no change</w:t>
      </w:r>
      <w:r>
        <w:t xml:space="preserve">”</w:t>
      </w:r>
      <w:r>
        <w:t xml:space="preserve"> </w:t>
      </w:r>
      <w:r>
        <w:t xml:space="preserve">record. Silence is not permitted.</w:t>
      </w:r>
    </w:p>
    <w:p>
      <w:pPr>
        <w:numPr>
          <w:ilvl w:val="0"/>
          <w:numId w:val="1001"/>
        </w:numPr>
        <w:pStyle w:val="Compact"/>
      </w:pPr>
      <w:r>
        <w:rPr>
          <w:b/>
        </w:rPr>
        <w:t xml:space="preserve">Every agent has a named human owner.</w:t>
      </w:r>
      <w:r>
        <w:t xml:space="preserve"> </w:t>
      </w:r>
      <w:r>
        <w:t xml:space="preserve">No agent runs autonomously. Unowned agent output is non-binding and must be re-run.</w:t>
      </w:r>
    </w:p>
    <w:p>
      <w:pPr>
        <w:pStyle w:val="FirstParagraph"/>
      </w:pPr>
      <w:r>
        <w:t xml:space="preserve">The Four Laws are enforced as runnable validators (see §7 Enforcement Chain). Violation of any law is a</w:t>
      </w:r>
      <w:r>
        <w:t xml:space="preserve"> </w:t>
      </w:r>
      <w:r>
        <w:rPr>
          <w:b/>
        </w:rPr>
        <w:t xml:space="preserve">protocol violation</w:t>
      </w:r>
      <w:r>
        <w:t xml:space="preserve"> </w:t>
      </w:r>
      <w:r>
        <w:t xml:space="preserve">and blocks the next gate.</w:t>
      </w:r>
    </w:p>
    <w:p>
      <w:r>
        <w:pict>
          <v:rect style="width:0;height:1.5pt" o:hralign="center" o:hrstd="t" o:hr="t"/>
        </w:pict>
      </w:r>
    </w:p>
    <w:p>
      <w:pPr>
        <w:pStyle w:val="Heading2"/>
      </w:pPr>
      <w:bookmarkStart w:id="22" w:name="the-fail-hard-default"/>
      <w:r>
        <w:t xml:space="preserve">§1. The Fail-Hard Default</w:t>
      </w:r>
      <w:bookmarkEnd w:id="22"/>
    </w:p>
    <w:p>
      <w:pPr>
        <w:pStyle w:val="FirstParagraph"/>
      </w:pPr>
      <w:r>
        <w:t xml:space="preserve">Every scaling gate in SignalOS</w:t>
      </w:r>
      <w:r>
        <w:t xml:space="preserve"> </w:t>
      </w:r>
      <w:r>
        <w:rPr>
          <w:b/>
        </w:rPr>
        <w:t xml:space="preserve">defaults to its strictest form</w:t>
      </w:r>
      <w:r>
        <w:t xml:space="preserve">. Laxity requires an explicit, signed declaration — silence or omission is</w:t>
      </w:r>
      <w:r>
        <w:t xml:space="preserve"> </w:t>
      </w:r>
      <w:r>
        <w:rPr>
          <w:b/>
        </w:rPr>
        <w:t xml:space="preserve">not</w:t>
      </w:r>
      <w:r>
        <w:t xml:space="preserve"> </w:t>
      </w:r>
      <w:r>
        <w:t xml:space="preserve">relaxation.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Scaling surface</w:t>
            </w:r>
          </w:p>
        </w:tc>
        <w:tc>
          <w:tcPr>
            <w:tcBorders>
              <w:bottom w:val="single"/>
            </w:tcBorders>
            <w:vAlign w:val="bottom"/>
          </w:tcPr>
          <w:p>
            <w:pPr>
              <w:pStyle w:val="Compact"/>
              <w:jc w:val="left"/>
            </w:pPr>
            <w:r>
              <w:t xml:space="preserve">Default if undeclared</w:t>
            </w:r>
          </w:p>
        </w:tc>
        <w:tc>
          <w:tcPr>
            <w:tcBorders>
              <w:bottom w:val="single"/>
            </w:tcBorders>
            <w:vAlign w:val="bottom"/>
          </w:tcPr>
          <w:p>
            <w:pPr>
              <w:pStyle w:val="Compact"/>
              <w:jc w:val="left"/>
            </w:pPr>
            <w:r>
              <w:t xml:space="preserve">Relaxation requires</w:t>
            </w:r>
          </w:p>
        </w:tc>
      </w:tr>
      <w:tr>
        <w:tc>
          <w:p>
            <w:pPr>
              <w:pStyle w:val="Compact"/>
              <w:jc w:val="left"/>
            </w:pPr>
            <w:r>
              <w:t xml:space="preserve">Trust Tier per surface</w:t>
            </w:r>
          </w:p>
        </w:tc>
        <w:tc>
          <w:p>
            <w:pPr>
              <w:pStyle w:val="Compact"/>
              <w:jc w:val="left"/>
            </w:pPr>
            <w:r>
              <w:t xml:space="preserve">T3 (human types diff)</w:t>
            </w:r>
          </w:p>
        </w:tc>
        <w:tc>
          <w:p>
            <w:pPr>
              <w:pStyle w:val="Compact"/>
              <w:jc w:val="left"/>
            </w:pPr>
            <w:r>
              <w:t xml:space="preserve">PE declaration in</w:t>
            </w:r>
            <w:r>
              <w:t xml:space="preserve"> </w:t>
            </w:r>
            <w:r>
              <w:rPr>
                <w:rStyle w:val="VerbatimChar"/>
              </w:rPr>
              <w:t xml:space="preserve">core/execution/TRUST_TIER.md</w:t>
            </w:r>
            <w:r>
              <w:t xml:space="preserve"> </w:t>
            </w:r>
            <w:r>
              <w:t xml:space="preserve">(per-Wave). Tier spec:</w:t>
            </w:r>
            <w:r>
              <w:t xml:space="preserve"> </w:t>
            </w:r>
            <w:r>
              <w:rPr>
                <w:rStyle w:val="VerbatimChar"/>
              </w:rPr>
              <w:t xml:space="preserve">executive/Engagement-Model/TRUST_TIERS.md</w:t>
            </w:r>
            <w:r>
              <w:t xml:space="preserve"> </w:t>
            </w:r>
            <w:r>
              <w:t xml:space="preserve">(plural — the definition of T1/T2/T3).</w:t>
            </w:r>
          </w:p>
        </w:tc>
      </w:tr>
      <w:tr>
        <w:tc>
          <w:p>
            <w:pPr>
              <w:pStyle w:val="Compact"/>
              <w:jc w:val="left"/>
            </w:pPr>
            <w:r>
              <w:t xml:space="preserve">Gate 3 Design Approval</w:t>
            </w:r>
          </w:p>
        </w:tc>
        <w:tc>
          <w:p>
            <w:pPr>
              <w:pStyle w:val="Compact"/>
              <w:jc w:val="left"/>
            </w:pPr>
            <w:r>
              <w:t xml:space="preserve">Full design brief + client sign</w:t>
            </w:r>
          </w:p>
        </w:tc>
        <w:tc>
          <w:p>
            <w:pPr>
              <w:pStyle w:val="Compact"/>
              <w:jc w:val="left"/>
            </w:pPr>
            <w:r>
              <w:t xml:space="preserve">Declared T2/T1 Trust Tier + PO sign</w:t>
            </w:r>
          </w:p>
        </w:tc>
      </w:tr>
      <w:tr>
        <w:tc>
          <w:p>
            <w:pPr>
              <w:pStyle w:val="Compact"/>
              <w:jc w:val="left"/>
            </w:pPr>
            <w:r>
              <w:t xml:space="preserve">Stage-2 QA review</w:t>
            </w:r>
          </w:p>
        </w:tc>
        <w:tc>
          <w:p>
            <w:pPr>
              <w:pStyle w:val="Compact"/>
              <w:jc w:val="left"/>
            </w:pPr>
            <w:r>
              <w:t xml:space="preserve">Full manual review</w:t>
            </w:r>
          </w:p>
        </w:tc>
        <w:tc>
          <w:p>
            <w:pPr>
              <w:pStyle w:val="Compact"/>
              <w:jc w:val="left"/>
            </w:pPr>
            <w:r>
              <w:t xml:space="preserve">QA-signed waiver with reason</w:t>
            </w:r>
          </w:p>
        </w:tc>
      </w:tr>
      <w:tr>
        <w:tc>
          <w:p>
            <w:pPr>
              <w:pStyle w:val="Compact"/>
              <w:jc w:val="left"/>
            </w:pPr>
            <w:r>
              <w:t xml:space="preserve">Expectation Map (Gate 2)</w:t>
            </w:r>
          </w:p>
        </w:tc>
        <w:tc>
          <w:p>
            <w:pPr>
              <w:pStyle w:val="Compact"/>
              <w:jc w:val="left"/>
            </w:pPr>
            <w:r>
              <w:t xml:space="preserve">PO signature required</w:t>
            </w:r>
          </w:p>
        </w:tc>
        <w:tc>
          <w:p>
            <w:pPr>
              <w:pStyle w:val="Compact"/>
              <w:jc w:val="left"/>
            </w:pPr>
            <w:r>
              <w:t xml:space="preserve">No relaxation permitted</w:t>
            </w:r>
          </w:p>
        </w:tc>
      </w:tr>
      <w:tr>
        <w:tc>
          <w:p>
            <w:pPr>
              <w:pStyle w:val="Compact"/>
              <w:jc w:val="left"/>
            </w:pPr>
            <w:r>
              <w:t xml:space="preserve">Belief (Gate 1)</w:t>
            </w:r>
          </w:p>
        </w:tc>
        <w:tc>
          <w:p>
            <w:pPr>
              <w:pStyle w:val="Compact"/>
              <w:jc w:val="left"/>
            </w:pPr>
            <w:r>
              <w:t xml:space="preserve">PO signature required</w:t>
            </w:r>
          </w:p>
        </w:tc>
        <w:tc>
          <w:p>
            <w:pPr>
              <w:pStyle w:val="Compact"/>
              <w:jc w:val="left"/>
            </w:pPr>
            <w:r>
              <w:t xml:space="preserve">No relaxation permitted</w:t>
            </w:r>
          </w:p>
        </w:tc>
      </w:tr>
      <w:tr>
        <w:tc>
          <w:p>
            <w:pPr>
              <w:pStyle w:val="Compact"/>
              <w:jc w:val="left"/>
            </w:pPr>
            <w:r>
              <w:t xml:space="preserve">Phase-8 Retro</w:t>
            </w:r>
          </w:p>
        </w:tc>
        <w:tc>
          <w:p>
            <w:pPr>
              <w:pStyle w:val="Compact"/>
              <w:jc w:val="left"/>
            </w:pPr>
            <w:r>
              <w:t xml:space="preserve">Constitution delta required</w:t>
            </w:r>
          </w:p>
        </w:tc>
        <w:tc>
          <w:p>
            <w:pPr>
              <w:pStyle w:val="Compact"/>
              <w:jc w:val="left"/>
            </w:pPr>
            <w:r>
              <w:t xml:space="preserve">No relaxation permitted</w:t>
            </w:r>
          </w:p>
        </w:tc>
      </w:tr>
      <w:tr>
        <w:tc>
          <w:p>
            <w:pPr>
              <w:pStyle w:val="Compact"/>
              <w:jc w:val="left"/>
            </w:pPr>
            <w:r>
              <w:rPr>
                <w:b/>
              </w:rPr>
              <w:t xml:space="preserve">Scale Track</w:t>
            </w:r>
            <w:r>
              <w:t xml:space="preserve"> </w:t>
            </w:r>
            <w:r>
              <w:t xml:space="preserve">(per Wave)</w:t>
            </w:r>
          </w:p>
        </w:tc>
        <w:tc>
          <w:p>
            <w:pPr>
              <w:pStyle w:val="Compact"/>
              <w:jc w:val="left"/>
            </w:pPr>
            <w:r>
              <w:rPr>
                <w:b/>
              </w:rPr>
              <w:t xml:space="preserve">Wave</w:t>
            </w:r>
            <w:r>
              <w:t xml:space="preserve"> </w:t>
            </w:r>
            <w:r>
              <w:t xml:space="preserve">(full 6-gate ceremony)</w:t>
            </w:r>
          </w:p>
        </w:tc>
        <w:tc>
          <w:p>
            <w:pPr>
              <w:pStyle w:val="Compact"/>
              <w:jc w:val="left"/>
            </w:pPr>
            <w:r>
              <w:rPr>
                <w:b/>
              </w:rPr>
              <w:t xml:space="preserve">PO declaration in Belief front-matter</w:t>
            </w:r>
            <w:r>
              <w:t xml:space="preserve"> </w:t>
            </w:r>
            <w:r>
              <w:t xml:space="preserve">(see §11)</w:t>
            </w:r>
          </w:p>
        </w:tc>
      </w:tr>
      <w:tr>
        <w:tc>
          <w:p>
            <w:pPr>
              <w:pStyle w:val="Compact"/>
              <w:jc w:val="left"/>
            </w:pPr>
            <w:r>
              <w:rPr>
                <w:b/>
              </w:rPr>
              <w:t xml:space="preserve">Delivery Mode</w:t>
            </w:r>
            <w:r>
              <w:t xml:space="preserve"> </w:t>
            </w:r>
            <w:r>
              <w:t xml:space="preserve">(per product)</w:t>
            </w:r>
          </w:p>
        </w:tc>
        <w:tc>
          <w:p>
            <w:pPr>
              <w:pStyle w:val="Compact"/>
              <w:jc w:val="left"/>
            </w:pPr>
            <w:r>
              <w:rPr>
                <w:b/>
              </w:rPr>
              <w:t xml:space="preserve">fresh-wave</w:t>
            </w:r>
            <w:r>
              <w:t xml:space="preserve"> </w:t>
            </w:r>
            <w:r>
              <w:t xml:space="preserve">(full per-Wave ceremony)</w:t>
            </w:r>
          </w:p>
        </w:tc>
        <w:tc>
          <w:p>
            <w:pPr>
              <w:pStyle w:val="Compact"/>
              <w:jc w:val="left"/>
            </w:pPr>
            <w:r>
              <w:rPr>
                <w:b/>
              </w:rPr>
              <w:t xml:space="preserve">PO + PE declaration in product-Constitution + stability criteria</w:t>
            </w:r>
            <w:r>
              <w:t xml:space="preserve"> </w:t>
            </w:r>
            <w:r>
              <w:t xml:space="preserve">(see §12)</w:t>
            </w:r>
          </w:p>
        </w:tc>
      </w:tr>
    </w:tbl>
    <w:p>
      <w:pPr>
        <w:pStyle w:val="BodyText"/>
      </w:pPr>
      <w:r>
        <w:rPr>
          <w:b/>
        </w:rPr>
        <w:t xml:space="preserve">Rationale.</w:t>
      </w:r>
      <w:r>
        <w:t xml:space="preserve"> </w:t>
      </w:r>
      <w:r>
        <w:t xml:space="preserve">The single most common failure mode in agentic delivery is</w:t>
      </w:r>
      <w:r>
        <w:t xml:space="preserve"> </w:t>
      </w:r>
      <w:r>
        <w:rPr>
          <w:i/>
        </w:rPr>
        <w:t xml:space="preserve">drift via passive skip</w:t>
      </w:r>
      <w:r>
        <w:t xml:space="preserve">: a step is not refused, it is simply forgotten. The fail-hard default makes forgetting visible. A declaration is a record; a silence is not.</w:t>
      </w:r>
    </w:p>
    <w:p>
      <w:r>
        <w:pict>
          <v:rect style="width:0;height:1.5pt" o:hralign="center" o:hrstd="t" o:hr="t"/>
        </w:pict>
      </w:r>
    </w:p>
    <w:p>
      <w:pPr>
        <w:pStyle w:val="Heading2"/>
      </w:pPr>
      <w:bookmarkStart w:id="23" w:name="trust-tiers"/>
      <w:r>
        <w:t xml:space="preserve">§2. Trust Tiers</w:t>
      </w:r>
      <w:bookmarkEnd w:id="23"/>
    </w:p>
    <w:p>
      <w:pPr>
        <w:pStyle w:val="FirstParagraph"/>
      </w:pPr>
      <w:r>
        <w:t xml:space="preserve">Trust Tiers are how SignalOS allocates attention. Every</w:t>
      </w:r>
      <w:r>
        <w:t xml:space="preserve"> </w:t>
      </w:r>
      <w:r>
        <w:rPr>
          <w:b/>
        </w:rPr>
        <w:t xml:space="preserve">surface</w:t>
      </w:r>
      <w:r>
        <w:t xml:space="preserve"> </w:t>
      </w:r>
      <w:r>
        <w:t xml:space="preserve">(file, module, endpoint, migration, config) is declared at one of three tiers.</w:t>
      </w:r>
    </w:p>
    <w:p>
      <w:pPr>
        <w:numPr>
          <w:ilvl w:val="0"/>
          <w:numId w:val="1002"/>
        </w:numPr>
        <w:pStyle w:val="Compact"/>
      </w:pPr>
      <w:r>
        <w:rPr>
          <w:b/>
        </w:rPr>
        <w:t xml:space="preserve">T1 — Proceed.</w:t>
      </w:r>
      <w:r>
        <w:t xml:space="preserve"> </w:t>
      </w:r>
      <w:r>
        <w:t xml:space="preserve">Agent executes without human gating. Suitable for: scaffolding, formatting, docs, non-critical test fixtures.</w:t>
      </w:r>
    </w:p>
    <w:p>
      <w:pPr>
        <w:numPr>
          <w:ilvl w:val="0"/>
          <w:numId w:val="1002"/>
        </w:numPr>
        <w:pStyle w:val="Compact"/>
      </w:pPr>
      <w:r>
        <w:rPr>
          <w:b/>
        </w:rPr>
        <w:t xml:space="preserve">T2 — Propose.</w:t>
      </w:r>
      <w:r>
        <w:t xml:space="preserve"> </w:t>
      </w:r>
      <w:r>
        <w:t xml:space="preserve">Agent proposes; human reviews before merge. Suitable for: feature code in stable modules, refactors with test coverage, internal APIs.</w:t>
      </w:r>
    </w:p>
    <w:p>
      <w:pPr>
        <w:numPr>
          <w:ilvl w:val="0"/>
          <w:numId w:val="1002"/>
        </w:numPr>
        <w:pStyle w:val="Compact"/>
      </w:pPr>
      <w:r>
        <w:rPr>
          <w:b/>
        </w:rPr>
        <w:t xml:space="preserve">T3 — Suggest.</w:t>
      </w:r>
      <w:r>
        <w:t xml:space="preserve"> </w:t>
      </w:r>
      <w:r>
        <w:t xml:space="preserve">Agent suggests; human types the diff. Suitable for: migrations, auth, payment, security-sensitive code, irreversible operations, anything touching production data.</w:t>
      </w:r>
    </w:p>
    <w:p>
      <w:pPr>
        <w:pStyle w:val="Heading3"/>
      </w:pPr>
      <w:bookmarkStart w:id="24" w:name="declaration"/>
      <w:r>
        <w:t xml:space="preserve">§2.1 Declaration</w:t>
      </w:r>
      <w:bookmarkEnd w:id="24"/>
    </w:p>
    <w:p>
      <w:pPr>
        <w:pStyle w:val="FirstParagraph"/>
      </w:pPr>
      <w:r>
        <w:t xml:space="preserve">Trust Tiers are declared in</w:t>
      </w:r>
      <w:r>
        <w:t xml:space="preserve"> </w:t>
      </w:r>
      <w:r>
        <w:rPr>
          <w:rStyle w:val="VerbatimChar"/>
        </w:rPr>
        <w:t xml:space="preserve">core/execution/TRUST_TIER.md</w:t>
      </w:r>
      <w:r>
        <w:t xml:space="preserve"> </w:t>
      </w:r>
      <w:r>
        <w:t xml:space="preserve">(the per-Wave declaration file; template:</w:t>
      </w:r>
      <w:r>
        <w:t xml:space="preserve"> </w:t>
      </w:r>
      <w:r>
        <w:rPr>
          <w:rStyle w:val="VerbatimChar"/>
        </w:rPr>
        <w:t xml:space="preserve">core/execution/templates/trust-tier-declaration-template.md</w:t>
      </w:r>
      <w:r>
        <w:t xml:space="preserve">) at the start of each Wave. The Principal Engineer owns the declaration. The PO counter-signs at Gate 4 (Trust Tier Declared).</w:t>
      </w:r>
      <w:r>
        <w:t xml:space="preserve"> </w:t>
      </w:r>
      <w:r>
        <w:rPr>
          <w:i/>
        </w:rPr>
        <w:t xml:space="preserve">The spec of what T1/T2/T3 mean lives at</w:t>
      </w:r>
      <w:r>
        <w:rPr>
          <w:i/>
        </w:rPr>
        <w:t xml:space="preserve"> </w:t>
      </w:r>
      <w:r>
        <w:rPr>
          <w:rStyle w:val="VerbatimChar"/>
          <w:i/>
        </w:rPr>
        <w:t xml:space="preserve">executive/Engagement-Model/TRUST_TIERS.md</w:t>
      </w:r>
      <w:r>
        <w:rPr>
          <w:i/>
        </w:rPr>
        <w:t xml:space="preserve"> </w:t>
      </w:r>
      <w:r>
        <w:rPr>
          <w:i/>
        </w:rPr>
        <w:t xml:space="preserve">(plural) — do not confuse the two.</w:t>
      </w:r>
    </w:p>
    <w:p>
      <w:pPr>
        <w:pStyle w:val="Heading3"/>
      </w:pPr>
      <w:bookmarkStart w:id="25" w:name="default-surfaces-always-t3"/>
      <w:r>
        <w:t xml:space="preserve">§2.2 Default surfaces always T3</w:t>
      </w:r>
      <w:bookmarkEnd w:id="25"/>
    </w:p>
    <w:p>
      <w:pPr>
        <w:pStyle w:val="FirstParagraph"/>
      </w:pPr>
      <w:r>
        <w:t xml:space="preserve">Regardless of declaration, the following are</w:t>
      </w:r>
      <w:r>
        <w:t xml:space="preserve"> </w:t>
      </w:r>
      <w:r>
        <w:rPr>
          <w:b/>
        </w:rPr>
        <w:t xml:space="preserve">permanently T3</w:t>
      </w:r>
      <w:r>
        <w:t xml:space="preserve"> </w:t>
      </w:r>
      <w:r>
        <w:t xml:space="preserve">and cannot be relaxed:</w:t>
      </w:r>
    </w:p>
    <w:p>
      <w:pPr>
        <w:numPr>
          <w:ilvl w:val="0"/>
          <w:numId w:val="1003"/>
        </w:numPr>
        <w:pStyle w:val="Compact"/>
      </w:pPr>
      <w:r>
        <w:t xml:space="preserve">Database migrations (schema, data, and RLS policies)</w:t>
      </w:r>
    </w:p>
    <w:p>
      <w:pPr>
        <w:numPr>
          <w:ilvl w:val="0"/>
          <w:numId w:val="1003"/>
        </w:numPr>
        <w:pStyle w:val="Compact"/>
      </w:pPr>
      <w:r>
        <w:t xml:space="preserve">Authentication and session handling</w:t>
      </w:r>
    </w:p>
    <w:p>
      <w:pPr>
        <w:numPr>
          <w:ilvl w:val="0"/>
          <w:numId w:val="1003"/>
        </w:numPr>
        <w:pStyle w:val="Compact"/>
      </w:pPr>
      <w:r>
        <w:t xml:space="preserve">Payment, billing, and financial transactions</w:t>
      </w:r>
    </w:p>
    <w:p>
      <w:pPr>
        <w:numPr>
          <w:ilvl w:val="0"/>
          <w:numId w:val="1003"/>
        </w:numPr>
        <w:pStyle w:val="Compact"/>
      </w:pPr>
      <w:r>
        <w:t xml:space="preserve">Secret management and key rotation</w:t>
      </w:r>
    </w:p>
    <w:p>
      <w:pPr>
        <w:numPr>
          <w:ilvl w:val="0"/>
          <w:numId w:val="1003"/>
        </w:numPr>
        <w:pStyle w:val="Compact"/>
      </w:pPr>
      <w:r>
        <w:t xml:space="preserve">Deployment pipeline and infrastructure-as-code</w:t>
      </w:r>
    </w:p>
    <w:p>
      <w:pPr>
        <w:numPr>
          <w:ilvl w:val="0"/>
          <w:numId w:val="1003"/>
        </w:numPr>
        <w:pStyle w:val="Compact"/>
      </w:pPr>
      <w:r>
        <w:t xml:space="preserve">The Constitution itself and amendments to it</w:t>
      </w:r>
    </w:p>
    <w:p>
      <w:pPr>
        <w:pStyle w:val="Heading3"/>
      </w:pPr>
      <w:bookmarkStart w:id="26" w:name="changing-tier-mid-wave"/>
      <w:r>
        <w:t xml:space="preserve">§2.3 Changing tier mid-Wave</w:t>
      </w:r>
      <w:bookmarkEnd w:id="26"/>
    </w:p>
    <w:p>
      <w:pPr>
        <w:pStyle w:val="FirstParagraph"/>
      </w:pPr>
      <w:r>
        <w:t xml:space="preserve">A surface’s tier may be raised (toward T3) at any time by any signer. Lowering (toward T1) requires a retro and Constitution delta.</w:t>
      </w:r>
    </w:p>
    <w:p>
      <w:r>
        <w:pict>
          <v:rect style="width:0;height:1.5pt" o:hralign="center" o:hrstd="t" o:hr="t"/>
        </w:pict>
      </w:r>
    </w:p>
    <w:p>
      <w:pPr>
        <w:pStyle w:val="Heading2"/>
      </w:pPr>
      <w:bookmarkStart w:id="27" w:name="agent-output-rules"/>
      <w:r>
        <w:t xml:space="preserve">§3. Agent-Output Rules</w:t>
      </w:r>
      <w:bookmarkEnd w:id="27"/>
    </w:p>
    <w:p>
      <w:pPr>
        <w:pStyle w:val="Heading3"/>
      </w:pPr>
      <w:bookmarkStart w:id="28" w:name="ownership"/>
      <w:r>
        <w:t xml:space="preserve">§3.1 Ownership</w:t>
      </w:r>
      <w:bookmarkEnd w:id="28"/>
    </w:p>
    <w:p>
      <w:pPr>
        <w:pStyle w:val="FirstParagraph"/>
      </w:pPr>
      <w:r>
        <w:t xml:space="preserve">Every agent invocation has exactly one named human owner. The owner is responsible for the agent’s output and carries the accountability for any downstream damage.</w:t>
      </w:r>
    </w:p>
    <w:p>
      <w:pPr>
        <w:pStyle w:val="Heading3"/>
      </w:pPr>
      <w:bookmarkStart w:id="29" w:name="traceability"/>
      <w:r>
        <w:t xml:space="preserve">§3.2 Traceability</w:t>
      </w:r>
      <w:bookmarkEnd w:id="29"/>
    </w:p>
    <w:p>
      <w:pPr>
        <w:pStyle w:val="FirstParagraph"/>
      </w:pPr>
      <w:r>
        <w:t xml:space="preserve">Every agent output must include:</w:t>
      </w:r>
    </w:p>
    <w:p>
      <w:pPr>
        <w:numPr>
          <w:ilvl w:val="0"/>
          <w:numId w:val="1004"/>
        </w:numPr>
        <w:pStyle w:val="Compact"/>
      </w:pPr>
      <w:r>
        <w:t xml:space="preserve">The ceremony skill(s) it ran under</w:t>
      </w:r>
    </w:p>
    <w:p>
      <w:pPr>
        <w:numPr>
          <w:ilvl w:val="0"/>
          <w:numId w:val="1004"/>
        </w:numPr>
        <w:pStyle w:val="Compact"/>
      </w:pPr>
      <w:r>
        <w:t xml:space="preserve">The Trust Tier of the surface it touched</w:t>
      </w:r>
    </w:p>
    <w:p>
      <w:pPr>
        <w:numPr>
          <w:ilvl w:val="0"/>
          <w:numId w:val="1004"/>
        </w:numPr>
        <w:pStyle w:val="Compact"/>
      </w:pPr>
      <w:r>
        <w:t xml:space="preserve">A diff (or proposed diff) — never prose-describing-code</w:t>
      </w:r>
    </w:p>
    <w:p>
      <w:pPr>
        <w:numPr>
          <w:ilvl w:val="0"/>
          <w:numId w:val="1004"/>
        </w:numPr>
        <w:pStyle w:val="Compact"/>
      </w:pPr>
      <w:r>
        <w:t xml:space="preserve">The agent’s own self-review against the product-Constitution</w:t>
      </w:r>
    </w:p>
    <w:p>
      <w:pPr>
        <w:pStyle w:val="FirstParagraph"/>
      </w:pPr>
      <w:r>
        <w:t xml:space="preserve">Outputs missing any of the above are non-binding and must be re-run.</w:t>
      </w:r>
    </w:p>
    <w:p>
      <w:pPr>
        <w:pStyle w:val="Heading3"/>
      </w:pPr>
      <w:bookmarkStart w:id="30" w:name="no-autonomous-merges"/>
      <w:r>
        <w:t xml:space="preserve">§3.3 No autonomous merges</w:t>
      </w:r>
      <w:bookmarkEnd w:id="30"/>
    </w:p>
    <w:p>
      <w:pPr>
        <w:pStyle w:val="FirstParagraph"/>
      </w:pPr>
      <w:r>
        <w:t xml:space="preserve">No agent may merge to a protected branch. Merge is always a human action signed by the Principal Engineer. This is SoD-critical and cannot be waived.</w:t>
      </w:r>
    </w:p>
    <w:p>
      <w:pPr>
        <w:pStyle w:val="Heading3"/>
      </w:pPr>
      <w:bookmarkStart w:id="31" w:name="inline-self-review"/>
      <w:r>
        <w:t xml:space="preserve">§3.4 Inline self-review</w:t>
      </w:r>
      <w:bookmarkEnd w:id="31"/>
    </w:p>
    <w:p>
      <w:pPr>
        <w:pStyle w:val="FirstParagraph"/>
      </w:pPr>
      <w:r>
        <w:t xml:space="preserve">Every Build agent output must pass inline self-review (see</w:t>
      </w:r>
      <w:r>
        <w:t xml:space="preserve"> </w:t>
      </w:r>
      <w:r>
        <w:rPr>
          <w:rStyle w:val="VerbatimChar"/>
        </w:rPr>
        <w:t xml:space="preserve">core/execution/skills/review/SKILL.md</w:t>
      </w:r>
      <w:r>
        <w:t xml:space="preserve">) before being surfaced to a human. Failed self-review blocks surfacing — the agent re-runs or escalates.</w:t>
      </w:r>
    </w:p>
    <w:p>
      <w:r>
        <w:pict>
          <v:rect style="width:0;height:1.5pt" o:hralign="center" o:hrstd="t" o:hr="t"/>
        </w:pict>
      </w:r>
    </w:p>
    <w:p>
      <w:pPr>
        <w:pStyle w:val="Heading2"/>
      </w:pPr>
      <w:bookmarkStart w:id="32" w:name="the-six-gates"/>
      <w:r>
        <w:t xml:space="preserve">§4. The Six Gates</w:t>
      </w:r>
      <w:bookmarkEnd w:id="32"/>
    </w:p>
    <w:p>
      <w:pPr>
        <w:pStyle w:val="FirstParagraph"/>
      </w:pPr>
      <w:r>
        <w:t xml:space="preserve">A Wave passes through six gates in order. No gate may be skipped. Each gate has one named signer, a passing artifact, and a default-hard fallback.</w:t>
      </w:r>
    </w:p>
    <w:p>
      <w:pPr>
        <w:pStyle w:val="BodyText"/>
      </w:pPr>
      <w:r>
        <w:rPr>
          <w:b/>
        </w:rPr>
        <w:t xml:space="preserve">Gate 0 (prerequisite, not counted in the per-Wave five).</w:t>
      </w:r>
      <w:r>
        <w:t xml:space="preserve"> </w:t>
      </w:r>
      <w:r>
        <w:t xml:space="preserve">Product-Constitution signed and locked at</w:t>
      </w:r>
      <w:r>
        <w:t xml:space="preserve"> </w:t>
      </w:r>
      <w:r>
        <w:rPr>
          <w:rStyle w:val="VerbatimChar"/>
        </w:rPr>
        <w:t xml:space="preserve">core/governance/Governance/CONSTITUTION.md</w:t>
      </w:r>
      <w:r>
        <w:t xml:space="preserve"> </w:t>
      </w:r>
      <w:r>
        <w:t xml:space="preserve">in the product repo. Signed once at product inception. Every Wave’s session-start hook verifies the product-Constitution is present, signed, and hash-consistent —</w:t>
      </w:r>
      <w:r>
        <w:t xml:space="preserve"> </w:t>
      </w:r>
      <w:r>
        <w:rPr>
          <w:b/>
        </w:rPr>
        <w:t xml:space="preserve">a missing or tampered product-Constitution blocks Gate 1</w:t>
      </w:r>
      <w:r>
        <w:t xml:space="preserv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Gate</w:t>
            </w:r>
          </w:p>
        </w:tc>
        <w:tc>
          <w:tcPr>
            <w:tcBorders>
              <w:bottom w:val="single"/>
            </w:tcBorders>
            <w:vAlign w:val="bottom"/>
          </w:tcPr>
          <w:p>
            <w:pPr>
              <w:pStyle w:val="Compact"/>
              <w:jc w:val="left"/>
            </w:pPr>
            <w:r>
              <w:t xml:space="preserve">Signer</w:t>
            </w:r>
          </w:p>
        </w:tc>
        <w:tc>
          <w:tcPr>
            <w:tcBorders>
              <w:bottom w:val="single"/>
            </w:tcBorders>
            <w:vAlign w:val="bottom"/>
          </w:tcPr>
          <w:p>
            <w:pPr>
              <w:pStyle w:val="Compact"/>
              <w:jc w:val="left"/>
            </w:pPr>
            <w:r>
              <w:t xml:space="preserve">Passing artifact</w:t>
            </w:r>
          </w:p>
        </w:tc>
        <w:tc>
          <w:tcPr>
            <w:tcBorders>
              <w:bottom w:val="single"/>
            </w:tcBorders>
            <w:vAlign w:val="bottom"/>
          </w:tcPr>
          <w:p>
            <w:pPr>
              <w:pStyle w:val="Compact"/>
              <w:jc w:val="left"/>
            </w:pPr>
            <w:r>
              <w:t xml:space="preserve">Default if skipped</w:t>
            </w:r>
          </w:p>
        </w:tc>
      </w:tr>
      <w:tr>
        <w:tc>
          <w:p>
            <w:pPr>
              <w:pStyle w:val="Compact"/>
              <w:jc w:val="left"/>
            </w:pPr>
            <w:r>
              <w:t xml:space="preserve">1</w:t>
            </w:r>
          </w:p>
        </w:tc>
        <w:tc>
          <w:p>
            <w:pPr>
              <w:pStyle w:val="Compact"/>
              <w:jc w:val="left"/>
            </w:pPr>
            <w:r>
              <w:t xml:space="preserve">Belief signed</w:t>
            </w:r>
          </w:p>
        </w:tc>
        <w:tc>
          <w:p>
            <w:pPr>
              <w:pStyle w:val="Compact"/>
              <w:jc w:val="left"/>
            </w:pPr>
            <w:r>
              <w:t xml:space="preserve">PO</w:t>
            </w:r>
          </w:p>
        </w:tc>
        <w:tc>
          <w:p>
            <w:pPr>
              <w:pStyle w:val="Compact"/>
              <w:jc w:val="left"/>
            </w:pPr>
            <w:r>
              <w:rPr>
                <w:rStyle w:val="VerbatimChar"/>
              </w:rPr>
              <w:t xml:space="preserve">core/strategy/BELIEF.md</w:t>
            </w:r>
            <w:r>
              <w:t xml:space="preserve"> </w:t>
            </w:r>
            <w:r>
              <w:t xml:space="preserve">— Wave hypothesis, user served, disproof condition, PO signature</w:t>
            </w:r>
          </w:p>
        </w:tc>
        <w:tc>
          <w:p>
            <w:pPr>
              <w:pStyle w:val="Compact"/>
              <w:jc w:val="left"/>
            </w:pPr>
            <w:r>
              <w:t xml:space="preserve">Wave blocked</w:t>
            </w:r>
          </w:p>
        </w:tc>
      </w:tr>
      <w:tr>
        <w:tc>
          <w:p>
            <w:pPr>
              <w:pStyle w:val="Compact"/>
              <w:jc w:val="left"/>
            </w:pPr>
            <w:r>
              <w:t xml:space="preserve">2</w:t>
            </w:r>
          </w:p>
        </w:tc>
        <w:tc>
          <w:p>
            <w:pPr>
              <w:pStyle w:val="Compact"/>
              <w:jc w:val="left"/>
            </w:pPr>
            <w:r>
              <w:t xml:space="preserve">Expectation Map signed</w:t>
            </w:r>
          </w:p>
        </w:tc>
        <w:tc>
          <w:p>
            <w:pPr>
              <w:pStyle w:val="Compact"/>
              <w:jc w:val="left"/>
            </w:pPr>
            <w:r>
              <w:t xml:space="preserve">PO</w:t>
            </w:r>
          </w:p>
        </w:tc>
        <w:tc>
          <w:p>
            <w:pPr>
              <w:pStyle w:val="Compact"/>
              <w:jc w:val="left"/>
            </w:pPr>
            <w:r>
              <w:rPr>
                <w:rStyle w:val="VerbatimChar"/>
              </w:rPr>
              <w:t xml:space="preserve">core/strategy/EXPECTATION_MAP.md</w:t>
            </w:r>
            <w:r>
              <w:t xml:space="preserve"> </w:t>
            </w:r>
            <w:r>
              <w:t xml:space="preserve">with PO signature</w:t>
            </w:r>
          </w:p>
        </w:tc>
        <w:tc>
          <w:p>
            <w:pPr>
              <w:pStyle w:val="Compact"/>
              <w:jc w:val="left"/>
            </w:pPr>
            <w:r>
              <w:t xml:space="preserve">Wave blocked</w:t>
            </w:r>
          </w:p>
        </w:tc>
      </w:tr>
      <w:tr>
        <w:tc>
          <w:p>
            <w:pPr>
              <w:pStyle w:val="Compact"/>
              <w:jc w:val="left"/>
            </w:pPr>
            <w:r>
              <w:t xml:space="preserve">3</w:t>
            </w:r>
          </w:p>
        </w:tc>
        <w:tc>
          <w:p>
            <w:pPr>
              <w:pStyle w:val="Compact"/>
              <w:jc w:val="left"/>
            </w:pPr>
            <w:r>
              <w:t xml:space="preserve">Design Approval</w:t>
            </w:r>
          </w:p>
        </w:tc>
        <w:tc>
          <w:p>
            <w:pPr>
              <w:pStyle w:val="Compact"/>
              <w:jc w:val="left"/>
            </w:pPr>
            <w:r>
              <w:t xml:space="preserve">PO (+ client for T3)</w:t>
            </w:r>
          </w:p>
        </w:tc>
        <w:tc>
          <w:p>
            <w:pPr>
              <w:pStyle w:val="Compact"/>
              <w:jc w:val="left"/>
            </w:pPr>
            <w:r>
              <w:rPr>
                <w:rStyle w:val="VerbatimChar"/>
              </w:rPr>
              <w:t xml:space="preserve">core/strategy/DESIGN_NOTE.md</w:t>
            </w:r>
            <w:r>
              <w:t xml:space="preserve"> </w:t>
            </w:r>
            <w:r>
              <w:t xml:space="preserve">at Trust-Tier-appropriate depth</w:t>
            </w:r>
          </w:p>
        </w:tc>
        <w:tc>
          <w:p>
            <w:pPr>
              <w:pStyle w:val="Compact"/>
              <w:jc w:val="left"/>
            </w:pPr>
            <w:r>
              <w:rPr>
                <w:b/>
              </w:rPr>
              <w:t xml:space="preserve">Defaults to T3 full brief + client sign</w:t>
            </w:r>
          </w:p>
        </w:tc>
      </w:tr>
      <w:tr>
        <w:tc>
          <w:p>
            <w:pPr>
              <w:pStyle w:val="Compact"/>
              <w:jc w:val="left"/>
            </w:pPr>
            <w:r>
              <w:t xml:space="preserve">4</w:t>
            </w:r>
          </w:p>
        </w:tc>
        <w:tc>
          <w:p>
            <w:pPr>
              <w:pStyle w:val="Compact"/>
              <w:jc w:val="left"/>
            </w:pPr>
            <w:r>
              <w:t xml:space="preserve">Trust Tier declared</w:t>
            </w:r>
          </w:p>
        </w:tc>
        <w:tc>
          <w:p>
            <w:pPr>
              <w:pStyle w:val="Compact"/>
              <w:jc w:val="left"/>
            </w:pPr>
            <w:r>
              <w:t xml:space="preserve">PE</w:t>
            </w:r>
          </w:p>
        </w:tc>
        <w:tc>
          <w:p>
            <w:pPr>
              <w:pStyle w:val="Compact"/>
              <w:jc w:val="left"/>
            </w:pPr>
            <w:r>
              <w:rPr>
                <w:rStyle w:val="VerbatimChar"/>
              </w:rPr>
              <w:t xml:space="preserve">core/execution/TRUST_TIER.md</w:t>
            </w:r>
            <w:r>
              <w:t xml:space="preserve"> </w:t>
            </w:r>
            <w:r>
              <w:t xml:space="preserve">(per-Wave) signed by PE, counter-signed by PO</w:t>
            </w:r>
          </w:p>
        </w:tc>
        <w:tc>
          <w:p>
            <w:pPr>
              <w:pStyle w:val="Compact"/>
              <w:jc w:val="left"/>
            </w:pPr>
            <w:r>
              <w:rPr>
                <w:b/>
              </w:rPr>
              <w:t xml:space="preserve">Defaults to T3 on all surfaces</w:t>
            </w:r>
          </w:p>
        </w:tc>
      </w:tr>
      <w:tr>
        <w:tc>
          <w:p>
            <w:pPr>
              <w:pStyle w:val="Compact"/>
              <w:jc w:val="left"/>
            </w:pPr>
            <w:r>
              <w:t xml:space="preserve">5</w:t>
            </w:r>
          </w:p>
        </w:tc>
        <w:tc>
          <w:p>
            <w:pPr>
              <w:pStyle w:val="Compact"/>
              <w:jc w:val="left"/>
            </w:pPr>
            <w:r>
              <w:t xml:space="preserve">Quality Check passed</w:t>
            </w:r>
          </w:p>
        </w:tc>
        <w:tc>
          <w:p>
            <w:pPr>
              <w:pStyle w:val="Compact"/>
              <w:jc w:val="left"/>
            </w:pPr>
            <w:r>
              <w:t xml:space="preserve">QA</w:t>
            </w:r>
          </w:p>
        </w:tc>
        <w:tc>
          <w:p>
            <w:pPr>
              <w:pStyle w:val="Compact"/>
              <w:jc w:val="left"/>
            </w:pPr>
            <w:r>
              <w:rPr>
                <w:rStyle w:val="VerbatimChar"/>
              </w:rPr>
              <w:t xml:space="preserve">core/governance/QUALITY_CHECK.md</w:t>
            </w:r>
            <w:r>
              <w:t xml:space="preserve"> </w:t>
            </w:r>
            <w:r>
              <w:t xml:space="preserve">with Stage-1 (automated) + Stage-2 (manual) both green</w:t>
            </w:r>
          </w:p>
        </w:tc>
        <w:tc>
          <w:p>
            <w:pPr>
              <w:pStyle w:val="Compact"/>
              <w:jc w:val="left"/>
            </w:pPr>
            <w:r>
              <w:t xml:space="preserve">Merge blocked</w:t>
            </w:r>
          </w:p>
        </w:tc>
      </w:tr>
    </w:tbl>
    <w:p>
      <w:pPr>
        <w:pStyle w:val="Heading3"/>
      </w:pPr>
      <w:bookmarkStart w:id="33" w:name="gate-sequence-is-strict"/>
      <w:r>
        <w:t xml:space="preserve">§4.1 Gate sequence is strict</w:t>
      </w:r>
      <w:bookmarkEnd w:id="33"/>
    </w:p>
    <w:p>
      <w:pPr>
        <w:pStyle w:val="FirstParagraph"/>
      </w:pPr>
      <w:r>
        <w:t xml:space="preserve">Gates run 1 → 5 within a Wave. A gate may not be attempted before the prior gate is signed. The Orchestrator (session-start hook) enforces the sequence.</w:t>
      </w:r>
    </w:p>
    <w:p>
      <w:pPr>
        <w:pStyle w:val="BlockText"/>
      </w:pPr>
      <w:r>
        <w:rPr>
          <w:i/>
        </w:rPr>
        <w:t xml:space="preserve">Note on the Orchestrator.</w:t>
      </w:r>
      <w:r>
        <w:t xml:space="preserve"> </w:t>
      </w:r>
      <w:r>
        <w:t xml:space="preserve">“</w:t>
      </w:r>
      <w:r>
        <w:t xml:space="preserve">Orchestrator</w:t>
      </w:r>
      <w:r>
        <w:t xml:space="preserve">”</w:t>
      </w:r>
      <w:r>
        <w:t xml:space="preserve"> </w:t>
      </w:r>
      <w:r>
        <w:t xml:space="preserve">is a</w:t>
      </w:r>
      <w:r>
        <w:t xml:space="preserve"> </w:t>
      </w:r>
      <w:r>
        <w:rPr>
          <w:b/>
        </w:rPr>
        <w:t xml:space="preserve">hat worn by the Product Owner</w:t>
      </w:r>
      <w:r>
        <w:t xml:space="preserve">, not a separate seat or agent. When the session-start hook runs its sequence checks, the PO is the human owner of those checks; the hook is the code they delegate the enforcement to. There is no separate Orchestrator role in the 4-human squad (see</w:t>
      </w:r>
      <w:r>
        <w:t xml:space="preserve"> </w:t>
      </w:r>
      <w:r>
        <w:rPr>
          <w:rStyle w:val="VerbatimChar"/>
        </w:rPr>
        <w:t xml:space="preserve">docs/Team-Charters/HUMAN_TEAM_CHARTER.md</w:t>
      </w:r>
      <w:r>
        <w:t xml:space="preserve">).</w:t>
      </w:r>
    </w:p>
    <w:p>
      <w:pPr>
        <w:pStyle w:val="Heading3"/>
      </w:pPr>
      <w:bookmarkStart w:id="34" w:name="deployment-is-a-separate-concern"/>
      <w:r>
        <w:t xml:space="preserve">§4.2 Deployment is a separate concern</w:t>
      </w:r>
      <w:bookmarkEnd w:id="34"/>
    </w:p>
    <w:p>
      <w:pPr>
        <w:pStyle w:val="FirstParagraph"/>
      </w:pPr>
      <w:r>
        <w:t xml:space="preserve">Deployment sits</w:t>
      </w:r>
      <w:r>
        <w:t xml:space="preserve"> </w:t>
      </w:r>
      <w:r>
        <w:rPr>
          <w:b/>
        </w:rPr>
        <w:t xml:space="preserve">outside</w:t>
      </w:r>
      <w:r>
        <w:t xml:space="preserve"> </w:t>
      </w:r>
      <w:r>
        <w:t xml:space="preserve">the 6-gate sequence. Merge (PE, Gate 5 passed) and deploy (DevOps, post-merge) are segregated by design. DevOps never writes code; PE never presses deploy. This is the SignalOS SoD rule and cannot be waived.</w:t>
      </w:r>
    </w:p>
    <w:p>
      <w:pPr>
        <w:pStyle w:val="Heading3"/>
      </w:pPr>
      <w:bookmarkStart w:id="35" w:name="protocol-violation"/>
      <w:r>
        <w:t xml:space="preserve">§4.3 Protocol violation</w:t>
      </w:r>
      <w:bookmarkEnd w:id="35"/>
    </w:p>
    <w:p>
      <w:pPr>
        <w:pStyle w:val="FirstParagraph"/>
      </w:pPr>
      <w:r>
        <w:t xml:space="preserve">Any attempt to skip or backfill a gate is a</w:t>
      </w:r>
      <w:r>
        <w:t xml:space="preserve"> </w:t>
      </w:r>
      <w:r>
        <w:rPr>
          <w:b/>
        </w:rPr>
        <w:t xml:space="preserve">protocol violation</w:t>
      </w:r>
      <w:r>
        <w:t xml:space="preserve">. The session-start hook aborts the next phase with:</w:t>
      </w:r>
    </w:p>
    <w:p>
      <w:pPr>
        <w:pStyle w:val="BlockText"/>
      </w:pPr>
      <w:r>
        <w:rPr>
          <w:rStyle w:val="VerbatimChar"/>
        </w:rPr>
        <w:t xml:space="preserve">PROTOCOL VIOLATION: Gate [N] ([Name]) not signed. Wave [ID] blocked. Named owner [Role] must reconcile.</w:t>
      </w:r>
    </w:p>
    <w:p>
      <w:pPr>
        <w:pStyle w:val="FirstParagraph"/>
      </w:pPr>
      <w:r>
        <w:t xml:space="preserve">Reconciliation requires either signing the gate or formally cancelling the Wave (retro + Constitution delta).</w:t>
      </w:r>
    </w:p>
    <w:p>
      <w:r>
        <w:pict>
          <v:rect style="width:0;height:1.5pt" o:hralign="center" o:hrstd="t" o:hr="t"/>
        </w:pict>
      </w:r>
    </w:p>
    <w:p>
      <w:pPr>
        <w:pStyle w:val="Heading2"/>
      </w:pPr>
      <w:bookmarkStart w:id="36" w:name="phase-gate-rules-adapted-from-agency-5"/>
      <w:r>
        <w:t xml:space="preserve">§5. Phase-Gate Rules</w:t>
      </w:r>
      <w:r>
        <w:t xml:space="preserve"> </w:t>
      </w:r>
      <w:r>
        <w:rPr>
          <w:i/>
        </w:rPr>
        <w:t xml:space="preserve">(adapted from Agency §5)</w:t>
      </w:r>
      <w:bookmarkEnd w:id="36"/>
    </w:p>
    <w:p>
      <w:pPr>
        <w:pStyle w:val="FirstParagraph"/>
      </w:pPr>
      <w:r>
        <w:t xml:space="preserve">The six gates above are reinforced by these execution-level rules. Every rule is enforced by a validator in the Constitution-as-code library.</w:t>
      </w:r>
    </w:p>
    <w:p>
      <w:pPr>
        <w:numPr>
          <w:ilvl w:val="0"/>
          <w:numId w:val="1005"/>
        </w:numPr>
        <w:pStyle w:val="Compact"/>
      </w:pPr>
      <w:r>
        <w:rPr>
          <w:b/>
        </w:rPr>
        <w:t xml:space="preserve">Explicit approval is mandatory.</w:t>
      </w:r>
      <w:r>
        <w:t xml:space="preserve"> </w:t>
      </w:r>
      <w:r>
        <w:t xml:space="preserve">Every gate requires an explicit human signature, typed into the gate artifact.</w:t>
      </w:r>
      <w:r>
        <w:t xml:space="preserve"> </w:t>
      </w:r>
      <w:r>
        <w:t xml:space="preserve">“</w:t>
      </w:r>
      <w:r>
        <w:t xml:space="preserve">Approved in Slack</w:t>
      </w:r>
      <w:r>
        <w:t xml:space="preserve">”</w:t>
      </w:r>
      <w:r>
        <w:t xml:space="preserve"> </w:t>
      </w:r>
      <w:r>
        <w:t xml:space="preserve">is not a signature.</w:t>
      </w:r>
    </w:p>
    <w:p>
      <w:pPr>
        <w:numPr>
          <w:ilvl w:val="0"/>
          <w:numId w:val="1005"/>
        </w:numPr>
        <w:pStyle w:val="Compact"/>
      </w:pPr>
      <w:r>
        <w:rPr>
          <w:b/>
        </w:rPr>
        <w:t xml:space="preserve">No phase skipping.</w:t>
      </w:r>
      <w:r>
        <w:t xml:space="preserve"> </w:t>
      </w:r>
      <w:r>
        <w:t xml:space="preserve">The Orchestrator enforces gate order. A skip attempt triggers a protocol violation.</w:t>
      </w:r>
    </w:p>
    <w:p>
      <w:pPr>
        <w:numPr>
          <w:ilvl w:val="0"/>
          <w:numId w:val="1005"/>
        </w:numPr>
        <w:pStyle w:val="Compact"/>
      </w:pPr>
      <w:r>
        <w:rPr>
          <w:b/>
        </w:rPr>
        <w:t xml:space="preserve">Artifact-at-path.</w:t>
      </w:r>
      <w:r>
        <w:t xml:space="preserve"> </w:t>
      </w:r>
      <w:r>
        <w:t xml:space="preserve">Every phase produces an artifact at a specific path. If the artifact is not at the path, the phase is not complete.</w:t>
      </w:r>
    </w:p>
    <w:p>
      <w:pPr>
        <w:numPr>
          <w:ilvl w:val="0"/>
          <w:numId w:val="1005"/>
        </w:numPr>
        <w:pStyle w:val="Compact"/>
      </w:pPr>
      <w:r>
        <w:rPr>
          <w:b/>
        </w:rPr>
        <w:t xml:space="preserve">Handoff message.</w:t>
      </w:r>
      <w:r>
        <w:t xml:space="preserve"> </w:t>
      </w:r>
      <w:r>
        <w:t xml:space="preserve">Each phase ends with a handoff note in</w:t>
      </w:r>
      <w:r>
        <w:t xml:space="preserve"> </w:t>
      </w:r>
      <w:r>
        <w:rPr>
          <w:rStyle w:val="VerbatimChar"/>
        </w:rPr>
        <w:t xml:space="preserve">Worktree-sync/HANDOFFS.md</w:t>
      </w:r>
      <w:r>
        <w:t xml:space="preserve"> </w:t>
      </w:r>
      <w:r>
        <w:t xml:space="preserve">naming the next phase’s owner and the artifact path.</w:t>
      </w:r>
    </w:p>
    <w:p>
      <w:pPr>
        <w:numPr>
          <w:ilvl w:val="0"/>
          <w:numId w:val="1005"/>
        </w:numPr>
        <w:pStyle w:val="Compact"/>
      </w:pPr>
      <w:r>
        <w:rPr>
          <w:b/>
        </w:rPr>
        <w:t xml:space="preserve">Worktree-Sync is automatic.</w:t>
      </w:r>
      <w:r>
        <w:t xml:space="preserve"> </w:t>
      </w:r>
      <w:r>
        <w:t xml:space="preserve">After every gate signature, the Worktree-Sync agent runs without human invocation. This is the mechanism by which parallel Waves stay coherent.</w:t>
      </w:r>
      <w:r>
        <w:t xml:space="preserve"> </w:t>
      </w:r>
      <w:r>
        <w:rPr>
          <w:i/>
        </w:rPr>
        <w:t>(Renamed from Agency’s Worktree-Sync. The mechanism is the same; the pattern is preserved.)</w:t>
      </w:r>
    </w:p>
    <w:p>
      <w:pPr>
        <w:numPr>
          <w:ilvl w:val="0"/>
          <w:numId w:val="1005"/>
        </w:numPr>
        <w:pStyle w:val="Compact"/>
      </w:pPr>
      <w:r>
        <w:rPr>
          <w:b/>
        </w:rPr>
        <w:t xml:space="preserve">Agent invocation is structured.</w:t>
      </w:r>
      <w:r>
        <w:t xml:space="preserve"> </w:t>
      </w:r>
      <w:r>
        <w:t xml:space="preserve">All agent invocations use the SignalOS command protocol (see</w:t>
      </w:r>
      <w:r>
        <w:t xml:space="preserve"> </w:t>
      </w:r>
      <w:r>
        <w:rPr>
          <w:rStyle w:val="VerbatimChar"/>
        </w:rPr>
        <w:t xml:space="preserve">core/execution/commands/</w:t>
      </w:r>
      <w:r>
        <w:t xml:space="preserve">). Free-form natural-language agent instructions are a protocol violation.</w:t>
      </w:r>
    </w:p>
    <w:p>
      <w:pPr>
        <w:numPr>
          <w:ilvl w:val="0"/>
          <w:numId w:val="1005"/>
        </w:numPr>
        <w:pStyle w:val="Compact"/>
      </w:pPr>
      <w:r>
        <w:rPr>
          <w:b/>
        </w:rPr>
        <w:t xml:space="preserve">Code only via Build.</w:t>
      </w:r>
      <w:r>
        <w:t xml:space="preserve"> </w:t>
      </w:r>
      <w:r>
        <w:t xml:space="preserve">No human or agent writes production code outside a Build agent invocation. This preserves traceability. (The PE types T3 diffs, but does so</w:t>
      </w:r>
      <w:r>
        <w:t xml:space="preserve"> </w:t>
      </w:r>
      <w:r>
        <w:rPr>
          <w:i/>
        </w:rPr>
        <w:t xml:space="preserve">through</w:t>
      </w:r>
      <w:r>
        <w:t xml:space="preserve"> </w:t>
      </w:r>
      <w:r>
        <w:t xml:space="preserve">a Build invocation with tier=T3.)</w:t>
      </w:r>
    </w:p>
    <w:p>
      <w:pPr>
        <w:numPr>
          <w:ilvl w:val="0"/>
          <w:numId w:val="1005"/>
        </w:numPr>
        <w:pStyle w:val="Compact"/>
      </w:pPr>
      <w:r>
        <w:rPr>
          <w:b/>
        </w:rPr>
        <w:t xml:space="preserve">Phase-8 is mandatory (Closure Gate).</w:t>
      </w:r>
      <w:r>
        <w:t xml:space="preserve"> </w:t>
      </w:r>
      <w:r>
        <w:t xml:space="preserve">After every production ship, run reconcile → retro → retrospective-analyze → Constitution-delta. No exceptions. A Wave is not closed until Phase-8 completes.</w:t>
      </w:r>
      <w:r>
        <w:t xml:space="preserve"> </w:t>
      </w:r>
      <w:r>
        <w:rPr>
          <w:i/>
        </w:rPr>
        <w:t xml:space="preserve">(Phase-8 is the Closure Gate — the formal end-of-Wave ceremony. It subsumes Signal’s original</w:t>
      </w:r>
      <w:r>
        <w:rPr>
          <w:i/>
        </w:rPr>
        <w:t xml:space="preserve"> </w:t>
      </w:r>
      <w:r>
        <w:rPr>
          <w:i/>
        </w:rPr>
        <w:t xml:space="preserve">“</w:t>
      </w:r>
      <w:r>
        <w:rPr>
          <w:i/>
        </w:rPr>
        <w:t xml:space="preserve">Closure Gate</w:t>
      </w:r>
      <w:r>
        <w:rPr>
          <w:i/>
        </w:rPr>
        <w:t xml:space="preserve">”</w:t>
      </w:r>
      <w:r>
        <w:rPr>
          <w:i/>
        </w:rPr>
        <w:t xml:space="preserve"> </w:t>
      </w:r>
      <w:r>
        <w:rPr>
          <w:i/>
        </w:rPr>
        <w:t xml:space="preserve">concept. The post-retro hook enforces that Phase-8 cannot be skipped: no Constitution delta → next Wave blocked at Gate 1.)</w:t>
      </w:r>
    </w:p>
    <w:p>
      <w:pPr>
        <w:pStyle w:val="Heading3"/>
      </w:pPr>
      <w:bookmarkStart w:id="37" w:name="wave-branching"/>
      <w:r>
        <w:t xml:space="preserve">§5.1 Wave branching</w:t>
      </w:r>
      <w:bookmarkEnd w:id="37"/>
    </w:p>
    <w:p>
      <w:pPr>
        <w:pStyle w:val="FirstParagraph"/>
      </w:pPr>
      <w:r>
        <w:t xml:space="preserve">Every Wave has its own</w:t>
      </w:r>
      <w:r>
        <w:t xml:space="preserve"> </w:t>
      </w:r>
      <w:r>
        <w:rPr>
          <w:rStyle w:val="VerbatimChar"/>
        </w:rPr>
        <w:t xml:space="preserve">wave-[NN]-[short-name]</w:t>
      </w:r>
      <w:r>
        <w:t xml:space="preserve"> </w:t>
      </w:r>
      <w:r>
        <w:t xml:space="preserve">branch. Created at Wave start, merged via PR at Wave close. No direct commits to</w:t>
      </w:r>
      <w:r>
        <w:t xml:space="preserve"> </w:t>
      </w:r>
      <w:r>
        <w:rPr>
          <w:rStyle w:val="VerbatimChar"/>
        </w:rPr>
        <w:t xml:space="preserve">main</w:t>
      </w:r>
      <w:r>
        <w:t xml:space="preserve">.</w:t>
      </w:r>
    </w:p>
    <w:p>
      <w:pPr>
        <w:pStyle w:val="Heading3"/>
      </w:pPr>
      <w:bookmarkStart w:id="38" w:name="worktree-discipline"/>
      <w:r>
        <w:t xml:space="preserve">§5.2 Worktree discipline</w:t>
      </w:r>
      <w:bookmarkEnd w:id="38"/>
    </w:p>
    <w:p>
      <w:pPr>
        <w:pStyle w:val="FirstParagraph"/>
      </w:pPr>
      <w:r>
        <w:t xml:space="preserve">Parallel Waves run in separate git worktrees. Each worktree has its own PE (per</w:t>
      </w:r>
      <w:r>
        <w:t xml:space="preserve"> </w:t>
      </w:r>
      <w:r>
        <w:rPr>
          <w:rStyle w:val="VerbatimChar"/>
        </w:rPr>
        <w:t xml:space="preserve">executive/Engagement-Model/ENGAGEMENT_MODEL.md</w:t>
      </w:r>
      <w:r>
        <w:t xml:space="preserve">). The Worktree-Sync agent is the sole cross-worktree communicator.</w:t>
      </w:r>
    </w:p>
    <w:p>
      <w:r>
        <w:pict>
          <v:rect style="width:0;height:1.5pt" o:hralign="center" o:hrstd="t" o:hr="t"/>
        </w:pict>
      </w:r>
    </w:p>
    <w:p>
      <w:pPr>
        <w:pStyle w:val="Heading2"/>
      </w:pPr>
      <w:bookmarkStart w:id="39" w:name="amendment-mechanism"/>
      <w:r>
        <w:t xml:space="preserve">§6. Amendment Mechanism</w:t>
      </w:r>
      <w:bookmarkEnd w:id="39"/>
    </w:p>
    <w:p>
      <w:pPr>
        <w:pStyle w:val="FirstParagraph"/>
      </w:pPr>
      <w:r>
        <w:t xml:space="preserve">The Constitution changes only through retros. There is no other path.</w:t>
      </w:r>
    </w:p>
    <w:p>
      <w:pPr>
        <w:pStyle w:val="Heading3"/>
      </w:pPr>
      <w:bookmarkStart w:id="40" w:name="every-retro-produces-a-delta"/>
      <w:r>
        <w:t xml:space="preserve">§6.1 Every retro produces a delta</w:t>
      </w:r>
      <w:bookmarkEnd w:id="40"/>
    </w:p>
    <w:p>
      <w:pPr>
        <w:pStyle w:val="FirstParagraph"/>
      </w:pPr>
      <w:r>
        <w:t xml:space="preserve">Phase-8 of every Wave produces a Constitution delta. The delta is either:</w:t>
      </w:r>
    </w:p>
    <w:p>
      <w:pPr>
        <w:numPr>
          <w:ilvl w:val="0"/>
          <w:numId w:val="1006"/>
        </w:numPr>
        <w:pStyle w:val="Compact"/>
      </w:pPr>
      <w:r>
        <w:t xml:space="preserve">A</w:t>
      </w:r>
      <w:r>
        <w:t xml:space="preserve"> </w:t>
      </w:r>
      <w:r>
        <w:rPr>
          <w:b/>
        </w:rPr>
        <w:t xml:space="preserve">ratified amendment</w:t>
      </w:r>
      <w:r>
        <w:t xml:space="preserve"> </w:t>
      </w:r>
      <w:r>
        <w:t xml:space="preserve">— a concrete change to this document, signed by PO + PE, recorded in</w:t>
      </w:r>
      <w:r>
        <w:t xml:space="preserve"> </w:t>
      </w:r>
      <w:r>
        <w:rPr>
          <w:rStyle w:val="VerbatimChar"/>
        </w:rPr>
        <w:t xml:space="preserve">core/governance/Retro/AMENDMENTS.md</w:t>
      </w:r>
      <w:r>
        <w:t xml:space="preserve">.</w:t>
      </w:r>
    </w:p>
    <w:p>
      <w:pPr>
        <w:numPr>
          <w:ilvl w:val="0"/>
          <w:numId w:val="1006"/>
        </w:numPr>
        <w:pStyle w:val="Compact"/>
      </w:pPr>
      <w:r>
        <w:t xml:space="preserve">A</w:t>
      </w:r>
      <w:r>
        <w:t xml:space="preserve"> </w:t>
      </w:r>
      <w:r>
        <w:rPr>
          <w:b/>
        </w:rPr>
        <w:t xml:space="preserve">signed</w:t>
      </w:r>
      <w:r>
        <w:rPr>
          <w:b/>
        </w:rPr>
        <w:t xml:space="preserve"> </w:t>
      </w:r>
      <w:r>
        <w:rPr>
          <w:b/>
        </w:rPr>
        <w:t xml:space="preserve">“</w:t>
      </w:r>
      <w:r>
        <w:rPr>
          <w:b/>
        </w:rPr>
        <w:t xml:space="preserve">no change</w:t>
      </w:r>
      <w:r>
        <w:rPr>
          <w:b/>
        </w:rPr>
        <w:t xml:space="preserve">”</w:t>
      </w:r>
      <w:r>
        <w:rPr>
          <w:b/>
        </w:rPr>
        <w:t xml:space="preserve"> </w:t>
      </w:r>
      <w:r>
        <w:rPr>
          <w:b/>
        </w:rPr>
        <w:t xml:space="preserve">record</w:t>
      </w:r>
      <w:r>
        <w:t xml:space="preserve"> </w:t>
      </w:r>
      <w:r>
        <w:t xml:space="preserve">— an explicit note that this Wave surfaced no constitutional lesson, signed by PO + PE.</w:t>
      </w:r>
    </w:p>
    <w:p>
      <w:pPr>
        <w:pStyle w:val="FirstParagraph"/>
      </w:pPr>
      <w:r>
        <w:t xml:space="preserve">Silence is not permitted. A retro without a delta blocks the next Wave’s Gate 1.</w:t>
      </w:r>
    </w:p>
    <w:p>
      <w:pPr>
        <w:pStyle w:val="Heading3"/>
      </w:pPr>
      <w:bookmarkStart w:id="41" w:name="delta-scope"/>
      <w:r>
        <w:t xml:space="preserve">§6.2 Delta scope</w:t>
      </w:r>
      <w:bookmarkEnd w:id="41"/>
    </w:p>
    <w:p>
      <w:pPr>
        <w:pStyle w:val="FirstParagraph"/>
      </w:pPr>
      <w:r>
        <w:t xml:space="preserve">A delta may:</w:t>
      </w:r>
    </w:p>
    <w:p>
      <w:pPr>
        <w:numPr>
          <w:ilvl w:val="0"/>
          <w:numId w:val="1007"/>
        </w:numPr>
        <w:pStyle w:val="Compact"/>
      </w:pPr>
      <w:r>
        <w:t xml:space="preserve">Add, remove, or modify a rule in §1–§5 or §7</w:t>
      </w:r>
    </w:p>
    <w:p>
      <w:pPr>
        <w:numPr>
          <w:ilvl w:val="0"/>
          <w:numId w:val="1007"/>
        </w:numPr>
        <w:pStyle w:val="Compact"/>
      </w:pPr>
      <w:r>
        <w:t xml:space="preserve">Add, remove, or modify a gate</w:t>
      </w:r>
    </w:p>
    <w:p>
      <w:pPr>
        <w:numPr>
          <w:ilvl w:val="0"/>
          <w:numId w:val="1007"/>
        </w:numPr>
        <w:pStyle w:val="Compact"/>
      </w:pPr>
      <w:r>
        <w:t xml:space="preserve">Add, remove, or modify a Trust Tier surface classification</w:t>
      </w:r>
    </w:p>
    <w:p>
      <w:pPr>
        <w:numPr>
          <w:ilvl w:val="0"/>
          <w:numId w:val="1007"/>
        </w:numPr>
        <w:pStyle w:val="Compact"/>
      </w:pPr>
      <w:r>
        <w:t xml:space="preserve">Update the example product-Constitution template</w:t>
      </w:r>
    </w:p>
    <w:p>
      <w:pPr>
        <w:pStyle w:val="FirstParagraph"/>
      </w:pPr>
      <w:r>
        <w:t xml:space="preserve">A delta may</w:t>
      </w:r>
      <w:r>
        <w:t xml:space="preserve"> </w:t>
      </w:r>
      <w:r>
        <w:rPr>
          <w:b/>
        </w:rPr>
        <w:t xml:space="preserve">not</w:t>
      </w:r>
      <w:r>
        <w:t xml:space="preserve">:</w:t>
      </w:r>
    </w:p>
    <w:p>
      <w:pPr>
        <w:numPr>
          <w:ilvl w:val="0"/>
          <w:numId w:val="1008"/>
        </w:numPr>
        <w:pStyle w:val="Compact"/>
      </w:pPr>
      <w:r>
        <w:t xml:space="preserve">Remove any of the Four Laws (preamble)</w:t>
      </w:r>
    </w:p>
    <w:p>
      <w:pPr>
        <w:numPr>
          <w:ilvl w:val="0"/>
          <w:numId w:val="1008"/>
        </w:numPr>
        <w:pStyle w:val="Compact"/>
      </w:pPr>
      <w:r>
        <w:t xml:space="preserve">Remove the fail-hard default (§1)</w:t>
      </w:r>
    </w:p>
    <w:p>
      <w:pPr>
        <w:numPr>
          <w:ilvl w:val="0"/>
          <w:numId w:val="1008"/>
        </w:numPr>
        <w:pStyle w:val="Compact"/>
      </w:pPr>
      <w:r>
        <w:t xml:space="preserve">Remove the permanently-T3 surfaces (§2.2)</w:t>
      </w:r>
    </w:p>
    <w:p>
      <w:pPr>
        <w:numPr>
          <w:ilvl w:val="0"/>
          <w:numId w:val="1008"/>
        </w:numPr>
        <w:pStyle w:val="Compact"/>
      </w:pPr>
      <w:r>
        <w:t xml:space="preserve">Waive SoD between merge and deploy (§4.2)</w:t>
      </w:r>
    </w:p>
    <w:p>
      <w:pPr>
        <w:pStyle w:val="FirstParagraph"/>
      </w:pPr>
      <w:r>
        <w:t xml:space="preserve">These are the immutable core. Changing them requires a new Constitution version, not a delta.</w:t>
      </w:r>
    </w:p>
    <w:p>
      <w:pPr>
        <w:pStyle w:val="Heading3"/>
      </w:pPr>
      <w:bookmarkStart w:id="42" w:name="retro-ownership"/>
      <w:r>
        <w:t xml:space="preserve">§6.3 Retro ownership</w:t>
      </w:r>
      <w:bookmarkEnd w:id="42"/>
    </w:p>
    <w:p>
      <w:pPr>
        <w:pStyle w:val="FirstParagraph"/>
      </w:pPr>
      <w:r>
        <w:t xml:space="preserve">The PO owns the retro. The PE, QA, and DevOps each contribute a signed section. The Observability agent contributes a post-deploy metrics section. The PO drafts the delta; PO + PE sign it.</w:t>
      </w:r>
    </w:p>
    <w:p>
      <w:r>
        <w:pict>
          <v:rect style="width:0;height:1.5pt" o:hralign="center" o:hrstd="t" o:hr="t"/>
        </w:pict>
      </w:r>
    </w:p>
    <w:p>
      <w:pPr>
        <w:pStyle w:val="Heading2"/>
      </w:pPr>
      <w:bookmarkStart w:id="43" w:name="enforcement-chain"/>
      <w:r>
        <w:t xml:space="preserve">§7. Enforcement Chain</w:t>
      </w:r>
      <w:bookmarkEnd w:id="43"/>
    </w:p>
    <w:p>
      <w:pPr>
        <w:pStyle w:val="FirstParagraph"/>
      </w:pPr>
      <w:r>
        <w:t xml:space="preserve">SignalOS enforces the Constitution through five layers. Each layer catches what the layer above it missed. No single layer is sufficient.</w:t>
      </w:r>
    </w:p>
    <w:p>
      <w:pPr>
        <w:pStyle w:val="BodyText"/>
      </w:pPr>
      <w:r>
        <w:rPr>
          <w:b/>
        </w:rPr>
        <w:t xml:space="preserve">Layer 1 — Constitution-as-code.</w:t>
      </w:r>
      <w:r>
        <w:t xml:space="preserve"> </w:t>
      </w:r>
      <w:r>
        <w:t xml:space="preserve">The rules in this document are encoded as runnable validators in</w:t>
      </w:r>
      <w:r>
        <w:t xml:space="preserve"> </w:t>
      </w:r>
      <w:r>
        <w:rPr>
          <w:rStyle w:val="VerbatimChar"/>
        </w:rPr>
        <w:t xml:space="preserve">core/governance/Validators/</w:t>
      </w:r>
      <w:r>
        <w:t xml:space="preserve">. Each rule has a validator; each validator is referenced from at least one hook.</w:t>
      </w:r>
    </w:p>
    <w:p>
      <w:pPr>
        <w:pStyle w:val="BodyText"/>
      </w:pPr>
      <w:r>
        <w:rPr>
          <w:b/>
        </w:rPr>
        <w:t xml:space="preserve">Layer 2 — Hooks.</w:t>
      </w:r>
      <w:r>
        <w:t xml:space="preserve"> </w:t>
      </w:r>
      <w:r>
        <w:t xml:space="preserve">Git hooks invoke validators at the right moment:</w:t>
      </w:r>
    </w:p>
    <w:p>
      <w:pPr>
        <w:numPr>
          <w:ilvl w:val="0"/>
          <w:numId w:val="1009"/>
        </w:numPr>
        <w:pStyle w:val="Compact"/>
      </w:pPr>
      <w:r>
        <w:rPr>
          <w:rStyle w:val="VerbatimChar"/>
        </w:rPr>
        <w:t xml:space="preserve">pre-commit</w:t>
      </w:r>
      <w:r>
        <w:t xml:space="preserve"> </w:t>
      </w:r>
      <w:r>
        <w:t xml:space="preserve">— surface Trust Tier check, self-review freshness, protocol-violation scan</w:t>
      </w:r>
    </w:p>
    <w:p>
      <w:pPr>
        <w:numPr>
          <w:ilvl w:val="0"/>
          <w:numId w:val="1009"/>
        </w:numPr>
        <w:pStyle w:val="Compact"/>
      </w:pPr>
      <w:r>
        <w:rPr>
          <w:rStyle w:val="VerbatimChar"/>
        </w:rPr>
        <w:t xml:space="preserve">pre-merge</w:t>
      </w:r>
      <w:r>
        <w:t xml:space="preserve"> </w:t>
      </w:r>
      <w:r>
        <w:t xml:space="preserve">— Gate 5 signature check, Worktree-Sync completion</w:t>
      </w:r>
    </w:p>
    <w:p>
      <w:pPr>
        <w:numPr>
          <w:ilvl w:val="0"/>
          <w:numId w:val="1009"/>
        </w:numPr>
        <w:pStyle w:val="Compact"/>
      </w:pPr>
      <w:r>
        <w:rPr>
          <w:rStyle w:val="VerbatimChar"/>
        </w:rPr>
        <w:t xml:space="preserve">pre-deploy</w:t>
      </w:r>
      <w:r>
        <w:t xml:space="preserve"> </w:t>
      </w:r>
      <w:r>
        <w:t xml:space="preserve">— SoD check (merge signer ≠ deploy runner)</w:t>
      </w:r>
    </w:p>
    <w:p>
      <w:pPr>
        <w:numPr>
          <w:ilvl w:val="0"/>
          <w:numId w:val="1009"/>
        </w:numPr>
        <w:pStyle w:val="Compact"/>
      </w:pPr>
      <w:r>
        <w:rPr>
          <w:rStyle w:val="VerbatimChar"/>
        </w:rPr>
        <w:t xml:space="preserve">post-retro</w:t>
      </w:r>
      <w:r>
        <w:t xml:space="preserve"> </w:t>
      </w:r>
      <w:r>
        <w:t xml:space="preserve">— Constitution delta presence check</w:t>
      </w:r>
    </w:p>
    <w:p>
      <w:pPr>
        <w:numPr>
          <w:ilvl w:val="0"/>
          <w:numId w:val="1009"/>
        </w:numPr>
        <w:pStyle w:val="Compact"/>
      </w:pPr>
      <w:r>
        <w:rPr>
          <w:rStyle w:val="VerbatimChar"/>
        </w:rPr>
        <w:t xml:space="preserve">session-start</w:t>
      </w:r>
      <w:r>
        <w:t xml:space="preserve"> </w:t>
      </w:r>
      <w:r>
        <w:t xml:space="preserve">— gate-sequence validity, unowned-agent check</w:t>
      </w:r>
    </w:p>
    <w:p>
      <w:pPr>
        <w:pStyle w:val="FirstParagraph"/>
      </w:pPr>
      <w:r>
        <w:rPr>
          <w:b/>
        </w:rPr>
        <w:t xml:space="preserve">Layer 3 — Ceremony skills inside phase agents.</w:t>
      </w:r>
      <w:r>
        <w:t xml:space="preserve"> </w:t>
      </w:r>
      <w:r>
        <w:t xml:space="preserve">Each phase agent runs the ceremony skills that produce the phase’s gate artifact. Belief-writing runs inside Brainstorm; Trust-Tier-declaration runs inside Plan; Bet-Score and Kickoff run at Wave-start; Expectation-Map runs inside Plan; Retro-as-amendment runs inside Phase-8.</w:t>
      </w:r>
    </w:p>
    <w:p>
      <w:pPr>
        <w:pStyle w:val="BodyText"/>
      </w:pPr>
      <w:r>
        <w:rPr>
          <w:b/>
        </w:rPr>
        <w:t xml:space="preserve">Layer 4 — Independent audit agents.</w:t>
      </w:r>
      <w:r>
        <w:t xml:space="preserve"> </w:t>
      </w:r>
      <w:r>
        <w:t xml:space="preserve">Review (Stage-1), Security (scan), and Observability (post-deploy) run independently of the phase agents. They report to the PO and QA, not to the phase agent they audit.</w:t>
      </w:r>
    </w:p>
    <w:p>
      <w:pPr>
        <w:pStyle w:val="BodyText"/>
      </w:pPr>
      <w:r>
        <w:rPr>
          <w:b/>
        </w:rPr>
        <w:t xml:space="preserve">Layer 5 — Human gate signatures.</w:t>
      </w:r>
      <w:r>
        <w:t xml:space="preserve"> </w:t>
      </w:r>
      <w:r>
        <w:t xml:space="preserve">The final enforcement is human. PO signs Belief and Expectation Map. PE declares Trust Tier and signs the merge. QA signs Stage-2. DevOps signs the deploy. No signature → no passage.</w:t>
      </w:r>
    </w:p>
    <w:p>
      <w:pPr>
        <w:pStyle w:val="Heading3"/>
      </w:pPr>
      <w:bookmarkStart w:id="44" w:name="the-chain-is-ordered"/>
      <w:r>
        <w:t xml:space="preserve">§7.1 The chain is ordered</w:t>
      </w:r>
      <w:bookmarkEnd w:id="44"/>
    </w:p>
    <w:p>
      <w:pPr>
        <w:pStyle w:val="FirstParagraph"/>
      </w:pPr>
      <w:r>
        <w:t xml:space="preserve">Earlier layers catch cheaper failures faster. By the time a breach reaches Layer 5, it has survived four automated checks — the signer’s job is judgment, not error-catching.</w:t>
      </w:r>
    </w:p>
    <w:p>
      <w:pPr>
        <w:pStyle w:val="Heading3"/>
      </w:pPr>
      <w:bookmarkStart w:id="45" w:name="validator-canon"/>
      <w:r>
        <w:t xml:space="preserve">§7.2 Validator canon</w:t>
      </w:r>
      <w:bookmarkEnd w:id="45"/>
    </w:p>
    <w:p>
      <w:pPr>
        <w:pStyle w:val="FirstParagraph"/>
      </w:pPr>
      <w:r>
        <w:t xml:space="preserve">The full list of validators lives at</w:t>
      </w:r>
      <w:r>
        <w:t xml:space="preserve"> </w:t>
      </w:r>
      <w:r>
        <w:rPr>
          <w:rStyle w:val="VerbatimChar"/>
        </w:rPr>
        <w:t xml:space="preserve">core/governance/ENFORCEMENT.md</w:t>
      </w:r>
      <w:r>
        <w:t xml:space="preserve">. That document is the definitive map of which hook runs which validator, which skill belongs to which agent, and which human signs which gate. If</w:t>
      </w:r>
      <w:r>
        <w:t xml:space="preserve"> </w:t>
      </w:r>
      <w:r>
        <w:rPr>
          <w:rStyle w:val="VerbatimChar"/>
        </w:rPr>
        <w:t xml:space="preserve">ENFORCEMENT.md</w:t>
      </w:r>
      <w:r>
        <w:t xml:space="preserve"> </w:t>
      </w:r>
      <w:r>
        <w:t xml:space="preserve">and this Constitution disagree,</w:t>
      </w:r>
      <w:r>
        <w:t xml:space="preserve"> </w:t>
      </w:r>
      <w:r>
        <w:rPr>
          <w:b/>
        </w:rPr>
        <w:t xml:space="preserve">this Constitution wins</w:t>
      </w:r>
      <w:r>
        <w:t xml:space="preserve"> </w:t>
      </w:r>
      <w:r>
        <w:t xml:space="preserve">and the map is corrected at the next retro.</w:t>
      </w:r>
    </w:p>
    <w:p>
      <w:r>
        <w:pict>
          <v:rect style="width:0;height:1.5pt" o:hralign="center" o:hrstd="t" o:hr="t"/>
        </w:pict>
      </w:r>
    </w:p>
    <w:p>
      <w:pPr>
        <w:pStyle w:val="Heading2"/>
      </w:pPr>
      <w:bookmarkStart w:id="46" w:name="roles-and-sod"/>
      <w:r>
        <w:t xml:space="preserve">§8. Roles and SoD</w:t>
      </w:r>
      <w:bookmarkEnd w:id="46"/>
    </w:p>
    <w:p>
      <w:pPr>
        <w:pStyle w:val="FirstParagraph"/>
      </w:pPr>
      <w:r>
        <w:t xml:space="preserve">SignalOS defines four human roles. Each has a named gate and named responsibilities. Segregation of Duties (SoD) is preserved by role boundaries.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Gate owned</w:t>
            </w:r>
          </w:p>
        </w:tc>
        <w:tc>
          <w:tcPr>
            <w:tcBorders>
              <w:bottom w:val="single"/>
            </w:tcBorders>
            <w:vAlign w:val="bottom"/>
          </w:tcPr>
          <w:p>
            <w:pPr>
              <w:pStyle w:val="Compact"/>
              <w:jc w:val="left"/>
            </w:pPr>
            <w:r>
              <w:t xml:space="preserve">Cannot also</w:t>
            </w:r>
          </w:p>
        </w:tc>
      </w:tr>
      <w:tr>
        <w:tc>
          <w:p>
            <w:pPr>
              <w:pStyle w:val="Compact"/>
              <w:jc w:val="left"/>
            </w:pPr>
            <w:r>
              <w:t xml:space="preserve">PO / Orchestrator</w:t>
            </w:r>
          </w:p>
        </w:tc>
        <w:tc>
          <w:p>
            <w:pPr>
              <w:pStyle w:val="Compact"/>
              <w:jc w:val="left"/>
            </w:pPr>
            <w:r>
              <w:t xml:space="preserve">Gates 1, 2, 3</w:t>
            </w:r>
          </w:p>
        </w:tc>
        <w:tc>
          <w:p>
            <w:pPr>
              <w:pStyle w:val="Compact"/>
              <w:jc w:val="left"/>
            </w:pPr>
            <w:r>
              <w:t xml:space="preserve">Type production diffs; press deploy</w:t>
            </w:r>
          </w:p>
        </w:tc>
      </w:tr>
      <w:tr>
        <w:tc>
          <w:p>
            <w:pPr>
              <w:pStyle w:val="Compact"/>
              <w:jc w:val="left"/>
            </w:pPr>
            <w:r>
              <w:t xml:space="preserve">Principal Engineer</w:t>
            </w:r>
          </w:p>
        </w:tc>
        <w:tc>
          <w:p>
            <w:pPr>
              <w:pStyle w:val="Compact"/>
              <w:jc w:val="left"/>
            </w:pPr>
            <w:r>
              <w:t xml:space="preserve">Gates 4, 5 (merge)</w:t>
            </w:r>
          </w:p>
        </w:tc>
        <w:tc>
          <w:p>
            <w:pPr>
              <w:pStyle w:val="Compact"/>
              <w:jc w:val="left"/>
            </w:pPr>
            <w:r>
              <w:t xml:space="preserve">Sign Belief; press deploy</w:t>
            </w:r>
          </w:p>
        </w:tc>
      </w:tr>
      <w:tr>
        <w:tc>
          <w:p>
            <w:pPr>
              <w:pStyle w:val="Compact"/>
              <w:jc w:val="left"/>
            </w:pPr>
            <w:r>
              <w:t xml:space="preserve">QA / Reviewer</w:t>
            </w:r>
          </w:p>
        </w:tc>
        <w:tc>
          <w:p>
            <w:pPr>
              <w:pStyle w:val="Compact"/>
              <w:jc w:val="left"/>
            </w:pPr>
            <w:r>
              <w:t xml:space="preserve">Gate 5 (Quality Check)</w:t>
            </w:r>
          </w:p>
        </w:tc>
        <w:tc>
          <w:p>
            <w:pPr>
              <w:pStyle w:val="Compact"/>
              <w:jc w:val="left"/>
            </w:pPr>
            <w:r>
              <w:t xml:space="preserve">Merge; press deploy</w:t>
            </w:r>
          </w:p>
        </w:tc>
      </w:tr>
      <w:tr>
        <w:tc>
          <w:p>
            <w:pPr>
              <w:pStyle w:val="Compact"/>
              <w:jc w:val="left"/>
            </w:pPr>
            <w:r>
              <w:t xml:space="preserve">DevOps</w:t>
            </w:r>
          </w:p>
        </w:tc>
        <w:tc>
          <w:p>
            <w:pPr>
              <w:pStyle w:val="Compact"/>
              <w:jc w:val="left"/>
            </w:pPr>
            <w:r>
              <w:t xml:space="preserve">Deploy (post Gate 5)</w:t>
            </w:r>
          </w:p>
        </w:tc>
        <w:tc>
          <w:p>
            <w:pPr>
              <w:pStyle w:val="Compact"/>
              <w:jc w:val="left"/>
            </w:pPr>
            <w:r>
              <w:t xml:space="preserve">Write code; approve merge</w:t>
            </w:r>
          </w:p>
        </w:tc>
      </w:tr>
    </w:tbl>
    <w:p>
      <w:pPr>
        <w:pStyle w:val="BodyText"/>
      </w:pPr>
      <w:r>
        <w:t xml:space="preserve">The full charter lives at</w:t>
      </w:r>
      <w:r>
        <w:t xml:space="preserve"> </w:t>
      </w:r>
      <w:r>
        <w:rPr>
          <w:rStyle w:val="VerbatimChar"/>
        </w:rPr>
        <w:t xml:space="preserve">docs/Team-Charters/HUMAN_TEAM_CHARTER.md</w:t>
      </w:r>
      <w:r>
        <w:t xml:space="preserve">. The agent roster lives at</w:t>
      </w:r>
      <w:r>
        <w:t xml:space="preserve"> </w:t>
      </w:r>
      <w:r>
        <w:rPr>
          <w:rStyle w:val="VerbatimChar"/>
        </w:rPr>
        <w:t xml:space="preserve">docs/Team-Charters/AGENTIC_TEAM_CHARTER.md</w:t>
      </w:r>
      <w:r>
        <w:t xml:space="preserve"> </w:t>
      </w:r>
      <w:r>
        <w:t xml:space="preserve">—</w:t>
      </w:r>
      <w:r>
        <w:t xml:space="preserve"> </w:t>
      </w:r>
      <w:r>
        <w:rPr>
          <w:b/>
        </w:rPr>
        <w:t xml:space="preserve">ten seats</w:t>
      </w:r>
      <w:r>
        <w:t xml:space="preserve">: two Discovery (Onboarding, Brainstorm) and eight Delivery (Plan, Build, Test, Review, Worktree-Sync, Security, Release, Observability). Every agent is owned by exactly one of the four human roles above; unowned agent output is non-binding (Law 4, Preamble).</w:t>
      </w:r>
    </w:p>
    <w:p>
      <w:r>
        <w:pict>
          <v:rect style="width:0;height:1.5pt" o:hralign="center" o:hrstd="t" o:hr="t"/>
        </w:pict>
      </w:r>
    </w:p>
    <w:p>
      <w:pPr>
        <w:pStyle w:val="Heading2"/>
      </w:pPr>
      <w:bookmarkStart w:id="47" w:name="relation-to-product-constitutions"/>
      <w:r>
        <w:t xml:space="preserve">§9. Relation to product-Constitutions</w:t>
      </w:r>
      <w:bookmarkEnd w:id="47"/>
    </w:p>
    <w:p>
      <w:pPr>
        <w:pStyle w:val="FirstParagraph"/>
      </w:pPr>
      <w:r>
        <w:t xml:space="preserve">Each product under SignalOS maintains its own product-Constitution in its product repo. The product-Constitution encodes:</w:t>
      </w:r>
    </w:p>
    <w:p>
      <w:pPr>
        <w:numPr>
          <w:ilvl w:val="0"/>
          <w:numId w:val="1010"/>
        </w:numPr>
        <w:pStyle w:val="Compact"/>
      </w:pPr>
      <w:r>
        <w:t xml:space="preserve">Quality bar (coverage, linting, complexity)</w:t>
      </w:r>
    </w:p>
    <w:p>
      <w:pPr>
        <w:numPr>
          <w:ilvl w:val="0"/>
          <w:numId w:val="1010"/>
        </w:numPr>
        <w:pStyle w:val="Compact"/>
      </w:pPr>
      <w:r>
        <w:t xml:space="preserve">Tech stack rules</w:t>
      </w:r>
    </w:p>
    <w:p>
      <w:pPr>
        <w:numPr>
          <w:ilvl w:val="0"/>
          <w:numId w:val="1010"/>
        </w:numPr>
        <w:pStyle w:val="Compact"/>
      </w:pPr>
      <w:r>
        <w:t xml:space="preserve">Security baseline</w:t>
      </w:r>
    </w:p>
    <w:p>
      <w:pPr>
        <w:numPr>
          <w:ilvl w:val="0"/>
          <w:numId w:val="1010"/>
        </w:numPr>
        <w:pStyle w:val="Compact"/>
      </w:pPr>
      <w:r>
        <w:t xml:space="preserve">Architecture standards</w:t>
      </w:r>
    </w:p>
    <w:p>
      <w:pPr>
        <w:numPr>
          <w:ilvl w:val="0"/>
          <w:numId w:val="1010"/>
        </w:numPr>
        <w:pStyle w:val="Compact"/>
      </w:pPr>
      <w:r>
        <w:t xml:space="preserve">DevOps standards</w:t>
      </w:r>
    </w:p>
    <w:p>
      <w:pPr>
        <w:numPr>
          <w:ilvl w:val="0"/>
          <w:numId w:val="1010"/>
        </w:numPr>
        <w:pStyle w:val="Compact"/>
      </w:pPr>
      <w:r>
        <w:t xml:space="preserve">Documentation standards</w:t>
      </w:r>
    </w:p>
    <w:p>
      <w:pPr>
        <w:pStyle w:val="FirstParagraph"/>
      </w:pPr>
      <w:r>
        <w:t xml:space="preserve">See</w:t>
      </w:r>
      <w:r>
        <w:t xml:space="preserve"> </w:t>
      </w:r>
      <w:r>
        <w:rPr>
          <w:rStyle w:val="VerbatimChar"/>
        </w:rPr>
        <w:t xml:space="preserve">core/governance/Templates/example-product-constitution.md</w:t>
      </w:r>
      <w:r>
        <w:t xml:space="preserve"> </w:t>
      </w:r>
      <w:r>
        <w:t xml:space="preserve">for a reference instance.</w:t>
      </w:r>
    </w:p>
    <w:p>
      <w:pPr>
        <w:pStyle w:val="BodyText"/>
      </w:pPr>
      <w:r>
        <w:rPr>
          <w:b/>
        </w:rPr>
        <w:t xml:space="preserve">This meta-Constitution governs</w:t>
      </w:r>
      <w:r>
        <w:t xml:space="preserve"> </w:t>
      </w:r>
      <w:r>
        <w:rPr>
          <w:i/>
        </w:rPr>
        <w:t xml:space="preserve">how</w:t>
      </w:r>
      <w:r>
        <w:t xml:space="preserve"> </w:t>
      </w:r>
      <w:r>
        <w:t xml:space="preserve">the product-Constitution is written, signed at Gate 1, enforced by validators, and amended at Phase-8. It does</w:t>
      </w:r>
      <w:r>
        <w:t xml:space="preserve"> </w:t>
      </w:r>
      <w:r>
        <w:rPr>
          <w:b/>
        </w:rPr>
        <w:t xml:space="preserve">not</w:t>
      </w:r>
      <w:r>
        <w:t xml:space="preserve"> </w:t>
      </w:r>
      <w:r>
        <w:t xml:space="preserve">prescribe the product-Constitution’s content — that is the product’s choice.</w:t>
      </w:r>
    </w:p>
    <w:p>
      <w:r>
        <w:pict>
          <v:rect style="width:0;height:1.5pt" o:hralign="center" o:hrstd="t" o:hr="t"/>
        </w:pict>
      </w:r>
    </w:p>
    <w:p>
      <w:pPr>
        <w:pStyle w:val="Heading2"/>
      </w:pPr>
      <w:bookmarkStart w:id="48" w:name="preservation"/>
      <w:r>
        <w:t xml:space="preserve">§10. Preservation</w:t>
      </w:r>
      <w:bookmarkEnd w:id="48"/>
    </w:p>
    <w:p>
      <w:pPr>
        <w:pStyle w:val="Heading3"/>
      </w:pPr>
      <w:bookmarkStart w:id="49" w:name="canonical-location"/>
      <w:r>
        <w:t xml:space="preserve">§10.1 Canonical location</w:t>
      </w:r>
      <w:bookmarkEnd w:id="49"/>
    </w:p>
    <w:p>
      <w:pPr>
        <w:pStyle w:val="FirstParagraph"/>
      </w:pPr>
      <w:r>
        <w:t xml:space="preserve">This file at</w:t>
      </w:r>
      <w:r>
        <w:t xml:space="preserve"> </w:t>
      </w:r>
      <w:r>
        <w:rPr>
          <w:rStyle w:val="VerbatimChar"/>
        </w:rPr>
        <w:t xml:space="preserve">core/governance/Governance/CONSTITUTION.md</w:t>
      </w:r>
      <w:r>
        <w:t xml:space="preserve"> </w:t>
      </w:r>
      <w:r>
        <w:t xml:space="preserve">is the canonical SignalOS meta-Constitution. All other copies (decks, handouts, derived outputs) are representations. If a derived output disagrees with this file, this file wins.</w:t>
      </w:r>
    </w:p>
    <w:p>
      <w:pPr>
        <w:pStyle w:val="Heading3"/>
      </w:pPr>
      <w:bookmarkStart w:id="50" w:name="versioning"/>
      <w:r>
        <w:t xml:space="preserve">§10.2 Versioning</w:t>
      </w:r>
      <w:bookmarkEnd w:id="50"/>
    </w:p>
    <w:p>
      <w:pPr>
        <w:pStyle w:val="FirstParagraph"/>
      </w:pPr>
      <w:r>
        <w:t xml:space="preserve">Major version bumps (1.0 → 2.0) are reserved for changes to the immutable core (§6.2). Minor version bumps (1.0 → 1.1) track ratified deltas. The version and lock date on line 3 of this document are updated at every amendment.</w:t>
      </w:r>
    </w:p>
    <w:p>
      <w:pPr>
        <w:pStyle w:val="Heading3"/>
      </w:pPr>
      <w:bookmarkStart w:id="51" w:name="tamper-evidence"/>
      <w:r>
        <w:t xml:space="preserve">§10.3 Tamper-evidence</w:t>
      </w:r>
      <w:bookmarkEnd w:id="51"/>
    </w:p>
    <w:p>
      <w:pPr>
        <w:pStyle w:val="FirstParagraph"/>
      </w:pPr>
      <w:r>
        <w:t xml:space="preserve">The</w:t>
      </w:r>
      <w:r>
        <w:t xml:space="preserve"> </w:t>
      </w:r>
      <w:r>
        <w:rPr>
          <w:rStyle w:val="VerbatimChar"/>
        </w:rPr>
        <w:t xml:space="preserve">post-retro</w:t>
      </w:r>
      <w:r>
        <w:t xml:space="preserve"> </w:t>
      </w:r>
      <w:r>
        <w:t xml:space="preserve">hook computes a hash of this document after every amendment and records it in</w:t>
      </w:r>
      <w:r>
        <w:t xml:space="preserve"> </w:t>
      </w:r>
      <w:r>
        <w:rPr>
          <w:rStyle w:val="VerbatimChar"/>
        </w:rPr>
        <w:t xml:space="preserve">core/governance/Retro/AMENDMENTS.md</w:t>
      </w:r>
      <w:r>
        <w:t xml:space="preserve">. Any out-of-band edit to this file without a corresponding amendment record is a protocol violation and blocks the next Gate 1.</w:t>
      </w:r>
    </w:p>
    <w:p>
      <w:r>
        <w:pict>
          <v:rect style="width:0;height:1.5pt" o:hralign="center" o:hrstd="t" o:hr="t"/>
        </w:pict>
      </w:r>
    </w:p>
    <w:p>
      <w:pPr>
        <w:pStyle w:val="Heading2"/>
      </w:pPr>
      <w:bookmarkStart w:id="52" w:name="scale-tracks"/>
      <w:r>
        <w:t xml:space="preserve">§11. Scale Tracks</w:t>
      </w:r>
      <w:bookmarkEnd w:id="52"/>
    </w:p>
    <w:p>
      <w:pPr>
        <w:pStyle w:val="FirstParagraph"/>
      </w:pPr>
      <w:r>
        <w:t xml:space="preserve">SignalOS supports three Scale Tracks per Wave:</w:t>
      </w:r>
      <w:r>
        <w:t xml:space="preserve"> </w:t>
      </w:r>
      <w:r>
        <w:rPr>
          <w:b/>
        </w:rPr>
        <w:t xml:space="preserve">Quick</w:t>
      </w:r>
      <w:r>
        <w:t xml:space="preserve">,</w:t>
      </w:r>
      <w:r>
        <w:t xml:space="preserve"> </w:t>
      </w:r>
      <w:r>
        <w:rPr>
          <w:b/>
        </w:rPr>
        <w:t xml:space="preserve">Wave</w:t>
      </w:r>
      <w:r>
        <w:t xml:space="preserve"> </w:t>
      </w:r>
      <w:r>
        <w:t xml:space="preserve">(default), and</w:t>
      </w:r>
      <w:r>
        <w:t xml:space="preserve"> </w:t>
      </w:r>
      <w:r>
        <w:rPr>
          <w:b/>
        </w:rPr>
        <w:t xml:space="preserve">Campaign</w:t>
      </w:r>
      <w:r>
        <w:t xml:space="preserve">. The Scale Track is a per-Wave declaration that scales the</w:t>
      </w:r>
      <w:r>
        <w:t xml:space="preserve"> </w:t>
      </w:r>
      <w:r>
        <w:rPr>
          <w:i/>
        </w:rPr>
        <w:t xml:space="preserve">form</w:t>
      </w:r>
      <w:r>
        <w:t xml:space="preserve"> </w:t>
      </w:r>
      <w:r>
        <w:t xml:space="preserve">each gate takes without waiving any gate.</w:t>
      </w:r>
    </w:p>
    <w:p>
      <w:pPr>
        <w:pStyle w:val="Heading3"/>
      </w:pPr>
      <w:bookmarkStart w:id="53" w:name="declaration-1"/>
      <w:r>
        <w:t xml:space="preserve">§11.1 Declaration</w:t>
      </w:r>
      <w:bookmarkEnd w:id="53"/>
    </w:p>
    <w:p>
      <w:pPr>
        <w:pStyle w:val="FirstParagraph"/>
      </w:pPr>
      <w:r>
        <w:t xml:space="preserve">Scale Track is declared by the PO at the top of the Belief artifact as:</w:t>
      </w:r>
    </w:p>
    <w:p>
      <w:pPr>
        <w:pStyle w:val="SourceCode"/>
      </w:pPr>
      <w:r>
        <w:rPr>
          <w:rStyle w:val="VerbatimChar"/>
        </w:rPr>
        <w:t xml:space="preserve">scale_track: quick | wave | campaign</w:t>
      </w:r>
    </w:p>
    <w:p>
      <w:pPr>
        <w:pStyle w:val="FirstParagraph"/>
      </w:pPr>
      <w:r>
        <w:t xml:space="preserve">Undeclared →</w:t>
      </w:r>
      <w:r>
        <w:t xml:space="preserve"> </w:t>
      </w:r>
      <w:r>
        <w:rPr>
          <w:b/>
        </w:rPr>
        <w:t xml:space="preserve">Wave</w:t>
      </w:r>
      <w:r>
        <w:t xml:space="preserve"> </w:t>
      </w:r>
      <w:r>
        <w:t xml:space="preserve">(fail-hard default). See §1.</w:t>
      </w:r>
    </w:p>
    <w:p>
      <w:pPr>
        <w:pStyle w:val="Heading3"/>
      </w:pPr>
      <w:bookmarkStart w:id="54" w:name="ceiling-rules"/>
      <w:r>
        <w:t xml:space="preserve">§11.2 Ceiling rules</w:t>
      </w:r>
      <w:bookmarkEnd w:id="54"/>
    </w:p>
    <w:p>
      <w:pPr>
        <w:numPr>
          <w:ilvl w:val="0"/>
          <w:numId w:val="1011"/>
        </w:numPr>
        <w:pStyle w:val="Compact"/>
      </w:pPr>
      <w:r>
        <w:rPr>
          <w:b/>
        </w:rPr>
        <w:t xml:space="preserve">Quick</w:t>
      </w:r>
      <w:r>
        <w:t xml:space="preserve"> </w:t>
      </w:r>
      <w:r>
        <w:t xml:space="preserve">— Trust Tier ceiling is</w:t>
      </w:r>
      <w:r>
        <w:t xml:space="preserve"> </w:t>
      </w:r>
      <w:r>
        <w:rPr>
          <w:b/>
        </w:rPr>
        <w:t xml:space="preserve">T2</w:t>
      </w:r>
      <w:r>
        <w:t xml:space="preserve">. Permanently-T3 surfaces (§2.2)</w:t>
      </w:r>
      <w:r>
        <w:t xml:space="preserve"> </w:t>
      </w:r>
      <w:r>
        <w:rPr>
          <w:b/>
        </w:rPr>
        <w:t xml:space="preserve">cannot</w:t>
      </w:r>
      <w:r>
        <w:t xml:space="preserve"> </w:t>
      </w:r>
      <w:r>
        <w:t xml:space="preserve">be touched in a Quick track. If a Quick Wave discovers a permanently-T3 surface, the Wave halts and re-declares as</w:t>
      </w:r>
      <w:r>
        <w:t xml:space="preserve"> </w:t>
      </w:r>
      <w:r>
        <w:rPr>
          <w:b/>
        </w:rPr>
        <w:t xml:space="preserve">Wave</w:t>
      </w:r>
      <w:r>
        <w:t xml:space="preserve"> </w:t>
      </w:r>
      <w:r>
        <w:t xml:space="preserve">with a full Trust Tier declaration.</w:t>
      </w:r>
    </w:p>
    <w:p>
      <w:pPr>
        <w:numPr>
          <w:ilvl w:val="0"/>
          <w:numId w:val="1011"/>
        </w:numPr>
        <w:pStyle w:val="Compact"/>
      </w:pPr>
      <w:r>
        <w:rPr>
          <w:b/>
        </w:rPr>
        <w:t xml:space="preserve">Wave</w:t>
      </w:r>
      <w:r>
        <w:t xml:space="preserve"> </w:t>
      </w:r>
      <w:r>
        <w:t xml:space="preserve">— All Trust Tiers permitted. Full 6-gate ceremony.</w:t>
      </w:r>
    </w:p>
    <w:p>
      <w:pPr>
        <w:numPr>
          <w:ilvl w:val="0"/>
          <w:numId w:val="1011"/>
        </w:numPr>
        <w:pStyle w:val="Compact"/>
      </w:pPr>
      <w:r>
        <w:rPr>
          <w:b/>
        </w:rPr>
        <w:t xml:space="preserve">Campaign</w:t>
      </w:r>
      <w:r>
        <w:t xml:space="preserve"> </w:t>
      </w:r>
      <w:r>
        <w:t xml:space="preserve">— All Trust Tiers permitted. Requires a co-signed</w:t>
      </w:r>
      <w:r>
        <w:t xml:space="preserve"> </w:t>
      </w:r>
      <w:r>
        <w:rPr>
          <w:rStyle w:val="VerbatimChar"/>
        </w:rPr>
        <w:t xml:space="preserve">CAMPAIGN_CONSTITUTION.md</w:t>
      </w:r>
      <w:r>
        <w:t xml:space="preserve"> </w:t>
      </w:r>
      <w:r>
        <w:t xml:space="preserve">(PO + PE) at</w:t>
      </w:r>
      <w:r>
        <w:t xml:space="preserve"> </w:t>
      </w:r>
      <w:r>
        <w:rPr>
          <w:rStyle w:val="VerbatimChar"/>
        </w:rPr>
        <w:t xml:space="preserve">core/governance/Governance/CAMPAIGN_CONSTITUTION.md</w:t>
      </w:r>
      <w:r>
        <w:t xml:space="preserve"> </w:t>
      </w:r>
      <w:r>
        <w:t xml:space="preserve">for the Campaign’s duration.</w:t>
      </w:r>
    </w:p>
    <w:p>
      <w:pPr>
        <w:pStyle w:val="Heading3"/>
      </w:pPr>
      <w:bookmarkStart w:id="55" w:name="ceremony-form-matrix"/>
      <w:r>
        <w:t xml:space="preserve">§11.3 Ceremony form matrix</w:t>
      </w:r>
      <w:bookmarkEnd w:id="55"/>
    </w:p>
    <w:p>
      <w:pPr>
        <w:pStyle w:val="FirstParagraph"/>
      </w:pPr>
      <w:r>
        <w:t xml:space="preserve">Each gate takes a different form per track. The full matrix lives in</w:t>
      </w:r>
      <w:r>
        <w:t xml:space="preserve"> </w:t>
      </w:r>
      <w:r>
        <w:rPr>
          <w:rStyle w:val="VerbatimChar"/>
        </w:rPr>
        <w:t xml:space="preserve">core/execution/SCALE_TRACKS.md</w:t>
      </w:r>
      <w:r>
        <w:t xml:space="preserve"> </w:t>
      </w:r>
      <w:r>
        <w:t xml:space="preserve">and is authoritative. Silence or ambiguity in</w:t>
      </w:r>
      <w:r>
        <w:t xml:space="preserve"> </w:t>
      </w:r>
      <w:r>
        <w:rPr>
          <w:rStyle w:val="VerbatimChar"/>
        </w:rPr>
        <w:t xml:space="preserve">SCALE_TRACKS.md</w:t>
      </w:r>
      <w:r>
        <w:t xml:space="preserve"> </w:t>
      </w:r>
      <w:r>
        <w:t xml:space="preserve">resolves to the strictest form (Wave).</w:t>
      </w:r>
    </w:p>
    <w:p>
      <w:pPr>
        <w:pStyle w:val="Heading3"/>
      </w:pPr>
      <w:bookmarkStart w:id="56" w:name="scale-track-is-not-gate-waiving"/>
      <w:r>
        <w:t xml:space="preserve">§11.4 Scale Track is not gate-waiving</w:t>
      </w:r>
      <w:bookmarkEnd w:id="56"/>
    </w:p>
    <w:p>
      <w:pPr>
        <w:pStyle w:val="FirstParagraph"/>
      </w:pPr>
      <w:r>
        <w:t xml:space="preserve">Declaring Quick does not skip any gate — it scales the form. Every gate still has a signed artifact; a Belief-lite, a PR-embedded acceptance line, and a QA-signed Stage-2 waiver are still artifacts.</w:t>
      </w:r>
    </w:p>
    <w:p>
      <w:r>
        <w:pict>
          <v:rect style="width:0;height:1.5pt" o:hralign="center" o:hrstd="t" o:hr="t"/>
        </w:pict>
      </w:r>
    </w:p>
    <w:p>
      <w:pPr>
        <w:pStyle w:val="Heading2"/>
      </w:pPr>
      <w:bookmarkStart w:id="57" w:name="delivery-modes"/>
      <w:r>
        <w:t xml:space="preserve">§12. Delivery Modes</w:t>
      </w:r>
      <w:bookmarkEnd w:id="57"/>
    </w:p>
    <w:p>
      <w:pPr>
        <w:pStyle w:val="FirstParagraph"/>
      </w:pPr>
      <w:r>
        <w:t xml:space="preserve">SignalOS supports two product-level Delivery Modes:</w:t>
      </w:r>
      <w:r>
        <w:t xml:space="preserve"> </w:t>
      </w:r>
      <w:r>
        <w:rPr>
          <w:b/>
        </w:rPr>
        <w:t xml:space="preserve">fresh-wave</w:t>
      </w:r>
      <w:r>
        <w:t xml:space="preserve"> </w:t>
      </w:r>
      <w:r>
        <w:t xml:space="preserve">(default) and</w:t>
      </w:r>
      <w:r>
        <w:t xml:space="preserve"> </w:t>
      </w:r>
      <w:r>
        <w:rPr>
          <w:b/>
        </w:rPr>
        <w:t xml:space="preserve">daemon</w:t>
      </w:r>
      <w:r>
        <w:t xml:space="preserve">. A third,</w:t>
      </w:r>
      <w:r>
        <w:t xml:space="preserve"> </w:t>
      </w:r>
      <w:r>
        <w:rPr>
          <w:b/>
        </w:rPr>
        <w:t xml:space="preserve">onboarding</w:t>
      </w:r>
      <w:r>
        <w:t xml:space="preserve">, is a one-time pre-Wave state every product passes through exactly once before either mode takes effect.</w:t>
      </w:r>
    </w:p>
    <w:p>
      <w:pPr>
        <w:pStyle w:val="Heading3"/>
      </w:pPr>
      <w:bookmarkStart w:id="58" w:name="declaration-2"/>
      <w:r>
        <w:t xml:space="preserve">§12.1 Declaration</w:t>
      </w:r>
      <w:bookmarkEnd w:id="58"/>
    </w:p>
    <w:p>
      <w:pPr>
        <w:pStyle w:val="FirstParagraph"/>
      </w:pPr>
      <w:r>
        <w:t xml:space="preserve">Delivery Mode is declared at the top of the product-Constitution:</w:t>
      </w:r>
    </w:p>
    <w:p>
      <w:pPr>
        <w:pStyle w:val="SourceCode"/>
      </w:pPr>
      <w:r>
        <w:rPr>
          <w:rStyle w:val="VerbatimChar"/>
        </w:rPr>
        <w:t xml:space="preserve">delivery_mode: fresh-wave | daemon</w:t>
      </w:r>
    </w:p>
    <w:p>
      <w:pPr>
        <w:pStyle w:val="FirstParagraph"/>
      </w:pPr>
      <w:r>
        <w:t xml:space="preserve">Undeclared →</w:t>
      </w:r>
      <w:r>
        <w:t xml:space="preserve"> </w:t>
      </w:r>
      <w:r>
        <w:rPr>
          <w:b/>
        </w:rPr>
        <w:t xml:space="preserve">fresh-wave</w:t>
      </w:r>
      <w:r>
        <w:t xml:space="preserve"> </w:t>
      </w:r>
      <w:r>
        <w:t xml:space="preserve">(fail-hard default). See §1.</w:t>
      </w:r>
    </w:p>
    <w:p>
      <w:pPr>
        <w:pStyle w:val="BodyText"/>
      </w:pPr>
      <w:r>
        <w:rPr>
          <w:b/>
        </w:rPr>
        <w:t xml:space="preserve">Onboarding as pre-Wave state.</w:t>
      </w:r>
      <w:r>
        <w:t xml:space="preserve"> </w:t>
      </w:r>
      <w:r>
        <w:t xml:space="preserve">Before a product-Constitution exists to declare a Delivery Mode, the product runs</w:t>
      </w:r>
      <w:r>
        <w:t xml:space="preserve"> </w:t>
      </w:r>
      <w:r>
        <w:rPr>
          <w:rStyle w:val="VerbatimChar"/>
        </w:rPr>
        <w:t xml:space="preserve">/signal-onboard</w:t>
      </w:r>
      <w:r>
        <w:t xml:space="preserve"> </w:t>
      </w:r>
      <w:r>
        <w:t xml:space="preserve">once (Team Charter §1 — Onboarding agent). Onboarding emits the first Soul Document, product-Constitution draft, Surface Inventory, permanently-T3 list, and seed Belief. After Gate 0 closes on the Soul Document and the product-Constitution is signed, the product is ready for</w:t>
      </w:r>
      <w:r>
        <w:t xml:space="preserve"> </w:t>
      </w:r>
      <w:r>
        <w:rPr>
          <w:rStyle w:val="VerbatimChar"/>
        </w:rPr>
        <w:t xml:space="preserve">/signal-init</w:t>
      </w:r>
      <w:r>
        <w:t xml:space="preserve"> </w:t>
      </w:r>
      <w:r>
        <w:t xml:space="preserve">and enters</w:t>
      </w:r>
      <w:r>
        <w:t xml:space="preserve"> </w:t>
      </w:r>
      <w:r>
        <w:rPr>
          <w:rStyle w:val="VerbatimChar"/>
        </w:rPr>
        <w:t xml:space="preserve">fresh-wave</w:t>
      </w:r>
      <w:r>
        <w:t xml:space="preserve"> </w:t>
      </w:r>
      <w:r>
        <w:t xml:space="preserve">(or may declare</w:t>
      </w:r>
      <w:r>
        <w:t xml:space="preserve"> </w:t>
      </w:r>
      <w:r>
        <w:rPr>
          <w:rStyle w:val="VerbatimChar"/>
        </w:rPr>
        <w:t xml:space="preserve">daemon</w:t>
      </w:r>
      <w:r>
        <w:t xml:space="preserve"> </w:t>
      </w:r>
      <w:r>
        <w:t xml:space="preserve">later, per §12.2). Onboarding is not re-runnable except on material restructure (acquisition, monolith split) and only by PO decision logged in</w:t>
      </w:r>
      <w:r>
        <w:t xml:space="preserve"> </w:t>
      </w:r>
      <w:r>
        <w:rPr>
          <w:rStyle w:val="VerbatimChar"/>
        </w:rPr>
        <w:t xml:space="preserve">governance/DECISION-DNA.md</w:t>
      </w:r>
      <w:r>
        <w:t xml:space="preserve">.</w:t>
      </w:r>
    </w:p>
    <w:p>
      <w:pPr>
        <w:pStyle w:val="Heading3"/>
      </w:pPr>
      <w:bookmarkStart w:id="59" w:name="daemon-mode-entry-criteria"/>
      <w:r>
        <w:t xml:space="preserve">§12.2 Daemon-mode entry criteria</w:t>
      </w:r>
      <w:bookmarkEnd w:id="59"/>
    </w:p>
    <w:p>
      <w:pPr>
        <w:pStyle w:val="FirstParagraph"/>
      </w:pPr>
      <w:r>
        <w:t xml:space="preserve">A product may declare daemon mode only when</w:t>
      </w:r>
      <w:r>
        <w:t xml:space="preserve"> </w:t>
      </w:r>
      <w:r>
        <w:rPr>
          <w:b/>
        </w:rPr>
        <w:t xml:space="preserve">all</w:t>
      </w:r>
      <w:r>
        <w:t xml:space="preserve"> </w:t>
      </w:r>
      <w:r>
        <w:t xml:space="preserve">of:</w:t>
      </w:r>
    </w:p>
    <w:p>
      <w:pPr>
        <w:numPr>
          <w:ilvl w:val="0"/>
          <w:numId w:val="1012"/>
        </w:numPr>
        <w:pStyle w:val="Compact"/>
      </w:pPr>
      <w:r>
        <w:t xml:space="preserve">At least 3 consecutive Waves produced</w:t>
      </w:r>
      <w:r>
        <w:t xml:space="preserve"> </w:t>
      </w:r>
      <w:r>
        <w:t xml:space="preserve">“</w:t>
      </w:r>
      <w:r>
        <w:t xml:space="preserve">Keep</w:t>
      </w:r>
      <w:r>
        <w:t xml:space="preserve">”</w:t>
      </w:r>
      <w:r>
        <w:t xml:space="preserve"> </w:t>
      </w:r>
      <w:r>
        <w:t xml:space="preserve">on the same Belief with no material amendments.</w:t>
      </w:r>
    </w:p>
    <w:p>
      <w:pPr>
        <w:numPr>
          <w:ilvl w:val="0"/>
          <w:numId w:val="1012"/>
        </w:numPr>
        <w:pStyle w:val="Compact"/>
      </w:pPr>
      <w:r>
        <w:t xml:space="preserve">The T3 surface list has been stable for 3 Waves.</w:t>
      </w:r>
    </w:p>
    <w:p>
      <w:pPr>
        <w:numPr>
          <w:ilvl w:val="0"/>
          <w:numId w:val="1012"/>
        </w:numPr>
        <w:pStyle w:val="Compact"/>
      </w:pPr>
      <w:r>
        <w:t xml:space="preserve">The backlog is queue-like (refined items with acceptance lines, not exploratory bets).</w:t>
      </w:r>
    </w:p>
    <w:p>
      <w:pPr>
        <w:numPr>
          <w:ilvl w:val="0"/>
          <w:numId w:val="1012"/>
        </w:numPr>
        <w:pStyle w:val="Compact"/>
      </w:pPr>
      <w:r>
        <w:t xml:space="preserve">PO + PE commit to a quarterly product retro (90-day cadence).</w:t>
      </w:r>
    </w:p>
    <w:p>
      <w:pPr>
        <w:numPr>
          <w:ilvl w:val="0"/>
          <w:numId w:val="1012"/>
        </w:numPr>
        <w:pStyle w:val="Compact"/>
      </w:pPr>
      <w:r>
        <w:t xml:space="preserve">Client signs off if the engagement model requires it.</w:t>
      </w:r>
    </w:p>
    <w:p>
      <w:pPr>
        <w:pStyle w:val="FirstParagraph"/>
      </w:pPr>
      <w:r>
        <w:t xml:space="preserve">Full spec:</w:t>
      </w:r>
      <w:r>
        <w:t xml:space="preserve"> </w:t>
      </w:r>
      <w:r>
        <w:rPr>
          <w:rStyle w:val="VerbatimChar"/>
        </w:rPr>
        <w:t xml:space="preserve">core/execution/DELIVERY_MODES.md</w:t>
      </w:r>
      <w:r>
        <w:t xml:space="preserve">.</w:t>
      </w:r>
    </w:p>
    <w:p>
      <w:pPr>
        <w:pStyle w:val="Heading3"/>
      </w:pPr>
      <w:bookmarkStart w:id="60" w:name="daemon-mode-gate-redistribution"/>
      <w:r>
        <w:t xml:space="preserve">§12.3 Daemon-mode gate redistribution</w:t>
      </w:r>
      <w:bookmarkEnd w:id="60"/>
    </w:p>
    <w:p>
      <w:pPr>
        <w:pStyle w:val="FirstParagraph"/>
      </w:pPr>
      <w:r>
        <w:t xml:space="preserve">In daemon mode, gates redistribute between</w:t>
      </w:r>
      <w:r>
        <w:t xml:space="preserve"> </w:t>
      </w:r>
      <w:r>
        <w:rPr>
          <w:b/>
        </w:rPr>
        <w:t xml:space="preserve">product-level</w:t>
      </w:r>
      <w:r>
        <w:t xml:space="preserve"> </w:t>
      </w:r>
      <w:r>
        <w:t xml:space="preserve">(signed once, re-affirmed quarterly) and</w:t>
      </w:r>
      <w:r>
        <w:t xml:space="preserve"> </w:t>
      </w:r>
      <w:r>
        <w:rPr>
          <w:b/>
        </w:rPr>
        <w:t xml:space="preserve">item-level</w:t>
      </w:r>
      <w:r>
        <w:t xml:space="preserve"> </w:t>
      </w:r>
      <w:r>
        <w:t xml:space="preserve">(signed per item drawn from queue). Gate 1 and Gate 2 become product-level; Gate 3, Gate 4, Gate 5 stay per-item. The quarterly product retro is mandatory.</w:t>
      </w:r>
    </w:p>
    <w:p>
      <w:pPr>
        <w:pStyle w:val="Heading3"/>
      </w:pPr>
      <w:bookmarkStart w:id="61" w:name="daemon-mode-exit"/>
      <w:r>
        <w:t xml:space="preserve">§12.4 Daemon-mode exit</w:t>
      </w:r>
      <w:bookmarkEnd w:id="61"/>
    </w:p>
    <w:p>
      <w:pPr>
        <w:pStyle w:val="FirstParagraph"/>
      </w:pPr>
      <w:r>
        <w:t xml:space="preserve">A product</w:t>
      </w:r>
      <w:r>
        <w:t xml:space="preserve"> </w:t>
      </w:r>
      <w:r>
        <w:rPr>
          <w:b/>
        </w:rPr>
        <w:t xml:space="preserve">must</w:t>
      </w:r>
      <w:r>
        <w:t xml:space="preserve"> </w:t>
      </w:r>
      <w:r>
        <w:t xml:space="preserve">exit daemon mode when any of:</w:t>
      </w:r>
    </w:p>
    <w:p>
      <w:pPr>
        <w:numPr>
          <w:ilvl w:val="0"/>
          <w:numId w:val="1013"/>
        </w:numPr>
        <w:pStyle w:val="Compact"/>
      </w:pPr>
      <w:r>
        <w:t xml:space="preserve">A Campaign-scale track is declared.</w:t>
      </w:r>
    </w:p>
    <w:p>
      <w:pPr>
        <w:numPr>
          <w:ilvl w:val="0"/>
          <w:numId w:val="1013"/>
        </w:numPr>
        <w:pStyle w:val="Compact"/>
      </w:pPr>
      <w:r>
        <w:t xml:space="preserve">The product Belief amends materially at a quarterly retro.</w:t>
      </w:r>
    </w:p>
    <w:p>
      <w:pPr>
        <w:numPr>
          <w:ilvl w:val="0"/>
          <w:numId w:val="1013"/>
        </w:numPr>
        <w:pStyle w:val="Compact"/>
      </w:pPr>
      <w:r>
        <w:t xml:space="preserve">The T3 surface list expands.</w:t>
      </w:r>
    </w:p>
    <w:p>
      <w:pPr>
        <w:numPr>
          <w:ilvl w:val="0"/>
          <w:numId w:val="1013"/>
        </w:numPr>
        <w:pStyle w:val="Compact"/>
      </w:pPr>
      <w:r>
        <w:t xml:space="preserve">A production incident’s root cause is</w:t>
      </w:r>
      <w:r>
        <w:t xml:space="preserve"> </w:t>
      </w:r>
      <w:r>
        <w:t xml:space="preserve">“</w:t>
      </w:r>
      <w:r>
        <w:t xml:space="preserve">ceremony was performed but judgment was not.</w:t>
      </w:r>
      <w:r>
        <w:t xml:space="preserve">”</w:t>
      </w:r>
    </w:p>
    <w:p>
      <w:pPr>
        <w:numPr>
          <w:ilvl w:val="0"/>
          <w:numId w:val="1013"/>
        </w:numPr>
        <w:pStyle w:val="Compact"/>
      </w:pPr>
      <w:r>
        <w:t xml:space="preserve">The client opts out.</w:t>
      </w:r>
    </w:p>
    <w:p>
      <w:pPr>
        <w:numPr>
          <w:ilvl w:val="0"/>
          <w:numId w:val="1013"/>
        </w:numPr>
        <w:pStyle w:val="Compact"/>
      </w:pPr>
      <w:r>
        <w:t xml:space="preserve">The quarterly retro is overdue (forces automatic exit).</w:t>
      </w:r>
    </w:p>
    <w:p>
      <w:pPr>
        <w:pStyle w:val="Heading3"/>
      </w:pPr>
      <w:bookmarkStart w:id="62" w:name="scale-track-delivery-mode"/>
      <w:r>
        <w:t xml:space="preserve">§12.5 Scale Track × Delivery Mode</w:t>
      </w:r>
      <w:bookmarkEnd w:id="62"/>
    </w:p>
    <w:p>
      <w:pPr>
        <w:pStyle w:val="FirstParagraph"/>
      </w:pPr>
      <w:r>
        <w:t xml:space="preserve">Scale Track and Delivery Mode are orthogonal, with one constraint:</w:t>
      </w:r>
      <w:r>
        <w:t xml:space="preserve"> </w:t>
      </w:r>
      <w:r>
        <w:rPr>
          <w:b/>
        </w:rPr>
        <w:t xml:space="preserve">Campaign is not allowed in daemon mode</w:t>
      </w:r>
      <w:r>
        <w:t xml:space="preserve">. A Campaign declaration forces exit to fresh-wave for the Campaign’s duration.</w:t>
      </w:r>
    </w:p>
    <w:p>
      <w:r>
        <w:pict>
          <v:rect style="width:0;height:1.5pt" o:hralign="center" o:hrstd="t" o:hr="t"/>
        </w:pict>
      </w:r>
    </w:p>
    <w:p>
      <w:pPr>
        <w:pStyle w:val="FirstParagraph"/>
      </w:pPr>
      <w:r>
        <w:rPr>
          <w:b/>
        </w:rPr>
        <w:t xml:space="preserve">Signed at lock:</w:t>
      </w:r>
    </w:p>
    <w:p>
      <w:pPr>
        <w:numPr>
          <w:ilvl w:val="0"/>
          <w:numId w:val="1014"/>
        </w:numPr>
        <w:pStyle w:val="Compact"/>
      </w:pPr>
      <w:r>
        <w:t xml:space="preserve">PO / Orchestrator: _________________________ Date: 2026-04-16</w:t>
      </w:r>
    </w:p>
    <w:p>
      <w:pPr>
        <w:numPr>
          <w:ilvl w:val="0"/>
          <w:numId w:val="1014"/>
        </w:numPr>
        <w:pStyle w:val="Compact"/>
      </w:pPr>
      <w:r>
        <w:t xml:space="preserve">Principal Engineer: _________________________ Date: 2026-04-16</w:t>
      </w:r>
    </w:p>
    <w:p>
      <w:pPr>
        <w:pStyle w:val="FirstParagraph"/>
      </w:pPr>
      <w:r>
        <w:rPr>
          <w:i/>
        </w:rPr>
        <w:t xml:space="preserve">This section is the product-Constitution signature block pattern. The SignalOS meta-Constitution itself is signed at release by the SignalOS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2026-04-18T18:31:14Z</dcterms:created>
  <dcterms:modified xsi:type="dcterms:W3CDTF">2026-04-18T18:31:14Z</dcterms:modified>
</cp:coreProperties>
</file>

<file path=docProps/custom.xml><?xml version="1.0" encoding="utf-8"?>
<Properties xmlns="http://schemas.openxmlformats.org/officeDocument/2006/custom-properties" xmlns:vt="http://schemas.openxmlformats.org/officeDocument/2006/docPropsVTypes"/>
</file>