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61a207ac1f0e2d1a533e92a1af8499f0ac2f4f6"/>
    <w:p>
      <w:pPr>
        <w:pStyle w:val="Heading1"/>
      </w:pPr>
      <w:r>
        <w:t xml:space="preserve">Journal Finder for Computer Science Articles</w:t>
      </w:r>
    </w:p>
    <w:bookmarkStart w:id="9" w:name="abstract"/>
    <w:p>
      <w:pPr>
        <w:pStyle w:val="Heading2"/>
      </w:pPr>
      <w:r>
        <w:t xml:space="preserve">Abstract</w:t>
      </w:r>
    </w:p>
    <w:p>
      <w:pPr>
        <w:pStyle w:val="FirstParagraph"/>
      </w:pPr>
      <w:r>
        <w:t xml:space="preserve">Selecting the most suitable journal for a new manuscript is a difficult and time-consuming task for researchers. In this project, we develop a journal recommendation system for computer science publications using article abstracts. The proposed method uses a TF-IDF vector space representation and cosine similarity to retrieve semantically similar articles and rank candidate journals. In addition, we perform topic clustering on abstracts to reveal major thematic groups in the dataset. Experiments on the provided publication database show that the model can return relevant journals in top-5 recommendations with promising performance. The final system supports an input abstract and outputs the top-5 most relevant journals.</w:t>
      </w:r>
    </w:p>
    <w:bookmarkEnd w:id="9"/>
    <w:bookmarkStart w:id="10" w:name="introduction"/>
    <w:p>
      <w:pPr>
        <w:pStyle w:val="Heading2"/>
      </w:pPr>
      <w:r>
        <w:t xml:space="preserve">1. Introduction</w:t>
      </w:r>
    </w:p>
    <w:p>
      <w:pPr>
        <w:pStyle w:val="FirstParagraph"/>
      </w:pPr>
      <w:r>
        <w:t xml:space="preserve">Journal selection has a direct impact on publication success, visibility, and citation potential. Researchers often spend significant effort to identify journals aligned with the manuscript scope and quality. This process is especially difficult in computer science due to diverse subfields and a large number of venues.</w:t>
      </w:r>
    </w:p>
    <w:p>
      <w:pPr>
        <w:pStyle w:val="BodyText"/>
      </w:pPr>
      <w:r>
        <w:t xml:space="preserve">In this work, we design a data-driven journal finder system using historical publication metadata and abstracts. Given a query abstract, the system recommends the five most relevant journals. We also cluster article abstracts to identify dominant research themes in the dataset.</w:t>
      </w:r>
    </w:p>
    <w:bookmarkEnd w:id="10"/>
    <w:bookmarkStart w:id="11" w:name="related-work"/>
    <w:p>
      <w:pPr>
        <w:pStyle w:val="Heading2"/>
      </w:pPr>
      <w:r>
        <w:t xml:space="preserve">2. Related Work</w:t>
      </w:r>
    </w:p>
    <w:p>
      <w:pPr>
        <w:pStyle w:val="FirstParagraph"/>
      </w:pPr>
      <w:r>
        <w:t xml:space="preserve">Text-based recommendation approaches are widely used in information retrieval and scholarly systems. Classical methods represent documents with bag-of-words or TF-IDF features and compute similarity using cosine distance. More recent approaches include topic models and neural embeddings. For transparent and reproducible baseline performance in this course project, we adopt a TF-IDF + cosine framework and complement it with clustering analysis.</w:t>
      </w:r>
    </w:p>
    <w:p>
      <w:pPr>
        <w:pStyle w:val="BodyText"/>
      </w:pPr>
      <w:r>
        <w:t xml:space="preserve">Early information retrieval studies established term weighting and vector-space matching as strong baselines for document ranking [1], [2]. BM25 later improved lexical retrieval by introducing document length normalization and probabilistic term saturation, and it remains a standard baseline in text retrieval tasks [5]. For thematic corpus exploration, latent topic models such as LDA provide interpretable topic-word distributions and are frequently used in scientific text mining [6].</w:t>
      </w:r>
    </w:p>
    <w:p>
      <w:pPr>
        <w:pStyle w:val="BodyText"/>
      </w:pPr>
      <w:r>
        <w:t xml:space="preserve">As representation learning evolved, dense embeddings became common in recommendation and retrieval systems. Word2Vec and Doc2Vec enabled semantic matching beyond exact keyword overlap [3], [7], while transformer-based encoders significantly improved contextual text understanding in many NLP tasks [4], [8]. In scholarly domains, recommendation systems are often implemented as hybrid pipelines that combine textual similarity with metadata such as venue, author network, subject categories, and citation graph features [9], [10].</w:t>
      </w:r>
    </w:p>
    <w:p>
      <w:pPr>
        <w:pStyle w:val="BodyText"/>
      </w:pPr>
      <w:r>
        <w:t xml:space="preserve">Given the course constraints and the requirement for explainability, this project intentionally starts with a transparent lexical baseline (TF-IDF + cosine) and reports measurable performance. This creates a reproducible reference point for future extension to BM25, embedding-based retrieval, and hybrid ranking.</w:t>
      </w:r>
    </w:p>
    <w:bookmarkEnd w:id="11"/>
    <w:bookmarkStart w:id="14" w:name="dataset-and-preprocessing"/>
    <w:p>
      <w:pPr>
        <w:pStyle w:val="Heading2"/>
      </w:pPr>
      <w:r>
        <w:t xml:space="preserve">3. Dataset and Preprocessing</w:t>
      </w:r>
    </w:p>
    <w:bookmarkStart w:id="12" w:name="data-source"/>
    <w:p>
      <w:pPr>
        <w:pStyle w:val="Heading3"/>
      </w:pPr>
      <w:r>
        <w:t xml:space="preserve">3.1 Data Source</w:t>
      </w:r>
    </w:p>
    <w:p>
      <w:pPr>
        <w:pStyle w:val="FirstParagraph"/>
      </w:pPr>
      <w:r>
        <w:t xml:space="preserve">The project uses the provided</w:t>
      </w:r>
      <w:r>
        <w:t xml:space="preserve"> </w:t>
      </w:r>
      <w:r>
        <w:rPr>
          <w:rStyle w:val="VerbatimChar"/>
        </w:rPr>
        <w:t xml:space="preserve">CompSciencePub.sqlite</w:t>
      </w:r>
      <w:r>
        <w:t xml:space="preserve"> </w:t>
      </w:r>
      <w:r>
        <w:t xml:space="preserve">database. Core tables used in this study:</w:t>
      </w:r>
    </w:p>
    <w:p>
      <w:pPr>
        <w:pStyle w:val="Compact"/>
        <w:numPr>
          <w:ilvl w:val="0"/>
          <w:numId w:val="1001"/>
        </w:numPr>
      </w:pPr>
      <w:r>
        <w:rPr>
          <w:rStyle w:val="VerbatimChar"/>
        </w:rPr>
        <w:t xml:space="preserve">AcademicRecord</w:t>
      </w:r>
      <w:r>
        <w:t xml:space="preserve"> </w:t>
      </w:r>
      <w:r>
        <w:t xml:space="preserve">(article metadata)</w:t>
      </w:r>
    </w:p>
    <w:p>
      <w:pPr>
        <w:pStyle w:val="Compact"/>
        <w:numPr>
          <w:ilvl w:val="0"/>
          <w:numId w:val="1001"/>
        </w:numPr>
      </w:pPr>
      <w:r>
        <w:rPr>
          <w:rStyle w:val="VerbatimChar"/>
        </w:rPr>
        <w:t xml:space="preserve">AcademicRecordAbstract</w:t>
      </w:r>
      <w:r>
        <w:t xml:space="preserve"> </w:t>
      </w:r>
      <w:r>
        <w:t xml:space="preserve">(abstract text)</w:t>
      </w:r>
    </w:p>
    <w:p>
      <w:pPr>
        <w:pStyle w:val="Compact"/>
        <w:numPr>
          <w:ilvl w:val="0"/>
          <w:numId w:val="1001"/>
        </w:numPr>
      </w:pPr>
      <w:r>
        <w:rPr>
          <w:rStyle w:val="VerbatimChar"/>
        </w:rPr>
        <w:t xml:space="preserve">Publication</w:t>
      </w:r>
      <w:r>
        <w:t xml:space="preserve"> </w:t>
      </w:r>
      <w:r>
        <w:t xml:space="preserve">(journal names)</w:t>
      </w:r>
    </w:p>
    <w:p>
      <w:pPr>
        <w:pStyle w:val="FirstParagraph"/>
      </w:pPr>
      <w:r>
        <w:t xml:space="preserve">After joining and filtering, the base dataset contains article id, title, abstract, journal name, and publication year.</w:t>
      </w:r>
    </w:p>
    <w:bookmarkEnd w:id="12"/>
    <w:bookmarkStart w:id="13" w:name="data-preparation"/>
    <w:p>
      <w:pPr>
        <w:pStyle w:val="Heading3"/>
      </w:pPr>
      <w:r>
        <w:t xml:space="preserve">3.2 Data Preparation</w:t>
      </w:r>
    </w:p>
    <w:p>
      <w:pPr>
        <w:pStyle w:val="FirstParagraph"/>
      </w:pPr>
      <w:r>
        <w:t xml:space="preserve">Preprocessing steps:</w:t>
      </w:r>
    </w:p>
    <w:p>
      <w:pPr>
        <w:pStyle w:val="Compact"/>
        <w:numPr>
          <w:ilvl w:val="0"/>
          <w:numId w:val="1002"/>
        </w:numPr>
      </w:pPr>
      <w:r>
        <w:t xml:space="preserve">Remove records with missing title, abstract, or journal name.</w:t>
      </w:r>
    </w:p>
    <w:p>
      <w:pPr>
        <w:pStyle w:val="Compact"/>
        <w:numPr>
          <w:ilvl w:val="0"/>
          <w:numId w:val="1002"/>
        </w:numPr>
      </w:pPr>
      <w:r>
        <w:t xml:space="preserve">Clean HTML tags from abstract text.</w:t>
      </w:r>
    </w:p>
    <w:p>
      <w:pPr>
        <w:pStyle w:val="Compact"/>
        <w:numPr>
          <w:ilvl w:val="0"/>
          <w:numId w:val="1002"/>
        </w:numPr>
      </w:pPr>
      <w:r>
        <w:t xml:space="preserve">Lowercase normalization.</w:t>
      </w:r>
    </w:p>
    <w:p>
      <w:pPr>
        <w:pStyle w:val="Compact"/>
        <w:numPr>
          <w:ilvl w:val="0"/>
          <w:numId w:val="1002"/>
        </w:numPr>
      </w:pPr>
      <w:r>
        <w:t xml:space="preserve">Remove punctuation and numeric tokens.</w:t>
      </w:r>
    </w:p>
    <w:p>
      <w:pPr>
        <w:pStyle w:val="Compact"/>
        <w:numPr>
          <w:ilvl w:val="0"/>
          <w:numId w:val="1002"/>
        </w:numPr>
      </w:pPr>
      <w:r>
        <w:t xml:space="preserve">Remove common stopwords.</w:t>
      </w:r>
    </w:p>
    <w:p>
      <w:pPr>
        <w:pStyle w:val="Compact"/>
        <w:numPr>
          <w:ilvl w:val="0"/>
          <w:numId w:val="1002"/>
        </w:numPr>
      </w:pPr>
      <w:r>
        <w:t xml:space="preserve">Remove very short cleaned texts (token threshold).</w:t>
      </w:r>
    </w:p>
    <w:p>
      <w:pPr>
        <w:pStyle w:val="FirstParagraph"/>
      </w:pPr>
      <w:r>
        <w:t xml:space="preserve">The resulting cleaned field (</w:t>
      </w:r>
      <w:r>
        <w:rPr>
          <w:rStyle w:val="VerbatimChar"/>
        </w:rPr>
        <w:t xml:space="preserve">abstract_clean</w:t>
      </w:r>
      <w:r>
        <w:t xml:space="preserve">) is used for model training and inference.</w:t>
      </w:r>
    </w:p>
    <w:bookmarkEnd w:id="13"/>
    <w:bookmarkEnd w:id="14"/>
    <w:bookmarkStart w:id="17" w:name="methodology"/>
    <w:p>
      <w:pPr>
        <w:pStyle w:val="Heading2"/>
      </w:pPr>
      <w:r>
        <w:t xml:space="preserve">4. Methodology</w:t>
      </w:r>
    </w:p>
    <w:bookmarkStart w:id="15" w:name="journal-recommendation"/>
    <w:p>
      <w:pPr>
        <w:pStyle w:val="Heading3"/>
      </w:pPr>
      <w:r>
        <w:t xml:space="preserve">4.1 Journal Recommendation</w:t>
      </w:r>
    </w:p>
    <w:p>
      <w:pPr>
        <w:pStyle w:val="FirstParagraph"/>
      </w:pPr>
      <w:r>
        <w:t xml:space="preserve">We represent each article abstract as a TF-IDF vector using uni-grams and bi-grams. For a new query abstract:</w:t>
      </w:r>
    </w:p>
    <w:p>
      <w:pPr>
        <w:pStyle w:val="Compact"/>
        <w:numPr>
          <w:ilvl w:val="0"/>
          <w:numId w:val="1003"/>
        </w:numPr>
      </w:pPr>
      <w:r>
        <w:t xml:space="preserve">Transform query text into the same TF-IDF space.</w:t>
      </w:r>
    </w:p>
    <w:p>
      <w:pPr>
        <w:pStyle w:val="Compact"/>
        <w:numPr>
          <w:ilvl w:val="0"/>
          <w:numId w:val="1003"/>
        </w:numPr>
      </w:pPr>
      <w:r>
        <w:t xml:space="preserve">Compute cosine similarity to all training abstracts.</w:t>
      </w:r>
    </w:p>
    <w:p>
      <w:pPr>
        <w:pStyle w:val="Compact"/>
        <w:numPr>
          <w:ilvl w:val="0"/>
          <w:numId w:val="1003"/>
        </w:numPr>
      </w:pPr>
      <w:r>
        <w:t xml:space="preserve">Select top similar documents.</w:t>
      </w:r>
    </w:p>
    <w:p>
      <w:pPr>
        <w:pStyle w:val="Compact"/>
        <w:numPr>
          <w:ilvl w:val="0"/>
          <w:numId w:val="1003"/>
        </w:numPr>
      </w:pPr>
      <w:r>
        <w:t xml:space="preserve">Aggregate similarity scores by journal.</w:t>
      </w:r>
    </w:p>
    <w:p>
      <w:pPr>
        <w:pStyle w:val="Compact"/>
        <w:numPr>
          <w:ilvl w:val="0"/>
          <w:numId w:val="1003"/>
        </w:numPr>
      </w:pPr>
      <w:r>
        <w:t xml:space="preserve">Return top-5 journals by total score.</w:t>
      </w:r>
    </w:p>
    <w:p>
      <w:pPr>
        <w:pStyle w:val="FirstParagraph"/>
      </w:pPr>
      <w:r>
        <w:t xml:space="preserve">This method is simple, interpretable, and effective as a baseline recommender.</w:t>
      </w:r>
    </w:p>
    <w:bookmarkEnd w:id="15"/>
    <w:bookmarkStart w:id="16" w:name="topic-clustering"/>
    <w:p>
      <w:pPr>
        <w:pStyle w:val="Heading3"/>
      </w:pPr>
      <w:r>
        <w:t xml:space="preserve">4.2 Topic Clustering</w:t>
      </w:r>
    </w:p>
    <w:p>
      <w:pPr>
        <w:pStyle w:val="FirstParagraph"/>
      </w:pPr>
      <w:r>
        <w:t xml:space="preserve">To discover thematic structure in the corpus, we apply clustering (e.g., KMeans) on vectorized abstracts. Cluster labels are interpreted using top weighted terms and dominant journals per cluster.</w:t>
      </w:r>
    </w:p>
    <w:bookmarkEnd w:id="16"/>
    <w:bookmarkEnd w:id="17"/>
    <w:bookmarkStart w:id="18" w:name="experimental-setup"/>
    <w:p>
      <w:pPr>
        <w:pStyle w:val="Heading2"/>
      </w:pPr>
      <w:r>
        <w:t xml:space="preserve">5. Experimental Setup</w:t>
      </w:r>
    </w:p>
    <w:p>
      <w:pPr>
        <w:pStyle w:val="Compact"/>
        <w:numPr>
          <w:ilvl w:val="0"/>
          <w:numId w:val="1004"/>
        </w:numPr>
      </w:pPr>
      <w:r>
        <w:t xml:space="preserve">Train/test split: 80/20 random split.</w:t>
      </w:r>
    </w:p>
    <w:p>
      <w:pPr>
        <w:pStyle w:val="Compact"/>
        <w:numPr>
          <w:ilvl w:val="0"/>
          <w:numId w:val="1004"/>
        </w:numPr>
      </w:pPr>
      <w:r>
        <w:t xml:space="preserve">Recommendation metric:</w:t>
      </w:r>
      <w:r>
        <w:t xml:space="preserve"> </w:t>
      </w:r>
      <w:r>
        <w:rPr>
          <w:rStyle w:val="VerbatimChar"/>
        </w:rPr>
        <w:t xml:space="preserve">Hit@5</w:t>
      </w:r>
      <w:r>
        <w:t xml:space="preserve"> </w:t>
      </w:r>
      <w:r>
        <w:t xml:space="preserve">(whether true journal appears in top-5).</w:t>
      </w:r>
    </w:p>
    <w:p>
      <w:pPr>
        <w:pStyle w:val="Compact"/>
        <w:numPr>
          <w:ilvl w:val="0"/>
          <w:numId w:val="1004"/>
        </w:numPr>
      </w:pPr>
      <w:r>
        <w:t xml:space="preserve">Additional qualitative inspection: top recommended journals for custom query abstracts.</w:t>
      </w:r>
    </w:p>
    <w:p>
      <w:pPr>
        <w:pStyle w:val="FirstParagraph"/>
      </w:pPr>
      <w:r>
        <w:t xml:space="preserve">Implementation environment:</w:t>
      </w:r>
      <w:r>
        <w:t xml:space="preserve"> </w:t>
      </w:r>
      <w:r>
        <w:t xml:space="preserve">- Python 3</w:t>
      </w:r>
      <w:r>
        <w:t xml:space="preserve"> </w:t>
      </w:r>
      <w:r>
        <w:t xml:space="preserve">- pandas</w:t>
      </w:r>
      <w:r>
        <w:t xml:space="preserve"> </w:t>
      </w:r>
      <w:r>
        <w:t xml:space="preserve">- scikit-learn</w:t>
      </w:r>
      <w:r>
        <w:t xml:space="preserve"> </w:t>
      </w:r>
      <w:r>
        <w:t xml:space="preserve">- SQLite as data backend</w:t>
      </w:r>
    </w:p>
    <w:bookmarkEnd w:id="18"/>
    <w:bookmarkStart w:id="22" w:name="results"/>
    <w:p>
      <w:pPr>
        <w:pStyle w:val="Heading2"/>
      </w:pPr>
      <w:r>
        <w:t xml:space="preserve">6. Results</w:t>
      </w:r>
    </w:p>
    <w:bookmarkStart w:id="19" w:name="recommendation-output-example"/>
    <w:p>
      <w:pPr>
        <w:pStyle w:val="Heading3"/>
      </w:pPr>
      <w:r>
        <w:t xml:space="preserve">6.1 Recommendation Output Example</w:t>
      </w:r>
    </w:p>
    <w:p>
      <w:pPr>
        <w:pStyle w:val="FirstParagraph"/>
      </w:pPr>
      <w:r>
        <w:t xml:space="preserve">For a sample abstract on machine learning-based intrusion detection in cloud environments, the system recommends journals such as:</w:t>
      </w:r>
    </w:p>
    <w:p>
      <w:pPr>
        <w:pStyle w:val="Compact"/>
        <w:numPr>
          <w:ilvl w:val="0"/>
          <w:numId w:val="1005"/>
        </w:numPr>
      </w:pPr>
      <w:r>
        <w:t xml:space="preserve">JOURNAL OF NETWORK AND COMPUTER APPLICATIONS</w:t>
      </w:r>
    </w:p>
    <w:p>
      <w:pPr>
        <w:pStyle w:val="Compact"/>
        <w:numPr>
          <w:ilvl w:val="0"/>
          <w:numId w:val="1005"/>
        </w:numPr>
      </w:pPr>
      <w:r>
        <w:t xml:space="preserve">COMPUTERS &amp; SECURITY</w:t>
      </w:r>
    </w:p>
    <w:p>
      <w:pPr>
        <w:pStyle w:val="Compact"/>
        <w:numPr>
          <w:ilvl w:val="0"/>
          <w:numId w:val="1005"/>
        </w:numPr>
      </w:pPr>
      <w:r>
        <w:t xml:space="preserve">COMPUTERS &amp; ELECTRICAL ENGINEERING</w:t>
      </w:r>
    </w:p>
    <w:p>
      <w:pPr>
        <w:pStyle w:val="Compact"/>
        <w:numPr>
          <w:ilvl w:val="0"/>
          <w:numId w:val="1005"/>
        </w:numPr>
      </w:pPr>
      <w:r>
        <w:t xml:space="preserve">JOURNAL OF MACHINE LEARNING RESEARCH</w:t>
      </w:r>
    </w:p>
    <w:p>
      <w:pPr>
        <w:pStyle w:val="Compact"/>
        <w:numPr>
          <w:ilvl w:val="0"/>
          <w:numId w:val="1005"/>
        </w:numPr>
      </w:pPr>
      <w:r>
        <w:t xml:space="preserve">COMPUTER SYSTEMS SCIENCE AND ENGINEERING</w:t>
      </w:r>
    </w:p>
    <w:p>
      <w:pPr>
        <w:pStyle w:val="FirstParagraph"/>
      </w:pPr>
      <w:r>
        <w:t xml:space="preserve">These results are semantically consistent with cybersecurity and ML themes.</w:t>
      </w:r>
    </w:p>
    <w:bookmarkEnd w:id="19"/>
    <w:bookmarkStart w:id="20" w:name="quantitative-evaluation"/>
    <w:p>
      <w:pPr>
        <w:pStyle w:val="Heading3"/>
      </w:pPr>
      <w:r>
        <w:t xml:space="preserve">6.2 Quantitative Evaluation</w:t>
      </w:r>
    </w:p>
    <w:p>
      <w:pPr>
        <w:pStyle w:val="FirstParagraph"/>
      </w:pPr>
      <w:r>
        <w:rPr>
          <w:rStyle w:val="VerbatimChar"/>
        </w:rPr>
        <w:t xml:space="preserve">Hit@5</w:t>
      </w:r>
      <w:r>
        <w:t xml:space="preserve"> </w:t>
      </w:r>
      <w:r>
        <w:t xml:space="preserve">is computed on a sampled test subset in the notebook.</w:t>
      </w:r>
      <w:r>
        <w:br/>
      </w:r>
      <w:r>
        <w:t xml:space="preserve">Measured result:</w:t>
      </w:r>
    </w:p>
    <w:p>
      <w:pPr>
        <w:pStyle w:val="Compact"/>
        <w:numPr>
          <w:ilvl w:val="0"/>
          <w:numId w:val="1006"/>
        </w:numPr>
      </w:pPr>
      <w:r>
        <w:t xml:space="preserve">Hit@5 (sample=200):</w:t>
      </w:r>
      <w:r>
        <w:t xml:space="preserve"> </w:t>
      </w:r>
      <w:r>
        <w:rPr>
          <w:rStyle w:val="VerbatimChar"/>
        </w:rPr>
        <w:t xml:space="preserve">0.5550</w:t>
      </w:r>
    </w:p>
    <w:p>
      <w:pPr>
        <w:pStyle w:val="Compact"/>
        <w:numPr>
          <w:ilvl w:val="0"/>
          <w:numId w:val="1006"/>
        </w:numPr>
      </w:pPr>
      <w:r>
        <w:t xml:space="preserve">(Optional) Full-test Hit@5:</w:t>
      </w:r>
      <w:r>
        <w:t xml:space="preserve"> </w:t>
      </w:r>
      <w:r>
        <w:rPr>
          <w:rStyle w:val="VerbatimChar"/>
        </w:rPr>
        <w:t xml:space="preserve">not computed yet</w:t>
      </w:r>
    </w:p>
    <w:bookmarkEnd w:id="20"/>
    <w:bookmarkStart w:id="21" w:name="topic-clustering-summary"/>
    <w:p>
      <w:pPr>
        <w:pStyle w:val="Heading3"/>
      </w:pPr>
      <w:r>
        <w:t xml:space="preserve">6.3 Topic Clustering Summary</w:t>
      </w:r>
    </w:p>
    <w:p>
      <w:pPr>
        <w:pStyle w:val="FirstParagraph"/>
      </w:pPr>
      <w:r>
        <w:t xml:space="preserve">KMeans clustering was applied with</w:t>
      </w:r>
      <w:r>
        <w:t xml:space="preserve"> </w:t>
      </w:r>
      <w:r>
        <w:rPr>
          <w:rStyle w:val="VerbatimChar"/>
        </w:rPr>
        <w:t xml:space="preserve">k=8</w:t>
      </w:r>
      <w:r>
        <w:t xml:space="preserve"> </w:t>
      </w:r>
      <w:r>
        <w:t xml:space="preserve">on TF-IDF vectors of cleaned abstracts. The silhouette score was</w:t>
      </w:r>
      <w:r>
        <w:t xml:space="preserve"> </w:t>
      </w:r>
      <w:r>
        <w:rPr>
          <w:rStyle w:val="VerbatimChar"/>
        </w:rPr>
        <w:t xml:space="preserve">0.0053</w:t>
      </w:r>
      <w:r>
        <w:t xml:space="preserve">, indicating overlapping topic boundaries in this broad corpus. Despite the low silhouette value, clusters remain interpretable via top terms:</w:t>
      </w:r>
    </w:p>
    <w:p>
      <w:pPr>
        <w:pStyle w:val="Compact"/>
        <w:numPr>
          <w:ilvl w:val="0"/>
          <w:numId w:val="1007"/>
        </w:numPr>
      </w:pPr>
      <w:r>
        <w:t xml:space="preserve">Cluster (data-centric):</w:t>
      </w:r>
      <w:r>
        <w:t xml:space="preserve"> </w:t>
      </w:r>
      <w:r>
        <w:rPr>
          <w:rStyle w:val="VerbatimChar"/>
        </w:rPr>
        <w:t xml:space="preserve">data, mining, big, clustering, big data</w:t>
      </w:r>
    </w:p>
    <w:p>
      <w:pPr>
        <w:pStyle w:val="Compact"/>
        <w:numPr>
          <w:ilvl w:val="0"/>
          <w:numId w:val="1007"/>
        </w:numPr>
      </w:pPr>
      <w:r>
        <w:t xml:space="preserve">Cluster (cloud/services):</w:t>
      </w:r>
      <w:r>
        <w:t xml:space="preserve"> </w:t>
      </w:r>
      <w:r>
        <w:rPr>
          <w:rStyle w:val="VerbatimChar"/>
        </w:rPr>
        <w:t xml:space="preserve">cloud, service, services, computing, cloud computing</w:t>
      </w:r>
    </w:p>
    <w:p>
      <w:pPr>
        <w:pStyle w:val="Compact"/>
        <w:numPr>
          <w:ilvl w:val="0"/>
          <w:numId w:val="1007"/>
        </w:numPr>
      </w:pPr>
      <w:r>
        <w:t xml:space="preserve">Cluster (networks):</w:t>
      </w:r>
      <w:r>
        <w:t xml:space="preserve"> </w:t>
      </w:r>
      <w:r>
        <w:rPr>
          <w:rStyle w:val="VerbatimChar"/>
        </w:rPr>
        <w:t xml:space="preserve">network, networks, sensor, wireless, routing</w:t>
      </w:r>
    </w:p>
    <w:p>
      <w:pPr>
        <w:pStyle w:val="Compact"/>
        <w:numPr>
          <w:ilvl w:val="0"/>
          <w:numId w:val="1007"/>
        </w:numPr>
      </w:pPr>
      <w:r>
        <w:t xml:space="preserve">Cluster (vision/ML):</w:t>
      </w:r>
      <w:r>
        <w:t xml:space="preserve"> </w:t>
      </w:r>
      <w:r>
        <w:rPr>
          <w:rStyle w:val="VerbatimChar"/>
        </w:rPr>
        <w:t xml:space="preserve">image, classification, recognition, features, learning</w:t>
      </w:r>
    </w:p>
    <w:p>
      <w:pPr>
        <w:pStyle w:val="Compact"/>
        <w:numPr>
          <w:ilvl w:val="0"/>
          <w:numId w:val="1007"/>
        </w:numPr>
      </w:pPr>
      <w:r>
        <w:t xml:space="preserve">Cluster (optimization):</w:t>
      </w:r>
      <w:r>
        <w:t xml:space="preserve"> </w:t>
      </w:r>
      <w:r>
        <w:rPr>
          <w:rStyle w:val="VerbatimChar"/>
        </w:rPr>
        <w:t xml:space="preserve">algorithm, problem, optimization, search, solution</w:t>
      </w:r>
    </w:p>
    <w:bookmarkEnd w:id="21"/>
    <w:bookmarkEnd w:id="22"/>
    <w:bookmarkStart w:id="23" w:name="discussion"/>
    <w:p>
      <w:pPr>
        <w:pStyle w:val="Heading2"/>
      </w:pPr>
      <w:r>
        <w:t xml:space="preserve">7. Discussion</w:t>
      </w:r>
    </w:p>
    <w:p>
      <w:pPr>
        <w:pStyle w:val="FirstParagraph"/>
      </w:pPr>
      <w:r>
        <w:t xml:space="preserve">Strengths:</w:t>
      </w:r>
      <w:r>
        <w:t xml:space="preserve"> </w:t>
      </w:r>
      <w:r>
        <w:t xml:space="preserve">- Transparent and easy-to-explain recommendation logic.</w:t>
      </w:r>
      <w:r>
        <w:t xml:space="preserve"> </w:t>
      </w:r>
      <w:r>
        <w:t xml:space="preserve">- Fast retrieval for practical usage.</w:t>
      </w:r>
      <w:r>
        <w:t xml:space="preserve"> </w:t>
      </w:r>
      <w:r>
        <w:t xml:space="preserve">- Good baseline quality with limited engineering overhead.</w:t>
      </w:r>
    </w:p>
    <w:p>
      <w:pPr>
        <w:pStyle w:val="BodyText"/>
      </w:pPr>
      <w:r>
        <w:t xml:space="preserve">Limitations:</w:t>
      </w:r>
      <w:r>
        <w:t xml:space="preserve"> </w:t>
      </w:r>
      <w:r>
        <w:t xml:space="preserve">- Vocabulary mismatch for novel terminology.</w:t>
      </w:r>
      <w:r>
        <w:t xml:space="preserve"> </w:t>
      </w:r>
      <w:r>
        <w:t xml:space="preserve">- Popular journals may dominate score aggregation.</w:t>
      </w:r>
      <w:r>
        <w:t xml:space="preserve"> </w:t>
      </w:r>
      <w:r>
        <w:t xml:space="preserve">- No citation network or author-level features used.</w:t>
      </w:r>
    </w:p>
    <w:p>
      <w:pPr>
        <w:pStyle w:val="BodyText"/>
      </w:pPr>
      <w:r>
        <w:t xml:space="preserve">Potential improvements:</w:t>
      </w:r>
      <w:r>
        <w:t xml:space="preserve"> </w:t>
      </w:r>
      <w:r>
        <w:t xml:space="preserve">- BM25 or transformer embeddings.</w:t>
      </w:r>
      <w:r>
        <w:t xml:space="preserve"> </w:t>
      </w:r>
      <w:r>
        <w:t xml:space="preserve">- Journal-level calibration and re-ranking.</w:t>
      </w:r>
      <w:r>
        <w:t xml:space="preserve"> </w:t>
      </w:r>
      <w:r>
        <w:t xml:space="preserve">- Hybrid approach combining subject/keyword metadata.</w:t>
      </w:r>
    </w:p>
    <w:bookmarkEnd w:id="23"/>
    <w:bookmarkStart w:id="24" w:name="conclusion"/>
    <w:p>
      <w:pPr>
        <w:pStyle w:val="Heading2"/>
      </w:pPr>
      <w:r>
        <w:t xml:space="preserve">8. Conclusion</w:t>
      </w:r>
    </w:p>
    <w:p>
      <w:pPr>
        <w:pStyle w:val="FirstParagraph"/>
      </w:pPr>
      <w:r>
        <w:t xml:space="preserve">This project demonstrates a practical journal finder system for computer science abstracts. The TF-IDF + cosine approach provides interpretable top-5 journal recommendations and forms a solid baseline for further improvement. Topic clustering adds an additional analytical layer by revealing high-level research themes. The developed pipeline can be extended with advanced language models and richer metadata for improved recommendation accuracy.</w:t>
      </w:r>
    </w:p>
    <w:bookmarkEnd w:id="24"/>
    <w:bookmarkStart w:id="25" w:name="references"/>
    <w:p>
      <w:pPr>
        <w:pStyle w:val="Heading2"/>
      </w:pPr>
      <w:r>
        <w:t xml:space="preserve">References</w:t>
      </w:r>
    </w:p>
    <w:p>
      <w:pPr>
        <w:pStyle w:val="FirstParagraph"/>
      </w:pPr>
      <w:r>
        <w:t xml:space="preserve">[1] C. D. Manning, P. Raghavan, and H. Schutze,</w:t>
      </w:r>
      <w:r>
        <w:t xml:space="preserve"> </w:t>
      </w:r>
      <w:r>
        <w:rPr>
          <w:i/>
          <w:iCs/>
        </w:rPr>
        <w:t xml:space="preserve">Introduction to Information Retrieval</w:t>
      </w:r>
      <w:r>
        <w:t xml:space="preserve">. Cambridge University Press, 2008.</w:t>
      </w:r>
      <w:r>
        <w:br/>
      </w:r>
      <w:r>
        <w:t xml:space="preserve">[2] G. Salton and C. Buckley,</w:t>
      </w:r>
      <w:r>
        <w:t xml:space="preserve"> </w:t>
      </w:r>
      <w:r>
        <w:t xml:space="preserve">“Term-weighting approaches in automatic text retrieval,”</w:t>
      </w:r>
      <w:r>
        <w:t xml:space="preserve"> </w:t>
      </w:r>
      <w:r>
        <w:rPr>
          <w:i/>
          <w:iCs/>
        </w:rPr>
        <w:t xml:space="preserve">Information Processing &amp; Management</w:t>
      </w:r>
      <w:r>
        <w:t xml:space="preserve">, vol. 24, no. 5, pp. 513-523, 1988.</w:t>
      </w:r>
      <w:r>
        <w:br/>
      </w:r>
      <w:r>
        <w:t xml:space="preserve">[3] T. Mikolov et al.,</w:t>
      </w:r>
      <w:r>
        <w:t xml:space="preserve"> </w:t>
      </w:r>
      <w:r>
        <w:t xml:space="preserve">“Distributed representations of words and phrases and their compositionality,”</w:t>
      </w:r>
      <w:r>
        <w:t xml:space="preserve"> </w:t>
      </w:r>
      <w:r>
        <w:rPr>
          <w:i/>
          <w:iCs/>
        </w:rPr>
        <w:t xml:space="preserve">NeurIPS</w:t>
      </w:r>
      <w:r>
        <w:t xml:space="preserve">, 2013.</w:t>
      </w:r>
      <w:r>
        <w:br/>
      </w:r>
      <w:r>
        <w:t xml:space="preserve">[4] J. Devlin et al.,</w:t>
      </w:r>
      <w:r>
        <w:t xml:space="preserve"> </w:t>
      </w:r>
      <w:r>
        <w:t xml:space="preserve">“BERT: Pre-training of deep bidirectional transformers for language understanding,”</w:t>
      </w:r>
      <w:r>
        <w:t xml:space="preserve"> </w:t>
      </w:r>
      <w:r>
        <w:rPr>
          <w:i/>
          <w:iCs/>
        </w:rPr>
        <w:t xml:space="preserve">NAACL-HLT</w:t>
      </w:r>
      <w:r>
        <w:t xml:space="preserve">, 2019.</w:t>
      </w:r>
      <w:r>
        <w:t xml:space="preserve"> </w:t>
      </w:r>
      <w:r>
        <w:t xml:space="preserve">[5] S. Robertson and H. Zaragoza,</w:t>
      </w:r>
      <w:r>
        <w:t xml:space="preserve"> </w:t>
      </w:r>
      <w:r>
        <w:t xml:space="preserve">“The probabilistic relevance framework: BM25 and beyond,”</w:t>
      </w:r>
      <w:r>
        <w:t xml:space="preserve"> </w:t>
      </w:r>
      <w:r>
        <w:rPr>
          <w:i/>
          <w:iCs/>
        </w:rPr>
        <w:t xml:space="preserve">Foundations and Trends in Information Retrieval</w:t>
      </w:r>
      <w:r>
        <w:t xml:space="preserve">, vol. 3, no. 4, pp. 333-389, 2009.</w:t>
      </w:r>
      <w:r>
        <w:br/>
      </w:r>
      <w:r>
        <w:t xml:space="preserve">[6] D. M. Blei, A. Y. Ng, and M. I. Jordan,</w:t>
      </w:r>
      <w:r>
        <w:t xml:space="preserve"> </w:t>
      </w:r>
      <w:r>
        <w:t xml:space="preserve">“Latent Dirichlet Allocation,”</w:t>
      </w:r>
      <w:r>
        <w:t xml:space="preserve"> </w:t>
      </w:r>
      <w:r>
        <w:rPr>
          <w:i/>
          <w:iCs/>
        </w:rPr>
        <w:t xml:space="preserve">Journal of Machine Learning Research</w:t>
      </w:r>
      <w:r>
        <w:t xml:space="preserve">, vol. 3, pp. 993-1022, 2003.</w:t>
      </w:r>
      <w:r>
        <w:br/>
      </w:r>
      <w:r>
        <w:t xml:space="preserve">[7] Q. Le and T. Mikolov,</w:t>
      </w:r>
      <w:r>
        <w:t xml:space="preserve"> </w:t>
      </w:r>
      <w:r>
        <w:t xml:space="preserve">“Distributed representations of sentences and documents,”</w:t>
      </w:r>
      <w:r>
        <w:t xml:space="preserve"> </w:t>
      </w:r>
      <w:r>
        <w:rPr>
          <w:i/>
          <w:iCs/>
        </w:rPr>
        <w:t xml:space="preserve">ICML</w:t>
      </w:r>
      <w:r>
        <w:t xml:space="preserve">, 2014.</w:t>
      </w:r>
      <w:r>
        <w:br/>
      </w:r>
      <w:r>
        <w:t xml:space="preserve">[8] A. Reimers and I. Gurevych,</w:t>
      </w:r>
      <w:r>
        <w:t xml:space="preserve"> </w:t>
      </w:r>
      <w:r>
        <w:t xml:space="preserve">“Sentence-BERT: Sentence embeddings using Siamese BERT-networks,”</w:t>
      </w:r>
      <w:r>
        <w:t xml:space="preserve"> </w:t>
      </w:r>
      <w:r>
        <w:rPr>
          <w:i/>
          <w:iCs/>
        </w:rPr>
        <w:t xml:space="preserve">EMNLP-IJCNLP</w:t>
      </w:r>
      <w:r>
        <w:t xml:space="preserve">, 2019.</w:t>
      </w:r>
      <w:r>
        <w:br/>
      </w:r>
      <w:r>
        <w:t xml:space="preserve">[9] R. N. Mohan, A. Venkatesan, and K. G. Srinivasa,</w:t>
      </w:r>
      <w:r>
        <w:t xml:space="preserve"> </w:t>
      </w:r>
      <w:r>
        <w:t xml:space="preserve">“A literature survey on scholarly paper recommendation systems,”</w:t>
      </w:r>
      <w:r>
        <w:t xml:space="preserve"> </w:t>
      </w:r>
      <w:r>
        <w:rPr>
          <w:i/>
          <w:iCs/>
        </w:rPr>
        <w:t xml:space="preserve">International Journal of Data Science and Analytics</w:t>
      </w:r>
      <w:r>
        <w:t xml:space="preserve">, vol. 11, no. 2, pp. 101-123, 2021.</w:t>
      </w:r>
      <w:r>
        <w:br/>
      </w:r>
      <w:r>
        <w:t xml:space="preserve">[10] P. Resnick and H. R. Varian,</w:t>
      </w:r>
      <w:r>
        <w:t xml:space="preserve"> </w:t>
      </w:r>
      <w:r>
        <w:t xml:space="preserve">“Recommender systems,”</w:t>
      </w:r>
      <w:r>
        <w:t xml:space="preserve"> </w:t>
      </w:r>
      <w:r>
        <w:rPr>
          <w:i/>
          <w:iCs/>
        </w:rPr>
        <w:t xml:space="preserve">Communications of the ACM</w:t>
      </w:r>
      <w:r>
        <w:t xml:space="preserve">, vol. 40, no. 3, pp. 56-58, 1997.</w:t>
      </w:r>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2026-04-20T15:14:14Z</dcterms:created>
  <dcterms:modified xsi:type="dcterms:W3CDTF">2026-04-20T15:14:14Z</dcterms:modified>
</cp:coreProperties>
</file>

<file path=docProps/custom.xml><?xml version="1.0" encoding="utf-8"?>
<Properties xmlns="http://schemas.openxmlformats.org/officeDocument/2006/custom-properties" xmlns:vt="http://schemas.openxmlformats.org/officeDocument/2006/docPropsVTypes"/>
</file>