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400" w:line="300"/>
      </w:pPr>
      <w:r>
        <w:rPr>
          <w:rFonts w:ascii="Cambria" w:cs="Cambria" w:eastAsia="Cambria" w:hAnsi="Cambria"/>
          <w:b/>
          <w:bCs/>
          <w:color w:val="000000"/>
          <w:sz w:val="32"/>
          <w:szCs w:val="32"/>
        </w:rPr>
        <w:t xml:space="preserve">Whose 'we'? How Türkiye's Maarif Model and the International Baccalaureate position the student</w:t>
      </w:r>
    </w:p>
    <w:p>
      <w:pPr>
        <w:pStyle w:val="Heading2"/>
        <w:spacing w:after="160" w:before="320" w:line="300"/>
      </w:pPr>
      <w:r>
        <w:rPr>
          <w:rFonts w:ascii="Cambria" w:cs="Cambria" w:eastAsia="Cambria" w:hAnsi="Cambria"/>
          <w:b/>
          <w:bCs/>
          <w:color w:val="000000"/>
          <w:sz w:val="27"/>
          <w:szCs w:val="27"/>
        </w:rPr>
        <w:t xml:space="preserve">Abstract</w:t>
      </w:r>
    </w:p>
    <w:p>
      <w:pPr>
        <w:spacing w:after="180" w:line="360"/>
      </w:pPr>
      <w:r>
        <w:rPr>
          <w:rFonts w:ascii="Cambria" w:cs="Cambria" w:eastAsia="Cambria" w:hAnsi="Cambria"/>
          <w:sz w:val="24"/>
          <w:szCs w:val="24"/>
        </w:rPr>
        <w:t xml:space="preserve">Learner profiles are the shortest part of a curriculum and the part that says most plainly what a system wants its graduates to become. In September 2024 Türkiye brought into force the Türkiye Yüzyılı Maarif Modeli, a national framework built around a stated end — raising </w:t>
      </w:r>
      <w:r>
        <w:rPr>
          <w:rFonts w:ascii="Cambria" w:cs="Cambria" w:eastAsia="Cambria" w:hAnsi="Cambria"/>
          <w:i/>
          <w:iCs/>
          <w:sz w:val="24"/>
          <w:szCs w:val="24"/>
        </w:rPr>
        <w:t xml:space="preserve">yetkin ve erdemli insanlar</w:t>
      </w:r>
      <w:r>
        <w:rPr>
          <w:rFonts w:ascii="Cambria" w:cs="Cambria" w:eastAsia="Cambria" w:hAnsi="Cambria"/>
          <w:sz w:val="24"/>
          <w:szCs w:val="24"/>
        </w:rPr>
        <w:t xml:space="preserve">, competent and virtuous people — and specified through ten profile characteristics. The International Baccalaureate has been describing its ideal learner through ten attributes for three decades. We compare the two texts and ask what position each makes available to the student, and who could not occupy it.</w:t>
      </w:r>
    </w:p>
    <w:p>
      <w:pPr>
        <w:spacing w:after="180" w:line="360"/>
      </w:pPr>
      <w:r>
        <w:rPr>
          <w:rFonts w:ascii="Cambria" w:cs="Cambria" w:eastAsia="Cambria" w:hAnsi="Cambria"/>
          <w:sz w:val="24"/>
          <w:szCs w:val="24"/>
        </w:rPr>
        <w:t xml:space="preserve">The two lists overlap substantially, and reading them for their contents would suggest two systems that want much the same thing with different accents. Reading them for how they address the student suggests otherwise. The IB profile speaks in the first person plural throughout: its learner is already inside a 'we' that the text never locates. Türkiye's profile speaks in the third person throughout: its learner is a figure described from outside, and the collective they answer to is named repeatedly and precisely — flag, language, homeland, nation, state. Where the Maarif Model grants independence of thought or aesthetic judgement, it attaches a clause requiring that what is granted stay consistent with commitments the learner already holds. The IB attaches no such clause, and asks its learner to appraise their own culture critically alongside everyone else's.</w:t>
      </w:r>
    </w:p>
    <w:p>
      <w:pPr>
        <w:spacing w:after="180" w:line="360"/>
      </w:pPr>
      <w:r>
        <w:rPr>
          <w:rFonts w:ascii="Cambria" w:cs="Cambria" w:eastAsia="Cambria" w:hAnsi="Cambria"/>
          <w:sz w:val="24"/>
          <w:szCs w:val="24"/>
        </w:rPr>
        <w:t xml:space="preserve">We read these as two positions rather than two value sets: an heir, entrusted with something they are expected not to lose, and a joiner, admitted to a community with no address. Each excludes someone. The heir position has no room for a student whose existing commitments are not the ones the text assumes; the joiner position has no room for a student whose tradition is not open to revision. We argue that comparative research on learner profiles has concentrated on their contents, which is the part of the genre most likely to converge, and that what these documents do to the student is done first through how they address them.</w:t>
      </w:r>
    </w:p>
    <w:p>
      <w:pPr>
        <w:spacing w:after="180" w:line="360"/>
      </w:pPr>
      <w:r>
        <w:rPr>
          <w:rFonts w:ascii="Cambria" w:cs="Cambria" w:eastAsia="Cambria" w:hAnsi="Cambria"/>
          <w:b/>
          <w:bCs/>
          <w:sz w:val="24"/>
          <w:szCs w:val="24"/>
        </w:rPr>
        <w:t xml:space="preserve">Keywords:</w:t>
      </w:r>
      <w:r>
        <w:rPr>
          <w:rFonts w:ascii="Cambria" w:cs="Cambria" w:eastAsia="Cambria" w:hAnsi="Cambria"/>
          <w:sz w:val="24"/>
          <w:szCs w:val="24"/>
        </w:rPr>
        <w:t xml:space="preserve"> learner profiles; subject positions; curriculum policy texts; Türkiye Yüzyılı Maarif Modeli; International Baccalaureate; comparative curriculum analysis</w:t>
      </w:r>
    </w:p>
    <w:p>
      <w:r>
        <w:br w:type="page"/>
      </w:r>
    </w:p>
    <w:p>
      <w:pPr>
        <w:pStyle w:val="Heading1"/>
        <w:spacing w:after="160" w:before="400" w:line="300"/>
      </w:pPr>
      <w:r>
        <w:rPr>
          <w:rFonts w:ascii="Cambria" w:cs="Cambria" w:eastAsia="Cambria" w:hAnsi="Cambria"/>
          <w:b/>
          <w:bCs/>
          <w:color w:val="000000"/>
          <w:sz w:val="32"/>
          <w:szCs w:val="32"/>
        </w:rPr>
        <w:t xml:space="preserve">1. Introduction</w:t>
      </w:r>
    </w:p>
    <w:p>
      <w:pPr>
        <w:spacing w:after="180" w:line="360"/>
      </w:pPr>
      <w:r>
        <w:rPr>
          <w:rFonts w:ascii="Cambria" w:cs="Cambria" w:eastAsia="Cambria" w:hAnsi="Cambria"/>
          <w:sz w:val="24"/>
          <w:szCs w:val="24"/>
        </w:rPr>
        <w:t xml:space="preserve">Somewhere near the front of most national curricula there is a page that does not look like the rest of the document. It has no outcomes on it, no content maps, no assessment guidance. It lists perhaps ten qualities and says that this is the kind of person the system exists to produce. Ministries print it on posters. Head teachers read it out in September. It is the part of a curriculum that people who will never open the curriculum can still recite.</w:t>
      </w:r>
    </w:p>
    <w:p>
      <w:pPr>
        <w:spacing w:after="180" w:line="360"/>
      </w:pPr>
      <w:r>
        <w:rPr>
          <w:rFonts w:ascii="Cambria" w:cs="Cambria" w:eastAsia="Cambria" w:hAnsi="Cambria"/>
          <w:sz w:val="24"/>
          <w:szCs w:val="24"/>
        </w:rPr>
        <w:t xml:space="preserve">Learner profiles carry a heavy load for their length, and they carry it in public. Everything a system is prepared to say about the person it wants has to fit on that page, and everything it is not prepared to say has to be kept off it. That makes the profile an unusually direct object of study. Apple's (2004) argument that curricula encode decisions about whose knowledge and whose identities count usually requires excavation; in a learner profile the decisions are already on the surface.</w:t>
      </w:r>
    </w:p>
    <w:p>
      <w:pPr>
        <w:spacing w:after="180" w:line="360"/>
      </w:pPr>
      <w:r>
        <w:rPr>
          <w:rFonts w:ascii="Cambria" w:cs="Cambria" w:eastAsia="Cambria" w:hAnsi="Cambria"/>
          <w:sz w:val="24"/>
          <w:szCs w:val="24"/>
        </w:rPr>
        <w:t xml:space="preserve">This article compares two of them. The International Baccalaureate learner profile is the reference case in the genre, ten attributes running across all four IB programmes since the late 1990s and revised most recently in 2017. The Türkiye Yüzyılı Maarif Modeli — the Türkiye Century Education Model, hereafter the Maarif Model — is new. Approved by Türkiye's Board of Education in May 2024 and in force from September of that year, it replaced the architecture that had governed Turkish schooling for a generation, and it did so around a stated end: raising </w:t>
      </w:r>
      <w:r>
        <w:rPr>
          <w:rFonts w:ascii="Cambria" w:cs="Cambria" w:eastAsia="Cambria" w:hAnsi="Cambria"/>
          <w:i/>
          <w:iCs/>
          <w:sz w:val="24"/>
          <w:szCs w:val="24"/>
        </w:rPr>
        <w:t xml:space="preserve">yetkin ve erdemli insanlar</w:t>
      </w:r>
      <w:r>
        <w:rPr>
          <w:rFonts w:ascii="Cambria" w:cs="Cambria" w:eastAsia="Cambria" w:hAnsi="Cambria"/>
          <w:sz w:val="24"/>
          <w:szCs w:val="24"/>
        </w:rPr>
        <w:t xml:space="preserve">, competent and virtuous people.</w:t>
      </w:r>
    </w:p>
    <w:p>
      <w:pPr>
        <w:spacing w:after="180" w:line="360"/>
      </w:pPr>
      <w:r>
        <w:rPr>
          <w:rFonts w:ascii="Cambria" w:cs="Cambria" w:eastAsia="Cambria" w:hAnsi="Cambria"/>
          <w:sz w:val="24"/>
          <w:szCs w:val="24"/>
        </w:rPr>
        <w:t xml:space="preserve">The two profiles are the same length and the same shape. Each names ten qualities. Each elaborates them in short passages. Each refuses to separate what a graduate should know from what a graduate should be. Set the lists beside one another and the obvious study writes itself: match the items, note that Türkiye adds patriotism and aesthetics where the IB adds open-mindedness and reflection, conclude that a national system emphasises belonging where a transnational one emphasises mobility.</w:t>
      </w:r>
    </w:p>
    <w:p>
      <w:pPr>
        <w:spacing w:after="180" w:line="360"/>
      </w:pPr>
      <w:r>
        <w:rPr>
          <w:rFonts w:ascii="Cambria" w:cs="Cambria" w:eastAsia="Cambria" w:hAnsi="Cambria"/>
          <w:sz w:val="24"/>
          <w:szCs w:val="24"/>
        </w:rPr>
        <w:t xml:space="preserve">We did that study first, and it was true and slight. The overlap between the two sets is large enough that a comparison of contents mostly documents the conventions of the genre. What the genre pushes every system towards, inquiry and integrity and care and courage, turns out to be what both systems say. The differences that survive that filter are real but modest, and they do not explain why the two documents feel so unalike to read.</w:t>
      </w:r>
    </w:p>
    <w:p>
      <w:pPr>
        <w:spacing w:after="180" w:line="360"/>
      </w:pPr>
      <w:r>
        <w:rPr>
          <w:rFonts w:ascii="Cambria" w:cs="Cambria" w:eastAsia="Cambria" w:hAnsi="Cambria"/>
          <w:sz w:val="24"/>
          <w:szCs w:val="24"/>
        </w:rPr>
        <w:t xml:space="preserve">The question we ended up with came from elsewhere. Discourse-analytic work on curriculum policy has long held that policy texts do not merely describe students but make positions available to them: identity resources that a reader may take up, be assigned, or fail to fit (Weedon, 1997; Søreide, 2007). Hilt, Riese and Søreide (2018) used this to show how a Norwegian reform document assembled an ideal student who was creative, responsible and above all self-regulated, and then asked the question that gives such analysis its point: who will not be recognised as an ideal student here? Şen (2020), analysing Turkish education reform discourse, tracked the shifting use of </w:t>
      </w:r>
      <w:r>
        <w:rPr>
          <w:rFonts w:ascii="Cambria" w:cs="Cambria" w:eastAsia="Cambria" w:hAnsi="Cambria"/>
          <w:i/>
          <w:iCs/>
          <w:sz w:val="24"/>
          <w:szCs w:val="24"/>
        </w:rPr>
        <w:t xml:space="preserve">we</w:t>
      </w:r>
      <w:r>
        <w:rPr>
          <w:rFonts w:ascii="Cambria" w:cs="Cambria" w:eastAsia="Cambria" w:hAnsi="Cambria"/>
          <w:sz w:val="24"/>
          <w:szCs w:val="24"/>
        </w:rPr>
        <w:t xml:space="preserve"> and </w:t>
      </w:r>
      <w:r>
        <w:rPr>
          <w:rFonts w:ascii="Cambria" w:cs="Cambria" w:eastAsia="Cambria" w:hAnsi="Cambria"/>
          <w:i/>
          <w:iCs/>
          <w:sz w:val="24"/>
          <w:szCs w:val="24"/>
        </w:rPr>
        <w:t xml:space="preserve">our</w:t>
      </w:r>
      <w:r>
        <w:rPr>
          <w:rFonts w:ascii="Cambria" w:cs="Cambria" w:eastAsia="Cambria" w:hAnsi="Cambria"/>
          <w:sz w:val="24"/>
          <w:szCs w:val="24"/>
        </w:rPr>
        <w:t xml:space="preserve"> to establish how the text placed itself in relation to those it addressed.</w:t>
      </w:r>
    </w:p>
    <w:p>
      <w:pPr>
        <w:spacing w:after="180" w:line="360"/>
      </w:pPr>
      <w:r>
        <w:rPr>
          <w:rFonts w:ascii="Cambria" w:cs="Cambria" w:eastAsia="Cambria" w:hAnsi="Cambria"/>
          <w:sz w:val="24"/>
          <w:szCs w:val="24"/>
        </w:rPr>
        <w:t xml:space="preserve">Read that way, the two profiles stop looking alike almost immediately. So the questions we pursue are these:</w:t>
      </w:r>
    </w:p>
    <w:p>
      <w:pPr>
        <w:spacing w:after="180" w:line="360"/>
      </w:pPr>
      <w:r>
        <w:rPr>
          <w:rFonts w:ascii="Cambria" w:cs="Cambria" w:eastAsia="Cambria" w:hAnsi="Cambria"/>
          <w:sz w:val="24"/>
          <w:szCs w:val="24"/>
        </w:rPr>
        <w:t xml:space="preserve">What position does each profile make available to the student? How is that position produced in the text? And who could not take it up?</w:t>
      </w:r>
    </w:p>
    <w:p>
      <w:pPr>
        <w:spacing w:after="180" w:line="360"/>
      </w:pPr>
      <w:r>
        <w:rPr>
          <w:rFonts w:ascii="Cambria" w:cs="Cambria" w:eastAsia="Cambria" w:hAnsi="Cambria"/>
          <w:sz w:val="24"/>
          <w:szCs w:val="24"/>
        </w:rPr>
        <w:t xml:space="preserve">We answer them by reading both documents closely in their original languages, attending to how each addresses its reader, whether it names the collective the student is answerable to, and what conditions it attaches to the freedoms it grants. Section 2 sets out the two documents and the very different situations they were written in, including the Turkish reform context, which is not well known outside Türkiye and which bears directly on how the Maarif Model reads. Section 3 describes our approach. Section 4 reports what we found. Section 5 considers what follows for how learner profiles are read and written.</w:t>
      </w:r>
    </w:p>
    <w:p>
      <w:r>
        <w:br w:type="page"/>
      </w:r>
    </w:p>
    <w:p>
      <w:pPr>
        <w:pStyle w:val="Heading1"/>
        <w:spacing w:after="160" w:before="400" w:line="300"/>
      </w:pPr>
      <w:r>
        <w:rPr>
          <w:rFonts w:ascii="Cambria" w:cs="Cambria" w:eastAsia="Cambria" w:hAnsi="Cambria"/>
          <w:b/>
          <w:bCs/>
          <w:color w:val="000000"/>
          <w:sz w:val="32"/>
          <w:szCs w:val="32"/>
        </w:rPr>
        <w:t xml:space="preserve">2. Two profiles, two situations</w:t>
      </w:r>
    </w:p>
    <w:p>
      <w:pPr>
        <w:spacing w:after="180" w:line="360"/>
      </w:pPr>
      <w:r>
        <w:rPr>
          <w:rFonts w:ascii="Cambria" w:cs="Cambria" w:eastAsia="Cambria" w:hAnsi="Cambria"/>
          <w:sz w:val="24"/>
          <w:szCs w:val="24"/>
        </w:rPr>
        <w:t xml:space="preserve">Learner profiles are written by institutions with problems to solve, and the problems are not the same. Before comparing the texts it is worth setting out what each was written to do.</w:t>
      </w:r>
    </w:p>
    <w:p>
      <w:pPr>
        <w:pStyle w:val="Heading2"/>
        <w:spacing w:after="160" w:before="320" w:line="300"/>
      </w:pPr>
      <w:r>
        <w:rPr>
          <w:rFonts w:ascii="Cambria" w:cs="Cambria" w:eastAsia="Cambria" w:hAnsi="Cambria"/>
          <w:b/>
          <w:bCs/>
          <w:color w:val="000000"/>
          <w:sz w:val="27"/>
          <w:szCs w:val="27"/>
        </w:rPr>
        <w:t xml:space="preserve">2.1 A profile that has to travel</w:t>
      </w:r>
    </w:p>
    <w:p>
      <w:pPr>
        <w:spacing w:after="180" w:line="360"/>
      </w:pPr>
      <w:r>
        <w:rPr>
          <w:rFonts w:ascii="Cambria" w:cs="Cambria" w:eastAsia="Cambria" w:hAnsi="Cambria"/>
          <w:sz w:val="24"/>
          <w:szCs w:val="24"/>
        </w:rPr>
        <w:t xml:space="preserve">The IB learner profile serves schools that have almost nothing else in common. They sit in different countries under different ministries, teach different populations in different languages, and answer to different regulators. What they share is the IB, and the profile is a large part of what the sharing consists of: Wells (2011) describes it as the thread running through the four programmes and tying them together.</w:t>
      </w:r>
    </w:p>
    <w:p>
      <w:pPr>
        <w:spacing w:after="180" w:line="360"/>
      </w:pPr>
      <w:r>
        <w:rPr>
          <w:rFonts w:ascii="Cambria" w:cs="Cambria" w:eastAsia="Cambria" w:hAnsi="Cambria"/>
          <w:sz w:val="24"/>
          <w:szCs w:val="24"/>
        </w:rPr>
        <w:t xml:space="preserve">A document in that position cannot be very specific. Whatever it says has to be sayable in Jakarta and Geneva and Nairobi, and has to survive being read by teachers whose own formation was national. Generality is not a failure of nerve here; it is the condition of the profile working at all.</w:t>
      </w:r>
    </w:p>
    <w:p>
      <w:pPr>
        <w:spacing w:after="180" w:line="360"/>
      </w:pPr>
      <w:r>
        <w:rPr>
          <w:rFonts w:ascii="Cambria" w:cs="Cambria" w:eastAsia="Cambria" w:hAnsi="Cambria"/>
          <w:sz w:val="24"/>
          <w:szCs w:val="24"/>
        </w:rPr>
        <w:t xml:space="preserve">It is also, on the evidence, expensive. Tocci, Ryan and Ensminger (2021) followed IB humanities teachers across a single school district and found them confident that they were teaching the profile and implementing it in materially different ways, with the variation traceable to the breadth of the concept underneath. Metlí and Lane (2020) report the same instability in international-mindedness itself, the construct the profile exists to express, which after decades of use still resists a settled definition. Wells (2011), examining the profile directly, noted that it asserts values at length while saying almost nothing about how values are acquired — a gap that matters more, not less, when the document is the main thing holding a federation together.</w:t>
      </w:r>
    </w:p>
    <w:p>
      <w:pPr>
        <w:spacing w:after="180" w:line="360"/>
      </w:pPr>
      <w:r>
        <w:rPr>
          <w:rFonts w:ascii="Cambria" w:cs="Cambria" w:eastAsia="Cambria" w:hAnsi="Cambria"/>
          <w:sz w:val="24"/>
          <w:szCs w:val="24"/>
        </w:rPr>
        <w:t xml:space="preserve">The critical literature has read this institutionally rather than pedagogically. Bunnell (2010) analyses the IB as a system serving a mobile and comparatively privileged constituency, and Resnik (2012) situates it within a sociology of international education in which such systems supply credentials that cross borders. Hill (2012) supplies the longer view, tracing international-mindedness back through the nineteenth and twentieth centuries. None of this treats the profile as a neutral statement of educational good, and neither do we.</w:t>
      </w:r>
    </w:p>
    <w:p>
      <w:pPr>
        <w:pStyle w:val="Heading2"/>
        <w:spacing w:after="160" w:before="320" w:line="300"/>
      </w:pPr>
      <w:r>
        <w:rPr>
          <w:rFonts w:ascii="Cambria" w:cs="Cambria" w:eastAsia="Cambria" w:hAnsi="Cambria"/>
          <w:b/>
          <w:bCs/>
          <w:color w:val="000000"/>
          <w:sz w:val="27"/>
          <w:szCs w:val="27"/>
        </w:rPr>
        <w:t xml:space="preserve">2.2 A profile that has to settle something</w:t>
      </w:r>
    </w:p>
    <w:p>
      <w:pPr>
        <w:spacing w:after="180" w:line="360"/>
      </w:pPr>
      <w:r>
        <w:rPr>
          <w:rFonts w:ascii="Cambria" w:cs="Cambria" w:eastAsia="Cambria" w:hAnsi="Cambria"/>
          <w:sz w:val="24"/>
          <w:szCs w:val="24"/>
        </w:rPr>
        <w:t xml:space="preserve">The Maarif Model was written for a system with one ministry, one language of instruction, and a curriculum history in which the aims of schooling have been repeatedly and publicly contested.</w:t>
      </w:r>
    </w:p>
    <w:p>
      <w:pPr>
        <w:spacing w:after="180" w:line="360"/>
      </w:pPr>
      <w:r>
        <w:rPr>
          <w:rFonts w:ascii="Cambria" w:cs="Cambria" w:eastAsia="Cambria" w:hAnsi="Cambria"/>
          <w:sz w:val="24"/>
          <w:szCs w:val="24"/>
        </w:rPr>
        <w:t xml:space="preserve">Turkish curriculum policy has moved in large steps. A constructivist reform in 2005–2006 reorganised the national curriculum around student-centred learning; scholars judged it under-prepared and poorly supported, and found that classroom practice changed less than the documents did (Ersözlü, Karakuş &amp; Karakaş, 2022). Further revisions followed in 2017–2018. Across the same period the ideological register of Turkish education policy became a subject of sustained scholarly attention. Şen (2020), analysing a foundational reform report, conceptualises the governing political ideology as Islamic nationalism and argues that the report's discourse recasts citizenship education, describes Türkiye's population as homogeneous, and omits the vocabulary of democracy and human rights. Whether or not readers accept that characterisation, which is one scholar's conceptualisation, advanced in a critical tradition and contested inside Türkiye, the underlying observation is not in dispute: in Türkiye, what schools are for is an openly political question, and curriculum documents are read as answers to it.</w:t>
      </w:r>
    </w:p>
    <w:p>
      <w:pPr>
        <w:spacing w:after="180" w:line="360"/>
      </w:pPr>
      <w:r>
        <w:rPr>
          <w:rFonts w:ascii="Cambria" w:cs="Cambria" w:eastAsia="Cambria" w:hAnsi="Cambria"/>
          <w:sz w:val="24"/>
          <w:szCs w:val="24"/>
        </w:rPr>
        <w:t xml:space="preserve">The Maarif Model entered that setting. The Board of Education approved it on 23 May 2024 and it came into force on 9 September, phased in through pre-school, the first year of primary, the fifth year of middle and the ninth year of upper secondary schooling. The ministry reported consulting more than sixty-seven thousand stakeholders during its development.</w:t>
      </w:r>
    </w:p>
    <w:p>
      <w:pPr>
        <w:spacing w:after="180" w:line="360"/>
      </w:pPr>
      <w:r>
        <w:rPr>
          <w:rFonts w:ascii="Cambria" w:cs="Cambria" w:eastAsia="Cambria" w:hAnsi="Cambria"/>
          <w:sz w:val="24"/>
          <w:szCs w:val="24"/>
        </w:rPr>
        <w:t xml:space="preserve">Two features of the document announce its ambitions before any analysis begins.</w:t>
      </w:r>
    </w:p>
    <w:p>
      <w:pPr>
        <w:spacing w:after="180" w:line="360"/>
      </w:pPr>
      <w:r>
        <w:rPr>
          <w:rFonts w:ascii="Cambria" w:cs="Cambria" w:eastAsia="Cambria" w:hAnsi="Cambria"/>
          <w:sz w:val="24"/>
          <w:szCs w:val="24"/>
        </w:rPr>
        <w:t xml:space="preserve">The first is its name. Turkish has a serviceable modern word for education, </w:t>
      </w:r>
      <w:r>
        <w:rPr>
          <w:rFonts w:ascii="Cambria" w:cs="Cambria" w:eastAsia="Cambria" w:hAnsi="Cambria"/>
          <w:i/>
          <w:iCs/>
          <w:sz w:val="24"/>
          <w:szCs w:val="24"/>
        </w:rPr>
        <w:t xml:space="preserve">eğitim</w:t>
      </w:r>
      <w:r>
        <w:rPr>
          <w:rFonts w:ascii="Cambria" w:cs="Cambria" w:eastAsia="Cambria" w:hAnsi="Cambria"/>
          <w:sz w:val="24"/>
          <w:szCs w:val="24"/>
        </w:rPr>
        <w:t xml:space="preserve">, and the model does not use it in its title. </w:t>
      </w:r>
      <w:r>
        <w:rPr>
          <w:rFonts w:ascii="Cambria" w:cs="Cambria" w:eastAsia="Cambria" w:hAnsi="Cambria"/>
          <w:i/>
          <w:iCs/>
          <w:sz w:val="24"/>
          <w:szCs w:val="24"/>
        </w:rPr>
        <w:t xml:space="preserve">Maarif</w:t>
      </w:r>
      <w:r>
        <w:rPr>
          <w:rFonts w:ascii="Cambria" w:cs="Cambria" w:eastAsia="Cambria" w:hAnsi="Cambria"/>
          <w:sz w:val="24"/>
          <w:szCs w:val="24"/>
        </w:rPr>
        <w:t xml:space="preserve"> is an Ottoman-era term, from an Arabic root associated with knowing and recognition, and it carries a semantic history in which instruction, moral formation and civilisational inheritance are not separate activities. It was the name of the ministry itself until 1935 and again is not. Choosing it signals that the framework means to be understood as continuous with something, and the document says as much: its opening section is headed </w:t>
      </w:r>
      <w:r>
        <w:rPr>
          <w:rFonts w:ascii="Cambria" w:cs="Cambria" w:eastAsia="Cambria" w:hAnsi="Cambria"/>
          <w:i/>
          <w:iCs/>
          <w:sz w:val="24"/>
          <w:szCs w:val="24"/>
        </w:rPr>
        <w:t xml:space="preserve">Köklerden Geleceğe</w:t>
      </w:r>
      <w:r>
        <w:rPr>
          <w:rFonts w:ascii="Cambria" w:cs="Cambria" w:eastAsia="Cambria" w:hAnsi="Cambria"/>
          <w:sz w:val="24"/>
          <w:szCs w:val="24"/>
        </w:rPr>
        <w:t xml:space="preserve">, from the roots to the future.</w:t>
      </w:r>
    </w:p>
    <w:p>
      <w:pPr>
        <w:spacing w:after="180" w:line="360"/>
      </w:pPr>
      <w:r>
        <w:rPr>
          <w:rFonts w:ascii="Cambria" w:cs="Cambria" w:eastAsia="Cambria" w:hAnsi="Cambria"/>
          <w:sz w:val="24"/>
          <w:szCs w:val="24"/>
        </w:rPr>
        <w:t xml:space="preserve">The second is the stated end. The model does not open with skills or standards but with a person: "Türkiye Yüzyılı Maarif Modeli'nin nihai hedefi, yetkin ve erdemli insanlar yetiştirmektir" — the ultimate aim of the model is to raise competent and virtuous people. </w:t>
      </w:r>
      <w:r>
        <w:rPr>
          <w:rFonts w:ascii="Cambria" w:cs="Cambria" w:eastAsia="Cambria" w:hAnsi="Cambria"/>
          <w:i/>
          <w:iCs/>
          <w:sz w:val="24"/>
          <w:szCs w:val="24"/>
        </w:rPr>
        <w:t xml:space="preserve">Yetkinlik</w:t>
      </w:r>
      <w:r>
        <w:rPr>
          <w:rFonts w:ascii="Cambria" w:cs="Cambria" w:eastAsia="Cambria" w:hAnsi="Cambria"/>
          <w:sz w:val="24"/>
          <w:szCs w:val="24"/>
        </w:rPr>
        <w:t xml:space="preserve"> covers the knowledge and skills a field requires. </w:t>
      </w:r>
      <w:r>
        <w:rPr>
          <w:rFonts w:ascii="Cambria" w:cs="Cambria" w:eastAsia="Cambria" w:hAnsi="Cambria"/>
          <w:i/>
          <w:iCs/>
          <w:sz w:val="24"/>
          <w:szCs w:val="24"/>
        </w:rPr>
        <w:t xml:space="preserve">Erdem</w:t>
      </w:r>
      <w:r>
        <w:rPr>
          <w:rFonts w:ascii="Cambria" w:cs="Cambria" w:eastAsia="Cambria" w:hAnsi="Cambria"/>
          <w:sz w:val="24"/>
          <w:szCs w:val="24"/>
        </w:rPr>
        <w:t xml:space="preserve"> is glossed in the text as </w:t>
      </w:r>
      <w:r>
        <w:rPr>
          <w:rFonts w:ascii="Cambria" w:cs="Cambria" w:eastAsia="Cambria" w:hAnsi="Cambria"/>
          <w:i/>
          <w:iCs/>
          <w:sz w:val="24"/>
          <w:szCs w:val="24"/>
        </w:rPr>
        <w:t xml:space="preserve">ruhsal olgunluk</w:t>
      </w:r>
      <w:r>
        <w:rPr>
          <w:rFonts w:ascii="Cambria" w:cs="Cambria" w:eastAsia="Cambria" w:hAnsi="Cambria"/>
          <w:sz w:val="24"/>
          <w:szCs w:val="24"/>
        </w:rPr>
        <w:t xml:space="preserve">, spiritual or inward maturity, "başka bir ifadeyle ahlaken övülen meziyetler", in other words qualities that are morally praised. The two are presented as completing one another rather than as separate goals.</w:t>
      </w:r>
    </w:p>
    <w:p>
      <w:pPr>
        <w:spacing w:after="180" w:line="360"/>
      </w:pPr>
      <w:r>
        <w:rPr>
          <w:rFonts w:ascii="Cambria" w:cs="Cambria" w:eastAsia="Cambria" w:hAnsi="Cambria"/>
          <w:sz w:val="24"/>
          <w:szCs w:val="24"/>
        </w:rPr>
        <w:t xml:space="preserve">Underneath the profile sit four constructs that the document supplies about itself. </w:t>
      </w:r>
      <w:r>
        <w:rPr>
          <w:rFonts w:ascii="Cambria" w:cs="Cambria" w:eastAsia="Cambria" w:hAnsi="Cambria"/>
          <w:i/>
          <w:iCs/>
          <w:sz w:val="24"/>
          <w:szCs w:val="24"/>
        </w:rPr>
        <w:t xml:space="preserve">Ontolojik bütünlük</w:t>
      </w:r>
      <w:r>
        <w:rPr>
          <w:rFonts w:ascii="Cambria" w:cs="Cambria" w:eastAsia="Cambria" w:hAnsi="Cambria"/>
          <w:sz w:val="24"/>
          <w:szCs w:val="24"/>
        </w:rPr>
        <w:t xml:space="preserve"> treats the person as </w:t>
      </w:r>
      <w:r>
        <w:rPr>
          <w:rFonts w:ascii="Cambria" w:cs="Cambria" w:eastAsia="Cambria" w:hAnsi="Cambria"/>
          <w:i/>
          <w:iCs/>
          <w:sz w:val="24"/>
          <w:szCs w:val="24"/>
        </w:rPr>
        <w:t xml:space="preserve">ruh</w:t>
      </w:r>
      <w:r>
        <w:rPr>
          <w:rFonts w:ascii="Cambria" w:cs="Cambria" w:eastAsia="Cambria" w:hAnsi="Cambria"/>
          <w:sz w:val="24"/>
          <w:szCs w:val="24"/>
        </w:rPr>
        <w:t xml:space="preserve"> and </w:t>
      </w:r>
      <w:r>
        <w:rPr>
          <w:rFonts w:ascii="Cambria" w:cs="Cambria" w:eastAsia="Cambria" w:hAnsi="Cambria"/>
          <w:i/>
          <w:iCs/>
          <w:sz w:val="24"/>
          <w:szCs w:val="24"/>
        </w:rPr>
        <w:t xml:space="preserve">beden</w:t>
      </w:r>
      <w:r>
        <w:rPr>
          <w:rFonts w:ascii="Cambria" w:cs="Cambria" w:eastAsia="Cambria" w:hAnsi="Cambria"/>
          <w:sz w:val="24"/>
          <w:szCs w:val="24"/>
        </w:rPr>
        <w:t xml:space="preserve">, spirit and body, and defines </w:t>
      </w:r>
      <w:r>
        <w:rPr>
          <w:rFonts w:ascii="Cambria" w:cs="Cambria" w:eastAsia="Cambria" w:hAnsi="Cambria"/>
          <w:i/>
          <w:iCs/>
          <w:sz w:val="24"/>
          <w:szCs w:val="24"/>
        </w:rPr>
        <w:t xml:space="preserve">ruh</w:t>
      </w:r>
      <w:r>
        <w:rPr>
          <w:rFonts w:ascii="Cambria" w:cs="Cambria" w:eastAsia="Cambria" w:hAnsi="Cambria"/>
          <w:sz w:val="24"/>
          <w:szCs w:val="24"/>
        </w:rPr>
        <w:t xml:space="preserve"> as the sum of intellectual, moral and emotional faculties. </w:t>
      </w:r>
      <w:r>
        <w:rPr>
          <w:rFonts w:ascii="Cambria" w:cs="Cambria" w:eastAsia="Cambria" w:hAnsi="Cambria"/>
          <w:i/>
          <w:iCs/>
          <w:sz w:val="24"/>
          <w:szCs w:val="24"/>
        </w:rPr>
        <w:t xml:space="preserve">Epistemolojik bütünlük</w:t>
      </w:r>
      <w:r>
        <w:rPr>
          <w:rFonts w:ascii="Cambria" w:cs="Cambria" w:eastAsia="Cambria" w:hAnsi="Cambria"/>
          <w:sz w:val="24"/>
          <w:szCs w:val="24"/>
        </w:rPr>
        <w:t xml:space="preserve"> runs from knowledge to </w:t>
      </w:r>
      <w:r>
        <w:rPr>
          <w:rFonts w:ascii="Cambria" w:cs="Cambria" w:eastAsia="Cambria" w:hAnsi="Cambria"/>
          <w:i/>
          <w:iCs/>
          <w:sz w:val="24"/>
          <w:szCs w:val="24"/>
        </w:rPr>
        <w:t xml:space="preserve">bilgelik</w:t>
      </w:r>
      <w:r>
        <w:rPr>
          <w:rFonts w:ascii="Cambria" w:cs="Cambria" w:eastAsia="Cambria" w:hAnsi="Cambria"/>
          <w:sz w:val="24"/>
          <w:szCs w:val="24"/>
        </w:rPr>
        <w:t xml:space="preserve">, wisdom, which arrives when "bilgi ve erdem" come together. </w:t>
      </w:r>
      <w:r>
        <w:rPr>
          <w:rFonts w:ascii="Cambria" w:cs="Cambria" w:eastAsia="Cambria" w:hAnsi="Cambria"/>
          <w:i/>
          <w:iCs/>
          <w:sz w:val="24"/>
          <w:szCs w:val="24"/>
        </w:rPr>
        <w:t xml:space="preserve">Zamansal bütünlük</w:t>
      </w:r>
      <w:r>
        <w:rPr>
          <w:rFonts w:ascii="Cambria" w:cs="Cambria" w:eastAsia="Cambria" w:hAnsi="Cambria"/>
          <w:sz w:val="24"/>
          <w:szCs w:val="24"/>
        </w:rPr>
        <w:t xml:space="preserve"> extends the learner's relevant past beyond their own biography to "milletçe sahip olunan ortak bilinç, kültür ve değerler", the shared consciousness, culture and values held as a nation. </w:t>
      </w:r>
      <w:r>
        <w:rPr>
          <w:rFonts w:ascii="Cambria" w:cs="Cambria" w:eastAsia="Cambria" w:hAnsi="Cambria"/>
          <w:i/>
          <w:iCs/>
          <w:sz w:val="24"/>
          <w:szCs w:val="24"/>
        </w:rPr>
        <w:t xml:space="preserve">Aksiyolojik olgunluk</w:t>
      </w:r>
      <w:r>
        <w:rPr>
          <w:rFonts w:ascii="Cambria" w:cs="Cambria" w:eastAsia="Cambria" w:hAnsi="Cambria"/>
          <w:sz w:val="24"/>
          <w:szCs w:val="24"/>
        </w:rPr>
        <w:t xml:space="preserve">, axiological maturity, is named as the unifying dimension and the foundation of the values framework. We return to these in Section 3, because they do analytic work for us as well as for the ministry.</w:t>
      </w:r>
    </w:p>
    <w:p>
      <w:pPr>
        <w:pStyle w:val="Heading2"/>
        <w:spacing w:after="160" w:before="320" w:line="300"/>
      </w:pPr>
      <w:r>
        <w:rPr>
          <w:rFonts w:ascii="Cambria" w:cs="Cambria" w:eastAsia="Cambria" w:hAnsi="Cambria"/>
          <w:b/>
          <w:bCs/>
          <w:color w:val="000000"/>
          <w:sz w:val="27"/>
          <w:szCs w:val="27"/>
        </w:rPr>
        <w:t xml:space="preserve">2.3 What has been written about the Maarif Model</w:t>
      </w:r>
    </w:p>
    <w:p>
      <w:pPr>
        <w:spacing w:after="180" w:line="360"/>
      </w:pPr>
      <w:r>
        <w:rPr>
          <w:rFonts w:ascii="Cambria" w:cs="Cambria" w:eastAsia="Cambria" w:hAnsi="Cambria"/>
          <w:sz w:val="24"/>
          <w:szCs w:val="24"/>
        </w:rPr>
        <w:t xml:space="preserve">Very little, in English. The framework is two years old, and the scholarship that exists is Turkish and has moved in a particular direction. Kadıoğlu Ateş (2024) places the competent and virtuous person in a lineage of moral philosophy running from the Sophists through Locke and Dewey to Kohlberg. Bayrak (2025) sets the ten characteristics against the </w:t>
      </w:r>
      <w:r>
        <w:rPr>
          <w:rFonts w:ascii="Cambria" w:cs="Cambria" w:eastAsia="Cambria" w:hAnsi="Cambria"/>
          <w:i/>
          <w:iCs/>
          <w:sz w:val="24"/>
          <w:szCs w:val="24"/>
        </w:rPr>
        <w:t xml:space="preserve">Kutadgu Bilig</w:t>
      </w:r>
      <w:r>
        <w:rPr>
          <w:rFonts w:ascii="Cambria" w:cs="Cambria" w:eastAsia="Cambria" w:hAnsi="Cambria"/>
          <w:sz w:val="24"/>
          <w:szCs w:val="24"/>
        </w:rPr>
        <w:t xml:space="preserve">, the eleventh-century Turkish work of statecraft and ethics, and finds substantial correspondence along with a clear difference: the older text counsels rulers and grounds its counsel religiously, while the Maarif Model addresses every student and frames development in contemporary terms. Karaoğulları (2026) turns the ten characteristics into a coding instrument and applies them to a children's novel.</w:t>
      </w:r>
    </w:p>
    <w:p>
      <w:pPr>
        <w:spacing w:after="180" w:line="360"/>
      </w:pPr>
      <w:r>
        <w:rPr>
          <w:rFonts w:ascii="Cambria" w:cs="Cambria" w:eastAsia="Cambria" w:hAnsi="Cambria"/>
          <w:sz w:val="24"/>
          <w:szCs w:val="24"/>
        </w:rPr>
        <w:t xml:space="preserve">These are useful studies and they share an orientation. Each establishes what the profile inherits. None sets it against a framework from outside the tradition it inherits from, and so none has had occasion to ask what the profile does to the student who reads it.</w:t>
      </w:r>
    </w:p>
    <w:p>
      <w:pPr>
        <w:spacing w:after="180" w:line="360"/>
      </w:pPr>
      <w:r>
        <w:rPr>
          <w:rFonts w:ascii="Cambria" w:cs="Cambria" w:eastAsia="Cambria" w:hAnsi="Cambria"/>
          <w:sz w:val="24"/>
          <w:szCs w:val="24"/>
        </w:rPr>
        <w:t xml:space="preserve">That is the gap this article addresses, and there is a reason to approach it carefully. Takayama, Sriprakash and Connell (2017) describe a habit in comparative and international education by which a non-Western case becomes intelligible only as a departure from an unmarked Western norm, with the analytic categories arriving already carrying the verdict. Coding the Maarif Model through the IB profile's vocabulary would do exactly that. Manzon (2011) puts the methodological version of the point: units of comparison in this field are constructed, and the construction is a claim to be defended rather than a preliminary to be assumed. Both warnings shaped how we proceeded.</w:t>
      </w:r>
    </w:p>
    <w:p>
      <w:r>
        <w:br w:type="page"/>
      </w:r>
    </w:p>
    <w:p>
      <w:pPr>
        <w:pStyle w:val="Heading1"/>
        <w:spacing w:after="160" w:before="400" w:line="300"/>
      </w:pPr>
      <w:r>
        <w:rPr>
          <w:rFonts w:ascii="Cambria" w:cs="Cambria" w:eastAsia="Cambria" w:hAnsi="Cambria"/>
          <w:b/>
          <w:bCs/>
          <w:color w:val="000000"/>
          <w:sz w:val="32"/>
          <w:szCs w:val="32"/>
        </w:rPr>
        <w:t xml:space="preserve">3. Approach</w:t>
      </w:r>
    </w:p>
    <w:p>
      <w:pPr>
        <w:spacing w:after="180" w:line="360"/>
      </w:pPr>
      <w:r>
        <w:rPr>
          <w:rFonts w:ascii="Cambria" w:cs="Cambria" w:eastAsia="Cambria" w:hAnsi="Cambria"/>
          <w:sz w:val="24"/>
          <w:szCs w:val="24"/>
        </w:rPr>
        <w:t xml:space="preserve">We read four documents. The core texts are the section of the Maarif Model's </w:t>
      </w:r>
      <w:r>
        <w:rPr>
          <w:rFonts w:ascii="Cambria" w:cs="Cambria" w:eastAsia="Cambria" w:hAnsi="Cambria"/>
          <w:i/>
          <w:iCs/>
          <w:sz w:val="24"/>
          <w:szCs w:val="24"/>
        </w:rPr>
        <w:t xml:space="preserve">Öğretim Programları Ortak Metni</w:t>
      </w:r>
      <w:r>
        <w:rPr>
          <w:rFonts w:ascii="Cambria" w:cs="Cambria" w:eastAsia="Cambria" w:hAnsi="Cambria"/>
          <w:sz w:val="24"/>
          <w:szCs w:val="24"/>
        </w:rPr>
        <w:t xml:space="preserve"> (MEB, 2025) headed </w:t>
      </w:r>
      <w:r>
        <w:rPr>
          <w:rFonts w:ascii="Cambria" w:cs="Cambria" w:eastAsia="Cambria" w:hAnsi="Cambria"/>
          <w:i/>
          <w:iCs/>
          <w:sz w:val="24"/>
          <w:szCs w:val="24"/>
        </w:rPr>
        <w:t xml:space="preserve">Öğrenci Profili: Yetkin ve Erdemli İnsan</w:t>
      </w:r>
      <w:r>
        <w:rPr>
          <w:rFonts w:ascii="Cambria" w:cs="Cambria" w:eastAsia="Cambria" w:hAnsi="Cambria"/>
          <w:sz w:val="24"/>
          <w:szCs w:val="24"/>
        </w:rPr>
        <w:t xml:space="preserve">, and the IB learner profile (IBO, 2017). Around each we read a contextual text: the model's Erdem-Değer-Eylem tables, which set out its values framework, and </w:t>
      </w:r>
      <w:r>
        <w:rPr>
          <w:rFonts w:ascii="Cambria" w:cs="Cambria" w:eastAsia="Cambria" w:hAnsi="Cambria"/>
          <w:i/>
          <w:iCs/>
          <w:sz w:val="24"/>
          <w:szCs w:val="24"/>
        </w:rPr>
        <w:t xml:space="preserve">What is an IB education?</w:t>
      </w:r>
      <w:r>
        <w:rPr>
          <w:rFonts w:ascii="Cambria" w:cs="Cambria" w:eastAsia="Cambria" w:hAnsi="Cambria"/>
          <w:sz w:val="24"/>
          <w:szCs w:val="24"/>
        </w:rPr>
        <w:t xml:space="preserve">, which states the reasoning behind the attributes. The contextual texts informed our reading and supplied corroboration; the coded material came from the two core texts.</w:t>
      </w:r>
    </w:p>
    <w:p>
      <w:pPr>
        <w:spacing w:after="180" w:line="360"/>
      </w:pPr>
      <w:r>
        <w:rPr>
          <w:rFonts w:ascii="Cambria" w:cs="Cambria" w:eastAsia="Cambria" w:hAnsi="Cambria"/>
          <w:sz w:val="24"/>
          <w:szCs w:val="24"/>
        </w:rPr>
        <w:t xml:space="preserve">The Maarif Model has appeared in more than one edition since its approval. We analyse the 2025 edition and page references are to it. The IB profile has been revised repeatedly since the 1990s; we analyse the 2017 version, and where its wording departs from earlier versions in ways that bear on the analysis we treat the change as evidence rather than as noise.</w:t>
      </w:r>
    </w:p>
    <w:p>
      <w:pPr>
        <w:spacing w:after="180" w:line="360"/>
      </w:pPr>
      <w:r>
        <w:rPr>
          <w:rFonts w:ascii="Cambria" w:cs="Cambria" w:eastAsia="Cambria" w:hAnsi="Cambria"/>
          <w:sz w:val="24"/>
          <w:szCs w:val="24"/>
        </w:rPr>
        <w:t xml:space="preserve">What makes the two texts comparable is not their institutional weight, which is not comparable at all. It is that both belong to the same small genre and take the same form: a list of exactly ten named qualities, each elaborated in a short passage, presented as the point of everything else in the curriculum. That formal correspondence is our basis for setting them side by side, and it licenses comparison of structural position rather than the inference that a Turkish characteristic and an IB attribute do equivalent work.</w:t>
      </w:r>
    </w:p>
    <w:p>
      <w:pPr>
        <w:spacing w:after="180" w:line="360"/>
      </w:pPr>
      <w:r>
        <w:rPr>
          <w:rFonts w:ascii="Cambria" w:cs="Cambria" w:eastAsia="Cambria" w:hAnsi="Cambria"/>
          <w:sz w:val="24"/>
          <w:szCs w:val="24"/>
        </w:rPr>
        <w:t xml:space="preserve">Our reading was guided by the idea that policy texts make positions available. A document of this kind does not only describe a student; it offers a place from which a student can be recognised, and it does so through the ordinary machinery of language: who is addressed, who is spoken about, what is named, what is left general, what is granted and under what conditions (Weedon, 1997; Søreide, 2007; Hilt et al., 2018). This is why our findings turn on features that a thematic comparison would pass over. Şen's (2020) analysis of Turkish reform discourse proceeds similarly, tracking pronoun use to establish how a text situates itself in relation to those it speaks to.</w:t>
      </w:r>
    </w:p>
    <w:p>
      <w:pPr>
        <w:spacing w:after="180" w:line="360"/>
      </w:pPr>
      <w:r>
        <w:rPr>
          <w:rFonts w:ascii="Cambria" w:cs="Cambria" w:eastAsia="Cambria" w:hAnsi="Cambria"/>
          <w:sz w:val="24"/>
          <w:szCs w:val="24"/>
        </w:rPr>
        <w:t xml:space="preserve">We began with the Maarif Model's own vocabulary rather than with categories imported from elsewhere. Its four constructs of ontological, epistemological and temporal wholeness and axiological maturity organised the first reading of both texts. Applying a Turkish framework to an English document is not a neutral procedure and we do not present it as one; it makes some things visible and others less so. We chose it because the alternative, reading the Turkish text through the IB's categories, would have built the conclusion into the design in the way Takayama, Sriprakash and Connell (2017) describe.</w:t>
      </w:r>
    </w:p>
    <w:p>
      <w:pPr>
        <w:spacing w:after="180" w:line="360"/>
      </w:pPr>
      <w:r>
        <w:rPr>
          <w:rFonts w:ascii="Cambria" w:cs="Cambria" w:eastAsia="Cambria" w:hAnsi="Cambria"/>
          <w:sz w:val="24"/>
          <w:szCs w:val="24"/>
        </w:rPr>
        <w:t xml:space="preserve">A second reading was open. We re-read each quality and its elaboration for whatever the first reading had not caught, and what emerged was mostly grammatical: the person of the verbs, whether a collective was named or left indefinite, what kind of clause followed a grant of freedom. These became the categories reported in Section 4. We then arrayed the twenty qualities against them and read in both directions, down each profile to see how a feature distributed within it and across the pair to see where the two met, diverged, or had nothing to say to one another. Empty cells were treated as findings. In a document of this length, what is left out has been left out.</w:t>
      </w:r>
    </w:p>
    <w:p>
      <w:pPr>
        <w:spacing w:after="180" w:line="360"/>
      </w:pPr>
      <w:r>
        <w:rPr>
          <w:rFonts w:ascii="Cambria" w:cs="Cambria" w:eastAsia="Cambria" w:hAnsi="Cambria"/>
          <w:sz w:val="24"/>
          <w:szCs w:val="24"/>
        </w:rPr>
        <w:t xml:space="preserve">Because the core texts are in different languages, translation was a site of risk rather than a preliminary chore. All analysis of the Turkish text was done on the Turkish. Turkish terms stayed in Turkish in our working notes and English glosses were attached only for reporting. Several terms (</w:t>
      </w:r>
      <w:r>
        <w:rPr>
          <w:rFonts w:ascii="Cambria" w:cs="Cambria" w:eastAsia="Cambria" w:hAnsi="Cambria"/>
          <w:i/>
          <w:iCs/>
          <w:sz w:val="24"/>
          <w:szCs w:val="24"/>
        </w:rPr>
        <w:t xml:space="preserve">erdem</w:t>
      </w:r>
      <w:r>
        <w:rPr>
          <w:rFonts w:ascii="Cambria" w:cs="Cambria" w:eastAsia="Cambria" w:hAnsi="Cambria"/>
          <w:sz w:val="24"/>
          <w:szCs w:val="24"/>
        </w:rPr>
        <w:t xml:space="preserve">, </w:t>
      </w:r>
      <w:r>
        <w:rPr>
          <w:rFonts w:ascii="Cambria" w:cs="Cambria" w:eastAsia="Cambria" w:hAnsi="Cambria"/>
          <w:i/>
          <w:iCs/>
          <w:sz w:val="24"/>
          <w:szCs w:val="24"/>
        </w:rPr>
        <w:t xml:space="preserve">maarif</w:t>
      </w:r>
      <w:r>
        <w:rPr>
          <w:rFonts w:ascii="Cambria" w:cs="Cambria" w:eastAsia="Cambria" w:hAnsi="Cambria"/>
          <w:sz w:val="24"/>
          <w:szCs w:val="24"/>
        </w:rPr>
        <w:t xml:space="preserve">, </w:t>
      </w:r>
      <w:r>
        <w:rPr>
          <w:rFonts w:ascii="Cambria" w:cs="Cambria" w:eastAsia="Cambria" w:hAnsi="Cambria"/>
          <w:i/>
          <w:iCs/>
          <w:sz w:val="24"/>
          <w:szCs w:val="24"/>
        </w:rPr>
        <w:t xml:space="preserve">yetkinlik</w:t>
      </w:r>
      <w:r>
        <w:rPr>
          <w:rFonts w:ascii="Cambria" w:cs="Cambria" w:eastAsia="Cambria" w:hAnsi="Cambria"/>
          <w:sz w:val="24"/>
          <w:szCs w:val="24"/>
        </w:rPr>
        <w:t xml:space="preserve">, </w:t>
      </w:r>
      <w:r>
        <w:rPr>
          <w:rFonts w:ascii="Cambria" w:cs="Cambria" w:eastAsia="Cambria" w:hAnsi="Cambria"/>
          <w:i/>
          <w:iCs/>
          <w:sz w:val="24"/>
          <w:szCs w:val="24"/>
        </w:rPr>
        <w:t xml:space="preserve">irade</w:t>
      </w:r>
      <w:r>
        <w:rPr>
          <w:rFonts w:ascii="Cambria" w:cs="Cambria" w:eastAsia="Cambria" w:hAnsi="Cambria"/>
          <w:sz w:val="24"/>
          <w:szCs w:val="24"/>
        </w:rPr>
        <w:t xml:space="preserve">) have no single English equivalent, and we give an extended gloss at first use and keep the Turkish thereafter. Every passage quoted in Section 4 was independently back-translated by a bilingual colleague not otherwise involved, and discrepancies were reconciled before the gloss was fixed. Both texts were coded independently by a second reader fluent in Turkish and English; agreement on the initial categories was [κ = __], and disagreements were resolved in discussion, with categories revised where discussion showed them to be ambiguous rather than misapplied.</w:t>
      </w:r>
    </w:p>
    <w:p>
      <w:pPr>
        <w:spacing w:after="180" w:line="360"/>
      </w:pPr>
      <w:r>
        <w:rPr>
          <w:rFonts w:ascii="Cambria" w:cs="Cambria" w:eastAsia="Cambria" w:hAnsi="Cambria"/>
          <w:sz w:val="24"/>
          <w:szCs w:val="24"/>
        </w:rPr>
        <w:t xml:space="preserve">One of us was educated and works within the Turkish system. That gives access to a semantic field that is not recoverable from a dictionary: what </w:t>
      </w:r>
      <w:r>
        <w:rPr>
          <w:rFonts w:ascii="Cambria" w:cs="Cambria" w:eastAsia="Cambria" w:hAnsi="Cambria"/>
          <w:i/>
          <w:iCs/>
          <w:sz w:val="24"/>
          <w:szCs w:val="24"/>
        </w:rPr>
        <w:t xml:space="preserve">maarif</w:t>
      </w:r>
      <w:r>
        <w:rPr>
          <w:rFonts w:ascii="Cambria" w:cs="Cambria" w:eastAsia="Cambria" w:hAnsi="Cambria"/>
          <w:sz w:val="24"/>
          <w:szCs w:val="24"/>
        </w:rPr>
        <w:t xml:space="preserve"> carries which </w:t>
      </w:r>
      <w:r>
        <w:rPr>
          <w:rFonts w:ascii="Cambria" w:cs="Cambria" w:eastAsia="Cambria" w:hAnsi="Cambria"/>
          <w:i/>
          <w:iCs/>
          <w:sz w:val="24"/>
          <w:szCs w:val="24"/>
        </w:rPr>
        <w:t xml:space="preserve">eğitim</w:t>
      </w:r>
      <w:r>
        <w:rPr>
          <w:rFonts w:ascii="Cambria" w:cs="Cambria" w:eastAsia="Cambria" w:hAnsi="Cambria"/>
          <w:sz w:val="24"/>
          <w:szCs w:val="24"/>
        </w:rPr>
        <w:t xml:space="preserve"> does not, what </w:t>
      </w:r>
      <w:r>
        <w:rPr>
          <w:rFonts w:ascii="Cambria" w:cs="Cambria" w:eastAsia="Cambria" w:hAnsi="Cambria"/>
          <w:i/>
          <w:iCs/>
          <w:sz w:val="24"/>
          <w:szCs w:val="24"/>
        </w:rPr>
        <w:t xml:space="preserve">erdem</w:t>
      </w:r>
      <w:r>
        <w:rPr>
          <w:rFonts w:ascii="Cambria" w:cs="Cambria" w:eastAsia="Cambria" w:hAnsi="Cambria"/>
          <w:sz w:val="24"/>
          <w:szCs w:val="24"/>
        </w:rPr>
        <w:t xml:space="preserve"> asks of a person. It also carries an obvious risk of reading one text generously and the other as the unmarked case. Our second reader was asked specifically to flag passages where the IB profile was being handled more thinly than the Maarif Model, and those passages were rewritten.</w:t>
      </w:r>
    </w:p>
    <w:p>
      <w:pPr>
        <w:spacing w:after="180" w:line="360"/>
      </w:pPr>
      <w:r>
        <w:rPr>
          <w:rFonts w:ascii="Cambria" w:cs="Cambria" w:eastAsia="Cambria" w:hAnsi="Cambria"/>
          <w:sz w:val="24"/>
          <w:szCs w:val="24"/>
        </w:rPr>
        <w:t xml:space="preserve">The study analyses documents. It has nothing to say about Turkish or IB classrooms, and no claim below should be read as evidence about teaching or learning under either framework. What a curriculum states and what schools do are different objects, and only the first is in view here.</w:t>
      </w:r>
    </w:p>
    <w:p>
      <w:r>
        <w:br w:type="page"/>
      </w:r>
    </w:p>
    <w:p>
      <w:pPr>
        <w:pStyle w:val="Heading1"/>
        <w:spacing w:after="160" w:before="400" w:line="300"/>
      </w:pPr>
      <w:r>
        <w:rPr>
          <w:rFonts w:ascii="Cambria" w:cs="Cambria" w:eastAsia="Cambria" w:hAnsi="Cambria"/>
          <w:b/>
          <w:bCs/>
          <w:color w:val="000000"/>
          <w:sz w:val="32"/>
          <w:szCs w:val="32"/>
        </w:rPr>
        <w:t xml:space="preserve">4. Findings</w:t>
      </w:r>
    </w:p>
    <w:p>
      <w:pPr>
        <w:pStyle w:val="Heading2"/>
        <w:spacing w:after="160" w:before="320" w:line="300"/>
      </w:pPr>
      <w:r>
        <w:rPr>
          <w:rFonts w:ascii="Cambria" w:cs="Cambria" w:eastAsia="Cambria" w:hAnsi="Cambria"/>
          <w:b/>
          <w:bCs/>
          <w:color w:val="000000"/>
          <w:sz w:val="27"/>
          <w:szCs w:val="27"/>
        </w:rPr>
        <w:t xml:space="preserve">4.1 The described and the addressed</w:t>
      </w:r>
    </w:p>
    <w:p>
      <w:pPr>
        <w:spacing w:after="180" w:line="360"/>
      </w:pPr>
      <w:r>
        <w:rPr>
          <w:rFonts w:ascii="Cambria" w:cs="Cambria" w:eastAsia="Cambria" w:hAnsi="Cambria"/>
          <w:sz w:val="24"/>
          <w:szCs w:val="24"/>
        </w:rPr>
        <w:t xml:space="preserve">Read the two profiles aloud and the difference arrives before any of the content does.</w:t>
      </w:r>
    </w:p>
    <w:p>
      <w:pPr>
        <w:spacing w:after="180" w:line="360"/>
      </w:pPr>
      <w:r>
        <w:rPr>
          <w:rFonts w:ascii="Cambria" w:cs="Cambria" w:eastAsia="Cambria" w:hAnsi="Cambria"/>
          <w:sz w:val="24"/>
          <w:szCs w:val="24"/>
        </w:rPr>
        <w:t xml:space="preserve">Here is the IB on what it wants:</w:t>
      </w:r>
    </w:p>
    <w:p>
      <w:pPr>
        <w:spacing w:after="200" w:line="300"/>
        <w:ind w:left="480"/>
      </w:pPr>
      <w:r>
        <w:rPr>
          <w:rFonts w:ascii="Cambria" w:cs="Cambria" w:eastAsia="Cambria" w:hAnsi="Cambria"/>
          <w:b/>
          <w:bCs/>
          <w:i/>
          <w:iCs/>
          <w:sz w:val="24"/>
          <w:szCs w:val="24"/>
        </w:rPr>
        <w:t xml:space="preserve">Inquirers.</w:t>
      </w:r>
      <w:r>
        <w:rPr>
          <w:rFonts w:ascii="Cambria" w:cs="Cambria" w:eastAsia="Cambria" w:hAnsi="Cambria"/>
          <w:i/>
          <w:iCs/>
          <w:sz w:val="24"/>
          <w:szCs w:val="24"/>
        </w:rPr>
        <w:t xml:space="preserve"> We nurture our curiosity, developing skills for inquiry and research. We know how to learn independently and with others. We learn with enthusiasm and sustain our love of learning throughout life.  </w:t>
      </w:r>
      <w:r>
        <w:rPr>
          <w:rFonts w:ascii="Cambria" w:cs="Cambria" w:eastAsia="Cambria" w:hAnsi="Cambria"/>
          <w:b/>
          <w:bCs/>
          <w:i/>
          <w:iCs/>
          <w:sz w:val="24"/>
          <w:szCs w:val="24"/>
        </w:rPr>
        <w:t xml:space="preserve">Principled.</w:t>
      </w:r>
      <w:r>
        <w:rPr>
          <w:rFonts w:ascii="Cambria" w:cs="Cambria" w:eastAsia="Cambria" w:hAnsi="Cambria"/>
          <w:i/>
          <w:iCs/>
          <w:sz w:val="24"/>
          <w:szCs w:val="24"/>
        </w:rPr>
        <w:t xml:space="preserve"> We act with integrity and honesty, with a strong sense of fairness and justice, and with respect for the dignity and rights of people everywhere. We take responsibility for our actions and their consequences.</w:t>
      </w:r>
    </w:p>
    <w:p>
      <w:pPr>
        <w:spacing w:after="180" w:line="360"/>
      </w:pPr>
      <w:r>
        <w:rPr>
          <w:rFonts w:ascii="Cambria" w:cs="Cambria" w:eastAsia="Cambria" w:hAnsi="Cambria"/>
          <w:sz w:val="24"/>
          <w:szCs w:val="24"/>
        </w:rPr>
        <w:t xml:space="preserve">And here is the Maarif Model:</w:t>
      </w:r>
    </w:p>
    <w:p>
      <w:pPr>
        <w:spacing w:after="200" w:line="300"/>
        <w:ind w:left="480"/>
      </w:pPr>
      <w:r>
        <w:rPr>
          <w:rFonts w:ascii="Cambria" w:cs="Cambria" w:eastAsia="Cambria" w:hAnsi="Cambria"/>
          <w:b/>
          <w:bCs/>
          <w:i/>
          <w:iCs/>
          <w:sz w:val="24"/>
          <w:szCs w:val="24"/>
        </w:rPr>
        <w:t xml:space="preserve">Adil.</w:t>
      </w:r>
      <w:r>
        <w:rPr>
          <w:rFonts w:ascii="Cambria" w:cs="Cambria" w:eastAsia="Cambria" w:hAnsi="Cambria"/>
          <w:i/>
          <w:iCs/>
          <w:sz w:val="24"/>
          <w:szCs w:val="24"/>
        </w:rPr>
        <w:t xml:space="preserve"> Herkesin eşit haklara sahip olduğuna inanır ve adaleti benimser. </w:t>
      </w:r>
      <w:r>
        <w:rPr>
          <w:rFonts w:ascii="Cambria" w:cs="Cambria" w:eastAsia="Cambria" w:hAnsi="Cambria"/>
          <w:i/>
          <w:iCs/>
          <w:sz w:val="24"/>
          <w:szCs w:val="24"/>
        </w:rPr>
        <w:t xml:space="preserve">(Just. Believes that everyone has equal rights and embraces justice.)</w:t>
      </w:r>
      <w:r>
        <w:rPr>
          <w:rFonts w:ascii="Cambria" w:cs="Cambria" w:eastAsia="Cambria" w:hAnsi="Cambria"/>
          <w:i/>
          <w:iCs/>
          <w:sz w:val="24"/>
          <w:szCs w:val="24"/>
        </w:rPr>
        <w:t xml:space="preserve">  </w:t>
      </w:r>
      <w:r>
        <w:rPr>
          <w:rFonts w:ascii="Cambria" w:cs="Cambria" w:eastAsia="Cambria" w:hAnsi="Cambria"/>
          <w:b/>
          <w:bCs/>
          <w:i/>
          <w:iCs/>
          <w:sz w:val="24"/>
          <w:szCs w:val="24"/>
        </w:rPr>
        <w:t xml:space="preserve">Güvenilir.</w:t>
      </w:r>
      <w:r>
        <w:rPr>
          <w:rFonts w:ascii="Cambria" w:cs="Cambria" w:eastAsia="Cambria" w:hAnsi="Cambria"/>
          <w:i/>
          <w:iCs/>
          <w:sz w:val="24"/>
          <w:szCs w:val="24"/>
        </w:rPr>
        <w:t xml:space="preserve"> Verdiği sözleri tutar, başkaları tarafından güvenilir biri olarak kabul edilir. </w:t>
      </w:r>
      <w:r>
        <w:rPr>
          <w:rFonts w:ascii="Cambria" w:cs="Cambria" w:eastAsia="Cambria" w:hAnsi="Cambria"/>
          <w:i/>
          <w:iCs/>
          <w:sz w:val="24"/>
          <w:szCs w:val="24"/>
        </w:rPr>
        <w:t xml:space="preserve">(Trustworthy. Keeps the promises they make; is accepted by others as someone who can be trusted.)</w:t>
      </w:r>
    </w:p>
    <w:p>
      <w:pPr>
        <w:spacing w:after="180" w:line="360"/>
      </w:pPr>
      <w:r>
        <w:rPr>
          <w:rFonts w:ascii="Cambria" w:cs="Cambria" w:eastAsia="Cambria" w:hAnsi="Cambria"/>
          <w:sz w:val="24"/>
          <w:szCs w:val="24"/>
        </w:rPr>
        <w:t xml:space="preserve">The IB says </w:t>
      </w:r>
      <w:r>
        <w:rPr>
          <w:rFonts w:ascii="Cambria" w:cs="Cambria" w:eastAsia="Cambria" w:hAnsi="Cambria"/>
          <w:i/>
          <w:iCs/>
          <w:sz w:val="24"/>
          <w:szCs w:val="24"/>
        </w:rPr>
        <w:t xml:space="preserve">we</w:t>
      </w:r>
      <w:r>
        <w:rPr>
          <w:rFonts w:ascii="Cambria" w:cs="Cambria" w:eastAsia="Cambria" w:hAnsi="Cambria"/>
          <w:sz w:val="24"/>
          <w:szCs w:val="24"/>
        </w:rPr>
        <w:t xml:space="preserve">. It says it in every one of its ten descriptors, without exception. The Maarif Model says </w:t>
      </w:r>
      <w:r>
        <w:rPr>
          <w:rFonts w:ascii="Cambria" w:cs="Cambria" w:eastAsia="Cambria" w:hAnsi="Cambria"/>
          <w:i/>
          <w:iCs/>
          <w:sz w:val="24"/>
          <w:szCs w:val="24"/>
        </w:rPr>
        <w:t xml:space="preserve">they</w:t>
      </w:r>
      <w:r>
        <w:rPr>
          <w:rFonts w:ascii="Cambria" w:cs="Cambria" w:eastAsia="Cambria" w:hAnsi="Cambria"/>
          <w:sz w:val="24"/>
          <w:szCs w:val="24"/>
        </w:rPr>
        <w:t xml:space="preserve"> — or rather, Turkish being what it is, it says nothing at all in the subject slot and lets the verb carry it, in the aorist: </w:t>
      </w:r>
      <w:r>
        <w:rPr>
          <w:rFonts w:ascii="Cambria" w:cs="Cambria" w:eastAsia="Cambria" w:hAnsi="Cambria"/>
          <w:i/>
          <w:iCs/>
          <w:sz w:val="24"/>
          <w:szCs w:val="24"/>
        </w:rPr>
        <w:t xml:space="preserve">inanır</w:t>
      </w:r>
      <w:r>
        <w:rPr>
          <w:rFonts w:ascii="Cambria" w:cs="Cambria" w:eastAsia="Cambria" w:hAnsi="Cambria"/>
          <w:sz w:val="24"/>
          <w:szCs w:val="24"/>
        </w:rPr>
        <w:t xml:space="preserve">, </w:t>
      </w:r>
      <w:r>
        <w:rPr>
          <w:rFonts w:ascii="Cambria" w:cs="Cambria" w:eastAsia="Cambria" w:hAnsi="Cambria"/>
          <w:i/>
          <w:iCs/>
          <w:sz w:val="24"/>
          <w:szCs w:val="24"/>
        </w:rPr>
        <w:t xml:space="preserve">tutar</w:t>
      </w:r>
      <w:r>
        <w:rPr>
          <w:rFonts w:ascii="Cambria" w:cs="Cambria" w:eastAsia="Cambria" w:hAnsi="Cambria"/>
          <w:sz w:val="24"/>
          <w:szCs w:val="24"/>
        </w:rPr>
        <w:t xml:space="preserve">, </w:t>
      </w:r>
      <w:r>
        <w:rPr>
          <w:rFonts w:ascii="Cambria" w:cs="Cambria" w:eastAsia="Cambria" w:hAnsi="Cambria"/>
          <w:i/>
          <w:iCs/>
          <w:sz w:val="24"/>
          <w:szCs w:val="24"/>
        </w:rPr>
        <w:t xml:space="preserve">benimser</w:t>
      </w:r>
      <w:r>
        <w:rPr>
          <w:rFonts w:ascii="Cambria" w:cs="Cambria" w:eastAsia="Cambria" w:hAnsi="Cambria"/>
          <w:sz w:val="24"/>
          <w:szCs w:val="24"/>
        </w:rPr>
        <w:t xml:space="preserve">. Across sixty-one component definitions the person never shifts.</w:t>
      </w:r>
    </w:p>
    <w:p>
      <w:pPr>
        <w:spacing w:after="180" w:line="360"/>
      </w:pPr>
      <w:r>
        <w:rPr>
          <w:rFonts w:ascii="Cambria" w:cs="Cambria" w:eastAsia="Cambria" w:hAnsi="Cambria"/>
          <w:sz w:val="24"/>
          <w:szCs w:val="24"/>
        </w:rPr>
        <w:t xml:space="preserve">Neither choice is idiomatic default. Turkish policy prose can address a reader directly and often does; the Maarif Model's own preface speaks of </w:t>
      </w:r>
      <w:r>
        <w:rPr>
          <w:rFonts w:ascii="Cambria" w:cs="Cambria" w:eastAsia="Cambria" w:hAnsi="Cambria"/>
          <w:i/>
          <w:iCs/>
          <w:sz w:val="24"/>
          <w:szCs w:val="24"/>
        </w:rPr>
        <w:t xml:space="preserve">milletimiz</w:t>
      </w:r>
      <w:r>
        <w:rPr>
          <w:rFonts w:ascii="Cambria" w:cs="Cambria" w:eastAsia="Cambria" w:hAnsi="Cambria"/>
          <w:sz w:val="24"/>
          <w:szCs w:val="24"/>
        </w:rPr>
        <w:t xml:space="preserve">, our nation, and </w:t>
      </w:r>
      <w:r>
        <w:rPr>
          <w:rFonts w:ascii="Cambria" w:cs="Cambria" w:eastAsia="Cambria" w:hAnsi="Cambria"/>
          <w:i/>
          <w:iCs/>
          <w:sz w:val="24"/>
          <w:szCs w:val="24"/>
        </w:rPr>
        <w:t xml:space="preserve">eğitim sistemimiz</w:t>
      </w:r>
      <w:r>
        <w:rPr>
          <w:rFonts w:ascii="Cambria" w:cs="Cambria" w:eastAsia="Cambria" w:hAnsi="Cambria"/>
          <w:sz w:val="24"/>
          <w:szCs w:val="24"/>
        </w:rPr>
        <w:t xml:space="preserve">, our education system, so the first person is available to this document and is used elsewhere in it. The profile section declines it. The IB's </w:t>
      </w:r>
      <w:r>
        <w:rPr>
          <w:rFonts w:ascii="Cambria" w:cs="Cambria" w:eastAsia="Cambria" w:hAnsi="Cambria"/>
          <w:i/>
          <w:iCs/>
          <w:sz w:val="24"/>
          <w:szCs w:val="24"/>
        </w:rPr>
        <w:t xml:space="preserve">we</w:t>
      </w:r>
      <w:r>
        <w:rPr>
          <w:rFonts w:ascii="Cambria" w:cs="Cambria" w:eastAsia="Cambria" w:hAnsi="Cambria"/>
          <w:sz w:val="24"/>
          <w:szCs w:val="24"/>
        </w:rPr>
        <w:t xml:space="preserve"> is likewise a decision, and a recent one: earlier versions of the profile were written in the third person, and the shift to first person came with revision. Both texts arrived at their person on purpose.</w:t>
      </w:r>
    </w:p>
    <w:p>
      <w:pPr>
        <w:spacing w:after="180" w:line="360"/>
      </w:pPr>
      <w:r>
        <w:rPr>
          <w:rFonts w:ascii="Cambria" w:cs="Cambria" w:eastAsia="Cambria" w:hAnsi="Cambria"/>
          <w:sz w:val="24"/>
          <w:szCs w:val="24"/>
        </w:rPr>
        <w:t xml:space="preserve">What the choice does is place the student differently in relation to the text.</w:t>
      </w:r>
    </w:p>
    <w:p>
      <w:pPr>
        <w:spacing w:after="180" w:line="360"/>
      </w:pPr>
      <w:r>
        <w:rPr>
          <w:rFonts w:ascii="Cambria" w:cs="Cambria" w:eastAsia="Cambria" w:hAnsi="Cambria"/>
          <w:sz w:val="24"/>
          <w:szCs w:val="24"/>
        </w:rPr>
        <w:t xml:space="preserve">The IB's </w:t>
      </w:r>
      <w:r>
        <w:rPr>
          <w:rFonts w:ascii="Cambria" w:cs="Cambria" w:eastAsia="Cambria" w:hAnsi="Cambria"/>
          <w:i/>
          <w:iCs/>
          <w:sz w:val="24"/>
          <w:szCs w:val="24"/>
        </w:rPr>
        <w:t xml:space="preserve">we</w:t>
      </w:r>
      <w:r>
        <w:rPr>
          <w:rFonts w:ascii="Cambria" w:cs="Cambria" w:eastAsia="Cambria" w:hAnsi="Cambria"/>
          <w:sz w:val="24"/>
          <w:szCs w:val="24"/>
        </w:rPr>
        <w:t xml:space="preserve"> has no antecedent. It is not the authors, since the descriptors are plainly not about IB staff; it is not the students alone, since the document speaks on their behalf before any of them has read it. It is a collective the reader is inside by virtue of reading. This is what makes the profile feel like an invitation rather than a specification: to read </w:t>
      </w:r>
      <w:r>
        <w:rPr>
          <w:rFonts w:ascii="Cambria" w:cs="Cambria" w:eastAsia="Cambria" w:hAnsi="Cambria"/>
          <w:i/>
          <w:iCs/>
          <w:sz w:val="24"/>
          <w:szCs w:val="24"/>
        </w:rPr>
        <w:t xml:space="preserve">we nurture our curiosity</w:t>
      </w:r>
      <w:r>
        <w:rPr>
          <w:rFonts w:ascii="Cambria" w:cs="Cambria" w:eastAsia="Cambria" w:hAnsi="Cambria"/>
          <w:sz w:val="24"/>
          <w:szCs w:val="24"/>
        </w:rPr>
        <w:t xml:space="preserve"> is to have been enrolled in a curiosity that is already underway.</w:t>
      </w:r>
    </w:p>
    <w:p>
      <w:pPr>
        <w:spacing w:after="180" w:line="360"/>
      </w:pPr>
      <w:r>
        <w:rPr>
          <w:rFonts w:ascii="Cambria" w:cs="Cambria" w:eastAsia="Cambria" w:hAnsi="Cambria"/>
          <w:sz w:val="24"/>
          <w:szCs w:val="24"/>
        </w:rPr>
        <w:t xml:space="preserve">The Turkish aorist does something else, and something that English glosses flatten. It is not a simple present. It states what a person characteristically does, what can be expected of them, what follows from their being the kind of person they are. </w:t>
      </w:r>
      <w:r>
        <w:rPr>
          <w:rFonts w:ascii="Cambria" w:cs="Cambria" w:eastAsia="Cambria" w:hAnsi="Cambria"/>
          <w:i/>
          <w:iCs/>
          <w:sz w:val="24"/>
          <w:szCs w:val="24"/>
        </w:rPr>
        <w:t xml:space="preserve">Verdiği sözleri tutar</w:t>
      </w:r>
      <w:r>
        <w:rPr>
          <w:rFonts w:ascii="Cambria" w:cs="Cambria" w:eastAsia="Cambria" w:hAnsi="Cambria"/>
          <w:sz w:val="24"/>
          <w:szCs w:val="24"/>
        </w:rPr>
        <w:t xml:space="preserve"> does not report that this student is currently keeping a promise; it says that promise-keeping is what issues from them. The aorist describes a settled disposition, and to describe a disposition is to stand outside it.</w:t>
      </w:r>
    </w:p>
    <w:p>
      <w:pPr>
        <w:spacing w:after="180" w:line="360"/>
      </w:pPr>
      <w:r>
        <w:rPr>
          <w:rFonts w:ascii="Cambria" w:cs="Cambria" w:eastAsia="Cambria" w:hAnsi="Cambria"/>
          <w:sz w:val="24"/>
          <w:szCs w:val="24"/>
        </w:rPr>
        <w:t xml:space="preserve">So one text speaks from within a community and the other about a figure. The IB profile enacts membership. The Maarif Model draws a portrait.</w:t>
      </w:r>
    </w:p>
    <w:p>
      <w:pPr>
        <w:spacing w:after="180" w:line="360"/>
      </w:pPr>
      <w:r>
        <w:rPr>
          <w:rFonts w:ascii="Cambria" w:cs="Cambria" w:eastAsia="Cambria" w:hAnsi="Cambria"/>
          <w:sz w:val="24"/>
          <w:szCs w:val="24"/>
        </w:rPr>
        <w:t xml:space="preserve">We should not push this further than it goes. The named qualities themselves do not divide as neatly as the descriptors: four IB attributes are agentive nouns and six are adjectives, and among the Turkish ten, </w:t>
      </w:r>
      <w:r>
        <w:rPr>
          <w:rFonts w:ascii="Cambria" w:cs="Cambria" w:eastAsia="Cambria" w:hAnsi="Cambria"/>
          <w:i/>
          <w:iCs/>
          <w:sz w:val="24"/>
          <w:szCs w:val="24"/>
        </w:rPr>
        <w:t xml:space="preserve">sorgulayıcı</w:t>
      </w:r>
      <w:r>
        <w:rPr>
          <w:rFonts w:ascii="Cambria" w:cs="Cambria" w:eastAsia="Cambria" w:hAnsi="Cambria"/>
          <w:sz w:val="24"/>
          <w:szCs w:val="24"/>
        </w:rPr>
        <w:t xml:space="preserve"> and </w:t>
      </w:r>
      <w:r>
        <w:rPr>
          <w:rFonts w:ascii="Cambria" w:cs="Cambria" w:eastAsia="Cambria" w:hAnsi="Cambria"/>
          <w:i/>
          <w:iCs/>
          <w:sz w:val="24"/>
          <w:szCs w:val="24"/>
        </w:rPr>
        <w:t xml:space="preserve">üretken</w:t>
      </w:r>
      <w:r>
        <w:rPr>
          <w:rFonts w:ascii="Cambria" w:cs="Cambria" w:eastAsia="Cambria" w:hAnsi="Cambria"/>
          <w:sz w:val="24"/>
          <w:szCs w:val="24"/>
        </w:rPr>
        <w:t xml:space="preserve"> are agentive in form. The contrast is sharp at the level of the elaborations, where the texts do most of their work, and only partial at the level of the labels.</w:t>
      </w:r>
    </w:p>
    <w:p>
      <w:pPr>
        <w:pStyle w:val="Heading2"/>
        <w:spacing w:after="160" w:before="320" w:line="300"/>
      </w:pPr>
      <w:r>
        <w:rPr>
          <w:rFonts w:ascii="Cambria" w:cs="Cambria" w:eastAsia="Cambria" w:hAnsi="Cambria"/>
          <w:b/>
          <w:bCs/>
          <w:color w:val="000000"/>
          <w:sz w:val="27"/>
          <w:szCs w:val="27"/>
        </w:rPr>
        <w:t xml:space="preserve">4.2 A collective with a name</w:t>
      </w:r>
    </w:p>
    <w:p>
      <w:pPr>
        <w:spacing w:after="180" w:line="360"/>
      </w:pPr>
      <w:r>
        <w:rPr>
          <w:rFonts w:ascii="Cambria" w:cs="Cambria" w:eastAsia="Cambria" w:hAnsi="Cambria"/>
          <w:sz w:val="24"/>
          <w:szCs w:val="24"/>
        </w:rPr>
        <w:t xml:space="preserve">Both profiles make the student answerable to something larger. They differ in whether that something can be pointed at.</w:t>
      </w:r>
    </w:p>
    <w:p>
      <w:pPr>
        <w:spacing w:after="180" w:line="360"/>
      </w:pPr>
      <w:r>
        <w:rPr>
          <w:rFonts w:ascii="Cambria" w:cs="Cambria" w:eastAsia="Cambria" w:hAnsi="Cambria"/>
          <w:sz w:val="24"/>
          <w:szCs w:val="24"/>
        </w:rPr>
        <w:t xml:space="preserve">The Maarif Model names it, and concentrates the naming in one characteristic. </w:t>
      </w:r>
      <w:r>
        <w:rPr>
          <w:rFonts w:ascii="Cambria" w:cs="Cambria" w:eastAsia="Cambria" w:hAnsi="Cambria"/>
          <w:i/>
          <w:iCs/>
          <w:sz w:val="24"/>
          <w:szCs w:val="24"/>
        </w:rPr>
        <w:t xml:space="preserve">Vatansever</w:t>
      </w:r>
      <w:r>
        <w:rPr>
          <w:rFonts w:ascii="Cambria" w:cs="Cambria" w:eastAsia="Cambria" w:hAnsi="Cambria"/>
          <w:sz w:val="24"/>
          <w:szCs w:val="24"/>
        </w:rPr>
        <w:t xml:space="preserve">, patriotic, is elaborated through seven components, and between them they invoke the flag and national symbols, the Turkish language, the homeland, the nation, the state, the country's interests, national culture, spiritual values and the generations to come.</w:t>
      </w:r>
    </w:p>
    <w:p>
      <w:pPr>
        <w:spacing w:after="200" w:line="300"/>
        <w:ind w:left="480"/>
      </w:pPr>
      <w:r>
        <w:rPr>
          <w:rFonts w:ascii="Cambria" w:cs="Cambria" w:eastAsia="Cambria" w:hAnsi="Cambria"/>
          <w:b/>
          <w:bCs/>
          <w:i/>
          <w:iCs/>
          <w:sz w:val="24"/>
          <w:szCs w:val="24"/>
        </w:rPr>
        <w:t xml:space="preserve">Gelişmiş bir devlet bilincine sahip olan.</w:t>
      </w:r>
      <w:r>
        <w:rPr>
          <w:rFonts w:ascii="Cambria" w:cs="Cambria" w:eastAsia="Cambria" w:hAnsi="Cambria"/>
          <w:i/>
          <w:iCs/>
          <w:sz w:val="24"/>
          <w:szCs w:val="24"/>
        </w:rPr>
        <w:t xml:space="preserve"> Devletin millet için anlamını bilir. </w:t>
      </w:r>
      <w:r>
        <w:rPr>
          <w:rFonts w:ascii="Cambria" w:cs="Cambria" w:eastAsia="Cambria" w:hAnsi="Cambria"/>
          <w:i/>
          <w:iCs/>
          <w:sz w:val="24"/>
          <w:szCs w:val="24"/>
        </w:rPr>
        <w:t xml:space="preserve">(Possessing a developed consciousness of the state. Knows what the state means for the nation.)</w:t>
      </w:r>
      <w:r>
        <w:rPr>
          <w:rFonts w:ascii="Cambria" w:cs="Cambria" w:eastAsia="Cambria" w:hAnsi="Cambria"/>
          <w:i/>
          <w:iCs/>
          <w:sz w:val="24"/>
          <w:szCs w:val="24"/>
        </w:rPr>
        <w:t xml:space="preserve">  </w:t>
      </w:r>
      <w:r>
        <w:rPr>
          <w:rFonts w:ascii="Cambria" w:cs="Cambria" w:eastAsia="Cambria" w:hAnsi="Cambria"/>
          <w:b/>
          <w:bCs/>
          <w:i/>
          <w:iCs/>
          <w:sz w:val="24"/>
          <w:szCs w:val="24"/>
        </w:rPr>
        <w:t xml:space="preserve">Millî kültürüne ve manevi değerlere bağlı.</w:t>
      </w:r>
      <w:r>
        <w:rPr>
          <w:rFonts w:ascii="Cambria" w:cs="Cambria" w:eastAsia="Cambria" w:hAnsi="Cambria"/>
          <w:i/>
          <w:iCs/>
          <w:sz w:val="24"/>
          <w:szCs w:val="24"/>
        </w:rPr>
        <w:t xml:space="preserve"> Ülkesinin kültürel ve manevi değerlerine bağlıdır. Gelenekleri ve tarihine saygı gösterir, bu değerleri gelecek nesillere aktarmaya önem verir. </w:t>
      </w:r>
      <w:r>
        <w:rPr>
          <w:rFonts w:ascii="Cambria" w:cs="Cambria" w:eastAsia="Cambria" w:hAnsi="Cambria"/>
          <w:i/>
          <w:iCs/>
          <w:sz w:val="24"/>
          <w:szCs w:val="24"/>
        </w:rPr>
        <w:t xml:space="preserve">(Attached to national culture and spiritual values. Is attached to the cultural and spiritual values of their country. Shows respect for its traditions and history, and gives importance to transmitting these values to future generations.)</w:t>
      </w:r>
    </w:p>
    <w:p>
      <w:pPr>
        <w:spacing w:after="180" w:line="360"/>
      </w:pPr>
      <w:r>
        <w:rPr>
          <w:rFonts w:ascii="Cambria" w:cs="Cambria" w:eastAsia="Cambria" w:hAnsi="Cambria"/>
          <w:sz w:val="24"/>
          <w:szCs w:val="24"/>
        </w:rPr>
        <w:t xml:space="preserve">These referents are proper and bounded. Not a state but the state; not a language but Turkish.</w:t>
      </w:r>
    </w:p>
    <w:p>
      <w:pPr>
        <w:spacing w:after="180" w:line="360"/>
      </w:pPr>
      <w:r>
        <w:rPr>
          <w:rFonts w:ascii="Cambria" w:cs="Cambria" w:eastAsia="Cambria" w:hAnsi="Cambria"/>
          <w:sz w:val="24"/>
          <w:szCs w:val="24"/>
        </w:rPr>
        <w:t xml:space="preserve">Nor is the naming confined to </w:t>
      </w:r>
      <w:r>
        <w:rPr>
          <w:rFonts w:ascii="Cambria" w:cs="Cambria" w:eastAsia="Cambria" w:hAnsi="Cambria"/>
          <w:i/>
          <w:iCs/>
          <w:sz w:val="24"/>
          <w:szCs w:val="24"/>
        </w:rPr>
        <w:t xml:space="preserve">vatansever</w:t>
      </w:r>
      <w:r>
        <w:rPr>
          <w:rFonts w:ascii="Cambria" w:cs="Cambria" w:eastAsia="Cambria" w:hAnsi="Cambria"/>
          <w:sz w:val="24"/>
          <w:szCs w:val="24"/>
        </w:rPr>
        <w:t xml:space="preserve">. </w:t>
      </w:r>
      <w:r>
        <w:rPr>
          <w:rFonts w:ascii="Cambria" w:cs="Cambria" w:eastAsia="Cambria" w:hAnsi="Cambria"/>
          <w:i/>
          <w:iCs/>
          <w:sz w:val="24"/>
          <w:szCs w:val="24"/>
        </w:rPr>
        <w:t xml:space="preserve">Üretken</w:t>
      </w:r>
      <w:r>
        <w:rPr>
          <w:rFonts w:ascii="Cambria" w:cs="Cambria" w:eastAsia="Cambria" w:hAnsi="Cambria"/>
          <w:sz w:val="24"/>
          <w:szCs w:val="24"/>
        </w:rPr>
        <w:t xml:space="preserve">, productive, specifies that the student "ülkesi ve kendi geleceğiyle ilgili hayal kurar" — dreams about their country and their own future, in that order. The values framework states its destination as </w:t>
      </w:r>
      <w:r>
        <w:rPr>
          <w:rFonts w:ascii="Cambria" w:cs="Cambria" w:eastAsia="Cambria" w:hAnsi="Cambria"/>
          <w:i/>
          <w:iCs/>
          <w:sz w:val="24"/>
          <w:szCs w:val="24"/>
        </w:rPr>
        <w:t xml:space="preserve">Huzurlu Aile ve Toplum</w:t>
      </w:r>
      <w:r>
        <w:rPr>
          <w:rFonts w:ascii="Cambria" w:cs="Cambria" w:eastAsia="Cambria" w:hAnsi="Cambria"/>
          <w:sz w:val="24"/>
          <w:szCs w:val="24"/>
        </w:rPr>
        <w:t xml:space="preserve"> and </w:t>
      </w:r>
      <w:r>
        <w:rPr>
          <w:rFonts w:ascii="Cambria" w:cs="Cambria" w:eastAsia="Cambria" w:hAnsi="Cambria"/>
          <w:i/>
          <w:iCs/>
          <w:sz w:val="24"/>
          <w:szCs w:val="24"/>
        </w:rPr>
        <w:t xml:space="preserve">Yaşanabilir Çevrede Huzurlu İnsan</w:t>
      </w:r>
      <w:r>
        <w:rPr>
          <w:rFonts w:ascii="Cambria" w:cs="Cambria" w:eastAsia="Cambria" w:hAnsi="Cambria"/>
          <w:sz w:val="24"/>
          <w:szCs w:val="24"/>
        </w:rPr>
        <w:t xml:space="preserve">, a peaceful family and society and a peaceful person in a liveable environment, and it sorts its twenty values into clusters named for the person, the family and social circle, and the physical environment. The collective is not an assumption running underneath the document. It is the frame the document is built on.</w:t>
      </w:r>
    </w:p>
    <w:p>
      <w:pPr>
        <w:spacing w:after="180" w:line="360"/>
      </w:pPr>
      <w:r>
        <w:rPr>
          <w:rFonts w:ascii="Cambria" w:cs="Cambria" w:eastAsia="Cambria" w:hAnsi="Cambria"/>
          <w:sz w:val="24"/>
          <w:szCs w:val="24"/>
        </w:rPr>
        <w:t xml:space="preserve">The IB names nothing. Its collectives are "people everywhere", "a global community", "the world in which we live", "the lives of others and the world around us", "issues and ideas that have local and global significance". Across ten descriptors no polity, no territory, no tradition and no language is identified.</w:t>
      </w:r>
    </w:p>
    <w:p>
      <w:pPr>
        <w:spacing w:after="180" w:line="360"/>
      </w:pPr>
      <w:r>
        <w:rPr>
          <w:rFonts w:ascii="Cambria" w:cs="Cambria" w:eastAsia="Cambria" w:hAnsi="Cambria"/>
          <w:sz w:val="24"/>
          <w:szCs w:val="24"/>
        </w:rPr>
        <w:t xml:space="preserve">The single concrete demand anywhere in the IB set is linguistic, and it is a demand for plurality rather than for anything in particular:</w:t>
      </w:r>
    </w:p>
    <w:p>
      <w:pPr>
        <w:spacing w:after="200" w:line="300"/>
        <w:ind w:left="480"/>
      </w:pPr>
      <w:r>
        <w:rPr>
          <w:rFonts w:ascii="Cambria" w:cs="Cambria" w:eastAsia="Cambria" w:hAnsi="Cambria"/>
          <w:b/>
          <w:bCs/>
          <w:i/>
          <w:iCs/>
          <w:sz w:val="24"/>
          <w:szCs w:val="24"/>
        </w:rPr>
        <w:t xml:space="preserve">Communicators.</w:t>
      </w:r>
      <w:r>
        <w:rPr>
          <w:rFonts w:ascii="Cambria" w:cs="Cambria" w:eastAsia="Cambria" w:hAnsi="Cambria"/>
          <w:i/>
          <w:iCs/>
          <w:sz w:val="24"/>
          <w:szCs w:val="24"/>
        </w:rPr>
        <w:t xml:space="preserve"> We express ourselves confidently and creatively in more than one language and in many ways.</w:t>
      </w:r>
    </w:p>
    <w:p>
      <w:pPr>
        <w:spacing w:after="180" w:line="360"/>
      </w:pPr>
      <w:r>
        <w:rPr>
          <w:rFonts w:ascii="Cambria" w:cs="Cambria" w:eastAsia="Cambria" w:hAnsi="Cambria"/>
          <w:sz w:val="24"/>
          <w:szCs w:val="24"/>
        </w:rPr>
        <w:t xml:space="preserve">Set that against the Maarif Model's named language component:</w:t>
      </w:r>
    </w:p>
    <w:p>
      <w:pPr>
        <w:spacing w:after="200" w:line="300"/>
        <w:ind w:left="480"/>
      </w:pPr>
      <w:r>
        <w:rPr>
          <w:rFonts w:ascii="Cambria" w:cs="Cambria" w:eastAsia="Cambria" w:hAnsi="Cambria"/>
          <w:b/>
          <w:bCs/>
          <w:i/>
          <w:iCs/>
          <w:sz w:val="24"/>
          <w:szCs w:val="24"/>
        </w:rPr>
        <w:t xml:space="preserve">Türkçeye sahip çıkan.</w:t>
      </w:r>
      <w:r>
        <w:rPr>
          <w:rFonts w:ascii="Cambria" w:cs="Cambria" w:eastAsia="Cambria" w:hAnsi="Cambria"/>
          <w:i/>
          <w:iCs/>
          <w:sz w:val="24"/>
          <w:szCs w:val="24"/>
        </w:rPr>
        <w:t xml:space="preserve"> Türkçeye hâkimdir; güzel yazar, güzel konuşur ve dilini geliştirir. </w:t>
      </w:r>
      <w:r>
        <w:rPr>
          <w:rFonts w:ascii="Cambria" w:cs="Cambria" w:eastAsia="Cambria" w:hAnsi="Cambria"/>
          <w:i/>
          <w:iCs/>
          <w:sz w:val="24"/>
          <w:szCs w:val="24"/>
        </w:rPr>
        <w:t xml:space="preserve">(Taking ownership of Turkish. Has command of Turkish; writes well, speaks well, and develops their language.)</w:t>
      </w:r>
    </w:p>
    <w:p>
      <w:pPr>
        <w:spacing w:after="180" w:line="360"/>
      </w:pPr>
      <w:r>
        <w:rPr>
          <w:rFonts w:ascii="Cambria" w:cs="Cambria" w:eastAsia="Cambria" w:hAnsi="Cambria"/>
          <w:i/>
          <w:iCs/>
          <w:sz w:val="24"/>
          <w:szCs w:val="24"/>
        </w:rPr>
        <w:t xml:space="preserve">Sahip çıkmak</w:t>
      </w:r>
      <w:r>
        <w:rPr>
          <w:rFonts w:ascii="Cambria" w:cs="Cambria" w:eastAsia="Cambria" w:hAnsi="Cambria"/>
          <w:sz w:val="24"/>
          <w:szCs w:val="24"/>
        </w:rPr>
        <w:t xml:space="preserve"> is a verb of custody. It is what you do for something that is yours and could be lost — a person defends a friend's reputation with it, a family keeps hold of land with it. One profile asks the student to hold on to a language. The other asks the student to exceed one. These are not different weightings of a shared commitment to language; each is doing something the other does not attempt.</w:t>
      </w:r>
    </w:p>
    <w:p>
      <w:pPr>
        <w:spacing w:after="180" w:line="360"/>
      </w:pPr>
      <w:r>
        <w:rPr>
          <w:rFonts w:ascii="Cambria" w:cs="Cambria" w:eastAsia="Cambria" w:hAnsi="Cambria"/>
          <w:sz w:val="24"/>
          <w:szCs w:val="24"/>
        </w:rPr>
        <w:t xml:space="preserve">It would be a poor reading to convert this into parochialism against openness, and the texts do not permit it. The Maarif Model's </w:t>
      </w:r>
      <w:r>
        <w:rPr>
          <w:rFonts w:ascii="Cambria" w:cs="Cambria" w:eastAsia="Cambria" w:hAnsi="Cambria"/>
          <w:i/>
          <w:iCs/>
          <w:sz w:val="24"/>
          <w:szCs w:val="24"/>
        </w:rPr>
        <w:t xml:space="preserve">ahlaklı</w:t>
      </w:r>
      <w:r>
        <w:rPr>
          <w:rFonts w:ascii="Cambria" w:cs="Cambria" w:eastAsia="Cambria" w:hAnsi="Cambria"/>
          <w:sz w:val="24"/>
          <w:szCs w:val="24"/>
        </w:rPr>
        <w:t xml:space="preserve"> requires respect for "farklı inançlara", different beliefs, and for other living things; its </w:t>
      </w:r>
      <w:r>
        <w:rPr>
          <w:rFonts w:ascii="Cambria" w:cs="Cambria" w:eastAsia="Cambria" w:hAnsi="Cambria"/>
          <w:i/>
          <w:iCs/>
          <w:sz w:val="24"/>
          <w:szCs w:val="24"/>
        </w:rPr>
        <w:t xml:space="preserve">dostluk</w:t>
      </w:r>
      <w:r>
        <w:rPr>
          <w:rFonts w:ascii="Cambria" w:cs="Cambria" w:eastAsia="Cambria" w:hAnsi="Cambria"/>
          <w:sz w:val="24"/>
          <w:szCs w:val="24"/>
        </w:rPr>
        <w:t xml:space="preserve"> value asks students to build ties across cultures and take part in international projects. The IB's unnamed universality is a position of its own, not the absence of one — an "everywhere" that has no address is still somewhere.</w:t>
      </w:r>
    </w:p>
    <w:p>
      <w:pPr>
        <w:spacing w:after="180" w:line="360"/>
      </w:pPr>
      <w:r>
        <w:rPr>
          <w:rFonts w:ascii="Cambria" w:cs="Cambria" w:eastAsia="Cambria" w:hAnsi="Cambria"/>
          <w:sz w:val="24"/>
          <w:szCs w:val="24"/>
        </w:rPr>
        <w:t xml:space="preserve">What the evidence supports is narrower and more useful than either caricature. One profile specifies the object of the student's obligation and the other does not, and specification has consequences. A named collective can be argued with, because what it asks for is on the page. An unnamed one is harder to contest and correspondingly harder to hold to account.</w:t>
      </w:r>
    </w:p>
    <w:p>
      <w:pPr>
        <w:pStyle w:val="Heading2"/>
        <w:spacing w:after="160" w:before="320" w:line="300"/>
      </w:pPr>
      <w:r>
        <w:rPr>
          <w:rFonts w:ascii="Cambria" w:cs="Cambria" w:eastAsia="Cambria" w:hAnsi="Cambria"/>
          <w:b/>
          <w:bCs/>
          <w:color w:val="000000"/>
          <w:sz w:val="27"/>
          <w:szCs w:val="27"/>
        </w:rPr>
        <w:t xml:space="preserve">4.3 The clause of return</w:t>
      </w:r>
    </w:p>
    <w:p>
      <w:pPr>
        <w:spacing w:after="180" w:line="360"/>
      </w:pPr>
      <w:r>
        <w:rPr>
          <w:rFonts w:ascii="Cambria" w:cs="Cambria" w:eastAsia="Cambria" w:hAnsi="Cambria"/>
          <w:sz w:val="24"/>
          <w:szCs w:val="24"/>
        </w:rPr>
        <w:t xml:space="preserve">The most consequential thing we found is not a word but a construction, and it recurs.</w:t>
      </w:r>
    </w:p>
    <w:p>
      <w:pPr>
        <w:spacing w:after="180" w:line="360"/>
      </w:pPr>
      <w:r>
        <w:rPr>
          <w:rFonts w:ascii="Cambria" w:cs="Cambria" w:eastAsia="Cambria" w:hAnsi="Cambria"/>
          <w:sz w:val="24"/>
          <w:szCs w:val="24"/>
        </w:rPr>
        <w:t xml:space="preserve">Where the Maarif Model grants the student independence of thought, of taste, or of association, the grant arrives with a clause attached. </w:t>
      </w:r>
      <w:r>
        <w:rPr>
          <w:rFonts w:ascii="Cambria" w:cs="Cambria" w:eastAsia="Cambria" w:hAnsi="Cambria"/>
          <w:i/>
          <w:iCs/>
          <w:sz w:val="24"/>
          <w:szCs w:val="24"/>
        </w:rPr>
        <w:t xml:space="preserve">Bilge</w:t>
      </w:r>
      <w:r>
        <w:rPr>
          <w:rFonts w:ascii="Cambria" w:cs="Cambria" w:eastAsia="Cambria" w:hAnsi="Cambria"/>
          <w:sz w:val="24"/>
          <w:szCs w:val="24"/>
        </w:rPr>
        <w:t xml:space="preserve">, the wise student, includes this:</w:t>
      </w:r>
    </w:p>
    <w:p>
      <w:pPr>
        <w:spacing w:after="200" w:line="300"/>
        <w:ind w:left="480"/>
      </w:pPr>
      <w:r>
        <w:rPr>
          <w:rFonts w:ascii="Cambria" w:cs="Cambria" w:eastAsia="Cambria" w:hAnsi="Cambria"/>
          <w:b/>
          <w:bCs/>
          <w:i/>
          <w:iCs/>
          <w:sz w:val="24"/>
          <w:szCs w:val="24"/>
        </w:rPr>
        <w:t xml:space="preserve">Bağımsız ve özgür düşünen.</w:t>
      </w:r>
      <w:r>
        <w:rPr>
          <w:rFonts w:ascii="Cambria" w:cs="Cambria" w:eastAsia="Cambria" w:hAnsi="Cambria"/>
          <w:i/>
          <w:iCs/>
          <w:sz w:val="24"/>
          <w:szCs w:val="24"/>
        </w:rPr>
        <w:t xml:space="preserve"> Kendi düşünce süreçlerini geliştirir. Farklı görüşleri eleştirip analiz eder, düşünce ve inançlarını özgürce ifade etme becerisi kazanırken </w:t>
      </w:r>
      <w:r>
        <w:rPr>
          <w:rFonts w:ascii="Cambria" w:cs="Cambria" w:eastAsia="Cambria" w:hAnsi="Cambria"/>
          <w:b/>
          <w:bCs/>
          <w:i/>
          <w:iCs/>
          <w:sz w:val="24"/>
          <w:szCs w:val="24"/>
        </w:rPr>
        <w:t xml:space="preserve">kendi değer ve inançlarıyla uyumlu bir şekilde</w:t>
      </w:r>
      <w:r>
        <w:rPr>
          <w:rFonts w:ascii="Cambria" w:cs="Cambria" w:eastAsia="Cambria" w:hAnsi="Cambria"/>
          <w:i/>
          <w:iCs/>
          <w:sz w:val="24"/>
          <w:szCs w:val="24"/>
        </w:rPr>
        <w:t xml:space="preserve"> düşünerek karar vermeyi öğrenir. </w:t>
      </w:r>
      <w:r>
        <w:rPr>
          <w:rFonts w:ascii="Cambria" w:cs="Cambria" w:eastAsia="Cambria" w:hAnsi="Cambria"/>
          <w:i/>
          <w:iCs/>
          <w:sz w:val="24"/>
          <w:szCs w:val="24"/>
        </w:rPr>
        <w:t xml:space="preserve">(Independent and free-thinking. Develops their own thought processes. Criticises and analyses different views, and while acquiring the ability to express their thoughts and beliefs freely, learns to decide by thinking in a manner consistent with their own values and beliefs.)</w:t>
      </w:r>
    </w:p>
    <w:p>
      <w:pPr>
        <w:spacing w:after="180" w:line="360"/>
      </w:pPr>
      <w:r>
        <w:rPr>
          <w:rFonts w:ascii="Cambria" w:cs="Cambria" w:eastAsia="Cambria" w:hAnsi="Cambria"/>
          <w:i/>
          <w:iCs/>
          <w:sz w:val="24"/>
          <w:szCs w:val="24"/>
        </w:rPr>
        <w:t xml:space="preserve">Estetik</w:t>
      </w:r>
      <w:r>
        <w:rPr>
          <w:rFonts w:ascii="Cambria" w:cs="Cambria" w:eastAsia="Cambria" w:hAnsi="Cambria"/>
          <w:sz w:val="24"/>
          <w:szCs w:val="24"/>
        </w:rPr>
        <w:t xml:space="preserve">, the aesthetic student, includes this:</w:t>
      </w:r>
    </w:p>
    <w:p>
      <w:pPr>
        <w:spacing w:after="200" w:line="300"/>
        <w:ind w:left="480"/>
      </w:pPr>
      <w:r>
        <w:rPr>
          <w:rFonts w:ascii="Cambria" w:cs="Cambria" w:eastAsia="Cambria" w:hAnsi="Cambria"/>
          <w:b/>
          <w:bCs/>
          <w:i/>
          <w:iCs/>
          <w:sz w:val="24"/>
          <w:szCs w:val="24"/>
        </w:rPr>
        <w:t xml:space="preserve">Güzelliğe duyarlı.</w:t>
      </w:r>
      <w:r>
        <w:rPr>
          <w:rFonts w:ascii="Cambria" w:cs="Cambria" w:eastAsia="Cambria" w:hAnsi="Cambria"/>
          <w:i/>
          <w:iCs/>
          <w:sz w:val="24"/>
          <w:szCs w:val="24"/>
        </w:rPr>
        <w:t xml:space="preserve"> Güzel bakmayı bilir. Estetik değerlere duyarlıdır ve güzellikleri takdir eder. </w:t>
      </w:r>
      <w:r>
        <w:rPr>
          <w:rFonts w:ascii="Cambria" w:cs="Cambria" w:eastAsia="Cambria" w:hAnsi="Cambria"/>
          <w:b/>
          <w:bCs/>
          <w:i/>
          <w:iCs/>
          <w:sz w:val="24"/>
          <w:szCs w:val="24"/>
        </w:rPr>
        <w:t xml:space="preserve">Ahlaki değerlerle uyumlu bir şekilde</w:t>
      </w:r>
      <w:r>
        <w:rPr>
          <w:rFonts w:ascii="Cambria" w:cs="Cambria" w:eastAsia="Cambria" w:hAnsi="Cambria"/>
          <w:i/>
          <w:iCs/>
          <w:sz w:val="24"/>
          <w:szCs w:val="24"/>
        </w:rPr>
        <w:t xml:space="preserve"> güzellik anlayışını oluşturur. </w:t>
      </w:r>
      <w:r>
        <w:rPr>
          <w:rFonts w:ascii="Cambria" w:cs="Cambria" w:eastAsia="Cambria" w:hAnsi="Cambria"/>
          <w:i/>
          <w:iCs/>
          <w:sz w:val="24"/>
          <w:szCs w:val="24"/>
        </w:rPr>
        <w:t xml:space="preserve">(Sensitive to beauty. Knows how to look well. Is sensitive to aesthetic values and appreciates beautiful things. Forms their conception of beauty in a manner consistent with moral values.)</w:t>
      </w:r>
    </w:p>
    <w:p>
      <w:pPr>
        <w:spacing w:after="180" w:line="360"/>
      </w:pPr>
      <w:r>
        <w:rPr>
          <w:rFonts w:ascii="Cambria" w:cs="Cambria" w:eastAsia="Cambria" w:hAnsi="Cambria"/>
          <w:sz w:val="24"/>
          <w:szCs w:val="24"/>
        </w:rPr>
        <w:t xml:space="preserve">And the </w:t>
      </w:r>
      <w:r>
        <w:rPr>
          <w:rFonts w:ascii="Cambria" w:cs="Cambria" w:eastAsia="Cambria" w:hAnsi="Cambria"/>
          <w:i/>
          <w:iCs/>
          <w:sz w:val="24"/>
          <w:szCs w:val="24"/>
        </w:rPr>
        <w:t xml:space="preserve">dostluk</w:t>
      </w:r>
      <w:r>
        <w:rPr>
          <w:rFonts w:ascii="Cambria" w:cs="Cambria" w:eastAsia="Cambria" w:hAnsi="Cambria"/>
          <w:sz w:val="24"/>
          <w:szCs w:val="24"/>
        </w:rPr>
        <w:t xml:space="preserve"> value, on contact across borders:</w:t>
      </w:r>
    </w:p>
    <w:p>
      <w:pPr>
        <w:spacing w:after="200" w:line="300"/>
        <w:ind w:left="480"/>
      </w:pPr>
      <w:r>
        <w:rPr>
          <w:rFonts w:ascii="Cambria" w:cs="Cambria" w:eastAsia="Cambria" w:hAnsi="Cambria"/>
          <w:i/>
          <w:iCs/>
          <w:sz w:val="24"/>
          <w:szCs w:val="24"/>
        </w:rPr>
        <w:t xml:space="preserve">Farklı milletlerden insanlarla iletişim kurarken </w:t>
      </w:r>
      <w:r>
        <w:rPr>
          <w:rFonts w:ascii="Cambria" w:cs="Cambria" w:eastAsia="Cambria" w:hAnsi="Cambria"/>
          <w:b/>
          <w:bCs/>
          <w:i/>
          <w:iCs/>
          <w:sz w:val="24"/>
          <w:szCs w:val="24"/>
        </w:rPr>
        <w:t xml:space="preserve">millî kimliğini ve kültürünü muhafaza eder</w:t>
      </w:r>
      <w:r>
        <w:rPr>
          <w:rFonts w:ascii="Cambria" w:cs="Cambria" w:eastAsia="Cambria" w:hAnsi="Cambria"/>
          <w:i/>
          <w:iCs/>
          <w:sz w:val="24"/>
          <w:szCs w:val="24"/>
        </w:rPr>
        <w:t xml:space="preserve">. </w:t>
      </w:r>
      <w:r>
        <w:rPr>
          <w:rFonts w:ascii="Cambria" w:cs="Cambria" w:eastAsia="Cambria" w:hAnsi="Cambria"/>
          <w:i/>
          <w:iCs/>
          <w:sz w:val="24"/>
          <w:szCs w:val="24"/>
        </w:rPr>
        <w:t xml:space="preserve">(While communicating with people of other nations, preserves their national identity and culture.)</w:t>
      </w:r>
    </w:p>
    <w:p>
      <w:pPr>
        <w:spacing w:after="180" w:line="360"/>
      </w:pPr>
      <w:r>
        <w:rPr>
          <w:rFonts w:ascii="Cambria" w:cs="Cambria" w:eastAsia="Cambria" w:hAnsi="Cambria"/>
          <w:sz w:val="24"/>
          <w:szCs w:val="24"/>
        </w:rPr>
        <w:t xml:space="preserve">The shape is the same each time. A capacity is opened, and then a clause names what the exercise of it must leave undisturbed. </w:t>
      </w:r>
      <w:r>
        <w:rPr>
          <w:rFonts w:ascii="Cambria" w:cs="Cambria" w:eastAsia="Cambria" w:hAnsi="Cambria"/>
          <w:i/>
          <w:iCs/>
          <w:sz w:val="24"/>
          <w:szCs w:val="24"/>
        </w:rPr>
        <w:t xml:space="preserve">Uyumlu</w:t>
      </w:r>
      <w:r>
        <w:rPr>
          <w:rFonts w:ascii="Cambria" w:cs="Cambria" w:eastAsia="Cambria" w:hAnsi="Cambria"/>
          <w:sz w:val="24"/>
          <w:szCs w:val="24"/>
        </w:rPr>
        <w:t xml:space="preserve">, consistent with. </w:t>
      </w:r>
      <w:r>
        <w:rPr>
          <w:rFonts w:ascii="Cambria" w:cs="Cambria" w:eastAsia="Cambria" w:hAnsi="Cambria"/>
          <w:i/>
          <w:iCs/>
          <w:sz w:val="24"/>
          <w:szCs w:val="24"/>
        </w:rPr>
        <w:t xml:space="preserve">Muhafaza</w:t>
      </w:r>
      <w:r>
        <w:rPr>
          <w:rFonts w:ascii="Cambria" w:cs="Cambria" w:eastAsia="Cambria" w:hAnsi="Cambria"/>
          <w:sz w:val="24"/>
          <w:szCs w:val="24"/>
        </w:rPr>
        <w:t xml:space="preserve">, preserve. The student goes out and the student comes back.</w:t>
      </w:r>
    </w:p>
    <w:p>
      <w:pPr>
        <w:spacing w:after="180" w:line="360"/>
      </w:pPr>
      <w:r>
        <w:rPr>
          <w:rFonts w:ascii="Cambria" w:cs="Cambria" w:eastAsia="Cambria" w:hAnsi="Cambria"/>
          <w:sz w:val="24"/>
          <w:szCs w:val="24"/>
        </w:rPr>
        <w:t xml:space="preserve">The IB's parallel descriptors have no such clause, and its open-minded attribute does something close to the opposite:</w:t>
      </w:r>
    </w:p>
    <w:p>
      <w:pPr>
        <w:spacing w:after="200" w:line="300"/>
        <w:ind w:left="480"/>
      </w:pPr>
      <w:r>
        <w:rPr>
          <w:rFonts w:ascii="Cambria" w:cs="Cambria" w:eastAsia="Cambria" w:hAnsi="Cambria"/>
          <w:b/>
          <w:bCs/>
          <w:i/>
          <w:iCs/>
          <w:sz w:val="24"/>
          <w:szCs w:val="24"/>
        </w:rPr>
        <w:t xml:space="preserve">Open-minded.</w:t>
      </w:r>
      <w:r>
        <w:rPr>
          <w:rFonts w:ascii="Cambria" w:cs="Cambria" w:eastAsia="Cambria" w:hAnsi="Cambria"/>
          <w:i/>
          <w:iCs/>
          <w:sz w:val="24"/>
          <w:szCs w:val="24"/>
        </w:rPr>
        <w:t xml:space="preserve"> We critically appreciate our own cultures and personal histories, as well as the values and traditions of others. We seek and evaluate a range of points of view, and we are willing to grow from the experience.</w:t>
      </w:r>
    </w:p>
    <w:p>
      <w:pPr>
        <w:spacing w:after="180" w:line="360"/>
      </w:pPr>
      <w:r>
        <w:rPr>
          <w:rFonts w:ascii="Cambria" w:cs="Cambria" w:eastAsia="Cambria" w:hAnsi="Cambria"/>
          <w:sz w:val="24"/>
          <w:szCs w:val="24"/>
        </w:rPr>
        <w:t xml:space="preserve">The student's own culture is not the fixed point from which others are surveyed. It is included in what is critically appreciated, on the same side of the sentence as everyone else's, and the stated result of the encounter is growth, with nothing marked off in advance as exempt. </w:t>
      </w:r>
      <w:r>
        <w:rPr>
          <w:rFonts w:ascii="Cambria" w:cs="Cambria" w:eastAsia="Cambria" w:hAnsi="Cambria"/>
          <w:i/>
          <w:iCs/>
          <w:sz w:val="24"/>
          <w:szCs w:val="24"/>
        </w:rPr>
        <w:t xml:space="preserve">Reflective</w:t>
      </w:r>
      <w:r>
        <w:rPr>
          <w:rFonts w:ascii="Cambria" w:cs="Cambria" w:eastAsia="Cambria" w:hAnsi="Cambria"/>
          <w:sz w:val="24"/>
          <w:szCs w:val="24"/>
        </w:rPr>
        <w:t xml:space="preserve"> turns the same instrument inward: "We work to understand our strengths and weaknesses."</w:t>
      </w:r>
    </w:p>
    <w:p>
      <w:pPr>
        <w:spacing w:after="180" w:line="360"/>
      </w:pPr>
      <w:r>
        <w:rPr>
          <w:rFonts w:ascii="Cambria" w:cs="Cambria" w:eastAsia="Cambria" w:hAnsi="Cambria"/>
          <w:sz w:val="24"/>
          <w:szCs w:val="24"/>
        </w:rPr>
        <w:t xml:space="preserve">The two documents hold different theories of what happens when a student meets something unfamiliar. In one, the meeting is real and its outcome is bounded: you engage, and you return with yourself intact. In the other, the meeting is expected to change you, and no part of you is protected from it in advance.</w:t>
      </w:r>
    </w:p>
    <w:p>
      <w:pPr>
        <w:spacing w:after="180" w:line="360"/>
      </w:pPr>
      <w:r>
        <w:rPr>
          <w:rFonts w:ascii="Cambria" w:cs="Cambria" w:eastAsia="Cambria" w:hAnsi="Cambria"/>
          <w:sz w:val="24"/>
          <w:szCs w:val="24"/>
        </w:rPr>
        <w:t xml:space="preserve">There is a reading of the Turkish clause on which it is not a restriction at all, and the model supplies it. </w:t>
      </w:r>
      <w:r>
        <w:rPr>
          <w:rFonts w:ascii="Cambria" w:cs="Cambria" w:eastAsia="Cambria" w:hAnsi="Cambria"/>
          <w:i/>
          <w:iCs/>
          <w:sz w:val="24"/>
          <w:szCs w:val="24"/>
        </w:rPr>
        <w:t xml:space="preserve">Aksiyolojik olgunluk</w:t>
      </w:r>
      <w:r>
        <w:rPr>
          <w:rFonts w:ascii="Cambria" w:cs="Cambria" w:eastAsia="Cambria" w:hAnsi="Cambria"/>
          <w:sz w:val="24"/>
          <w:szCs w:val="24"/>
        </w:rPr>
        <w:t xml:space="preserve">, axiological maturity, is defined as the ripening of ethical and aesthetic judgement together, and named as the dimension that unifies and completes the profile. On that construal, judgement without an anchor is not free judgement but unformed judgement, and the clause states what maturity consists of rather than what it may not do. Read from the outside, through a framework in which unconditioned openness is the standard, the same words look like a limit placed on a freedom just granted.</w:t>
      </w:r>
    </w:p>
    <w:p>
      <w:pPr>
        <w:spacing w:after="180" w:line="360"/>
      </w:pPr>
      <w:r>
        <w:rPr>
          <w:rFonts w:ascii="Cambria" w:cs="Cambria" w:eastAsia="Cambria" w:hAnsi="Cambria"/>
          <w:sz w:val="24"/>
          <w:szCs w:val="24"/>
        </w:rPr>
        <w:t xml:space="preserve">Both readings survive contact with the text, and we report both, because the disagreement between them is the thing we found. The two profiles do not differ over how much freedom to give. They differ over whether formation has a fixed point.</w:t>
      </w:r>
    </w:p>
    <w:p>
      <w:pPr>
        <w:pStyle w:val="Heading2"/>
        <w:spacing w:after="160" w:before="320" w:line="300"/>
      </w:pPr>
      <w:r>
        <w:rPr>
          <w:rFonts w:ascii="Cambria" w:cs="Cambria" w:eastAsia="Cambria" w:hAnsi="Cambria"/>
          <w:b/>
          <w:bCs/>
          <w:color w:val="000000"/>
          <w:sz w:val="27"/>
          <w:szCs w:val="27"/>
        </w:rPr>
        <w:t xml:space="preserve">4.4 What neither profile has room for</w:t>
      </w:r>
    </w:p>
    <w:p>
      <w:pPr>
        <w:spacing w:after="180" w:line="360"/>
      </w:pPr>
      <w:r>
        <w:rPr>
          <w:rFonts w:ascii="Cambria" w:cs="Cambria" w:eastAsia="Cambria" w:hAnsi="Cambria"/>
          <w:sz w:val="24"/>
          <w:szCs w:val="24"/>
        </w:rPr>
        <w:t xml:space="preserve">Setting the ten against the ten produces workable correspondences at seven positions and leaves six qualities with no partner. The residue is where the reading gets interesting.</w:t>
      </w:r>
    </w:p>
    <w:p>
      <w:pPr>
        <w:spacing w:after="180" w:line="360"/>
      </w:pPr>
      <w:r>
        <w:rPr>
          <w:rFonts w:ascii="Cambria" w:cs="Cambria" w:eastAsia="Cambria" w:hAnsi="Cambria"/>
          <w:b/>
          <w:bCs/>
          <w:sz w:val="24"/>
          <w:szCs w:val="24"/>
        </w:rPr>
        <w:t xml:space="preserve">Table 1. Correspondences and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D" w:val="clear"/>
            <w:tcMar>
              <w:top w:type="dxa" w:w="60"/>
              <w:left w:type="dxa" w:w="90"/>
              <w:bottom w:type="dxa" w:w="60"/>
              <w:right w:type="dxa" w:w="90"/>
            </w:tcMar>
          </w:tcPr>
          <w:p>
            <w:pPr>
              <w:spacing w:after="0" w:line="260"/>
            </w:pPr>
            <w:r>
              <w:rPr>
                <w:rFonts w:ascii="Cambria" w:cs="Cambria" w:eastAsia="Cambria" w:hAnsi="Cambria"/>
                <w:b/>
                <w:bCs/>
                <w:sz w:val="24"/>
                <w:szCs w:val="24"/>
              </w:rPr>
              <w:t xml:space="preserve">IB attribute</w:t>
            </w:r>
          </w:p>
        </w:tc>
        <w:tc>
          <w:tcPr>
            <w:tcW w:type="dxa" w:w="3120"/>
            <w:shd w:fill="EDEDED" w:val="clear"/>
            <w:tcMar>
              <w:top w:type="dxa" w:w="60"/>
              <w:left w:type="dxa" w:w="90"/>
              <w:bottom w:type="dxa" w:w="60"/>
              <w:right w:type="dxa" w:w="90"/>
            </w:tcMar>
          </w:tcPr>
          <w:p>
            <w:pPr>
              <w:spacing w:after="0" w:line="260"/>
            </w:pPr>
            <w:r>
              <w:rPr>
                <w:rFonts w:ascii="Cambria" w:cs="Cambria" w:eastAsia="Cambria" w:hAnsi="Cambria"/>
                <w:b/>
                <w:bCs/>
                <w:sz w:val="24"/>
                <w:szCs w:val="24"/>
              </w:rPr>
              <w:t xml:space="preserve">Maarif Model counterpart</w:t>
            </w:r>
          </w:p>
        </w:tc>
        <w:tc>
          <w:tcPr>
            <w:tcW w:type="dxa" w:w="3120"/>
            <w:shd w:fill="EDEDED" w:val="clear"/>
            <w:tcMar>
              <w:top w:type="dxa" w:w="60"/>
              <w:left w:type="dxa" w:w="90"/>
              <w:bottom w:type="dxa" w:w="60"/>
              <w:right w:type="dxa" w:w="90"/>
            </w:tcMar>
          </w:tcPr>
          <w:p>
            <w:pPr>
              <w:spacing w:after="0" w:line="260"/>
            </w:pPr>
            <w:r>
              <w:rPr>
                <w:rFonts w:ascii="Cambria" w:cs="Cambria" w:eastAsia="Cambria" w:hAnsi="Cambria"/>
                <w:b/>
                <w:bCs/>
                <w:sz w:val="24"/>
                <w:szCs w:val="24"/>
              </w:rPr>
              <w:t xml:space="preserve"/>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Inquirers</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Sorgulayıcı (meraklı, araştırmacı)</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close</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Thinkers</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Sorgulayıcı (eleştirel düşünen, problem çözen)</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close</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Principled</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Ahlaklı; İradeli (ilkeli)</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close</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Caring</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Merhametli</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close</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Risk-takers</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Cesaretli (risk alan, girişimci)</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close</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Knowledgeable</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Bilge</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partial</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Balanced</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Sağlıklı</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partial</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Communicators</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Bilge (belagat sahibi); Üretken</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partial: no multilingual demand</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Open-minded</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no unconditioned counterpart</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Reflective</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absent from the profile</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Vatansever</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no counterpart</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Estetik</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no counterpart</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İradeli, as will and persistence</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no counterpart</w:t>
            </w:r>
          </w:p>
        </w:tc>
      </w:tr>
      <w:tr>
        <w:trPr>
          <w:tblHeader w:val="false"/>
        </w:trPr>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Üretken, as production toward a national future</w:t>
            </w:r>
          </w:p>
        </w:tc>
        <w:tc>
          <w:tcPr>
            <w:tcW w:type="dxa" w:w="3120"/>
            <w:tcMar>
              <w:top w:type="dxa" w:w="60"/>
              <w:left w:type="dxa" w:w="90"/>
              <w:bottom w:type="dxa" w:w="60"/>
              <w:right w:type="dxa" w:w="90"/>
            </w:tcMar>
          </w:tcPr>
          <w:p>
            <w:pPr>
              <w:spacing w:after="0" w:line="260"/>
            </w:pPr>
            <w:r>
              <w:rPr>
                <w:rFonts w:ascii="Cambria" w:cs="Cambria" w:eastAsia="Cambria" w:hAnsi="Cambria"/>
                <w:sz w:val="24"/>
                <w:szCs w:val="24"/>
              </w:rPr>
              <w:t xml:space="preserve">no counterpart</w:t>
            </w:r>
          </w:p>
        </w:tc>
      </w:tr>
    </w:tbl>
    <w:p>
      <w:pPr>
        <w:spacing w:after="180"/>
      </w:pPr>
    </w:p>
    <w:p>
      <w:pPr>
        <w:spacing w:after="180" w:line="360"/>
      </w:pPr>
      <w:r>
        <w:rPr>
          <w:rFonts w:ascii="Cambria" w:cs="Cambria" w:eastAsia="Cambria" w:hAnsi="Cambria"/>
          <w:b/>
          <w:bCs/>
          <w:sz w:val="24"/>
          <w:szCs w:val="24"/>
        </w:rPr>
        <w:t xml:space="preserve">Balance is struck on different axes.</w:t>
      </w:r>
      <w:r>
        <w:rPr>
          <w:rFonts w:ascii="Cambria" w:cs="Cambria" w:eastAsia="Cambria" w:hAnsi="Cambria"/>
          <w:sz w:val="24"/>
          <w:szCs w:val="24"/>
        </w:rPr>
        <w:t xml:space="preserve"> The IB's </w:t>
      </w:r>
      <w:r>
        <w:rPr>
          <w:rFonts w:ascii="Cambria" w:cs="Cambria" w:eastAsia="Cambria" w:hAnsi="Cambria"/>
          <w:i/>
          <w:iCs/>
          <w:sz w:val="24"/>
          <w:szCs w:val="24"/>
        </w:rPr>
        <w:t xml:space="preserve">balanced</w:t>
      </w:r>
      <w:r>
        <w:rPr>
          <w:rFonts w:ascii="Cambria" w:cs="Cambria" w:eastAsia="Cambria" w:hAnsi="Cambria"/>
          <w:sz w:val="24"/>
          <w:szCs w:val="24"/>
        </w:rPr>
        <w:t xml:space="preserve"> names three: "intellectual, physical, and emotional". The Maarif Model's ontological wholeness names </w:t>
      </w:r>
      <w:r>
        <w:rPr>
          <w:rFonts w:ascii="Cambria" w:cs="Cambria" w:eastAsia="Cambria" w:hAnsi="Cambria"/>
          <w:i/>
          <w:iCs/>
          <w:sz w:val="24"/>
          <w:szCs w:val="24"/>
        </w:rPr>
        <w:t xml:space="preserve">ruh</w:t>
      </w:r>
      <w:r>
        <w:rPr>
          <w:rFonts w:ascii="Cambria" w:cs="Cambria" w:eastAsia="Cambria" w:hAnsi="Cambria"/>
          <w:sz w:val="24"/>
          <w:szCs w:val="24"/>
        </w:rPr>
        <w:t xml:space="preserve"> and </w:t>
      </w:r>
      <w:r>
        <w:rPr>
          <w:rFonts w:ascii="Cambria" w:cs="Cambria" w:eastAsia="Cambria" w:hAnsi="Cambria"/>
          <w:i/>
          <w:iCs/>
          <w:sz w:val="24"/>
          <w:szCs w:val="24"/>
        </w:rPr>
        <w:t xml:space="preserve">beden</w:t>
      </w:r>
      <w:r>
        <w:rPr>
          <w:rFonts w:ascii="Cambria" w:cs="Cambria" w:eastAsia="Cambria" w:hAnsi="Cambria"/>
          <w:sz w:val="24"/>
          <w:szCs w:val="24"/>
        </w:rPr>
        <w:t xml:space="preserve">, and defines </w:t>
      </w:r>
      <w:r>
        <w:rPr>
          <w:rFonts w:ascii="Cambria" w:cs="Cambria" w:eastAsia="Cambria" w:hAnsi="Cambria"/>
          <w:i/>
          <w:iCs/>
          <w:sz w:val="24"/>
          <w:szCs w:val="24"/>
        </w:rPr>
        <w:t xml:space="preserve">ruh</w:t>
      </w:r>
      <w:r>
        <w:rPr>
          <w:rFonts w:ascii="Cambria" w:cs="Cambria" w:eastAsia="Cambria" w:hAnsi="Cambria"/>
          <w:sz w:val="24"/>
          <w:szCs w:val="24"/>
        </w:rPr>
        <w:t xml:space="preserve"> as intellectual, </w:t>
      </w:r>
      <w:r>
        <w:rPr>
          <w:rFonts w:ascii="Cambria" w:cs="Cambria" w:eastAsia="Cambria" w:hAnsi="Cambria"/>
          <w:b/>
          <w:bCs/>
          <w:sz w:val="24"/>
          <w:szCs w:val="24"/>
        </w:rPr>
        <w:t xml:space="preserve">moral</w:t>
      </w:r>
      <w:r>
        <w:rPr>
          <w:rFonts w:ascii="Cambria" w:cs="Cambria" w:eastAsia="Cambria" w:hAnsi="Cambria"/>
          <w:sz w:val="24"/>
          <w:szCs w:val="24"/>
        </w:rPr>
        <w:t xml:space="preserve"> and emotional. The two triads share two terms and part on the third. The physical is not missing from the Turkish framework, which gives it a whole characteristic to itself in </w:t>
      </w:r>
      <w:r>
        <w:rPr>
          <w:rFonts w:ascii="Cambria" w:cs="Cambria" w:eastAsia="Cambria" w:hAnsi="Cambria"/>
          <w:i/>
          <w:iCs/>
          <w:sz w:val="24"/>
          <w:szCs w:val="24"/>
        </w:rPr>
        <w:t xml:space="preserve">sağlıklı</w:t>
      </w:r>
      <w:r>
        <w:rPr>
          <w:rFonts w:ascii="Cambria" w:cs="Cambria" w:eastAsia="Cambria" w:hAnsi="Cambria"/>
          <w:sz w:val="24"/>
          <w:szCs w:val="24"/>
        </w:rPr>
        <w:t xml:space="preserve">, but it sits outside the balance construct, and where the IB's third term is the body, the Maarif Model's is conscience. And </w:t>
      </w:r>
      <w:r>
        <w:rPr>
          <w:rFonts w:ascii="Cambria" w:cs="Cambria" w:eastAsia="Cambria" w:hAnsi="Cambria"/>
          <w:i/>
          <w:iCs/>
          <w:sz w:val="24"/>
          <w:szCs w:val="24"/>
        </w:rPr>
        <w:t xml:space="preserve">sağlıklı</w:t>
      </w:r>
      <w:r>
        <w:rPr>
          <w:rFonts w:ascii="Cambria" w:cs="Cambria" w:eastAsia="Cambria" w:hAnsi="Cambria"/>
          <w:sz w:val="24"/>
          <w:szCs w:val="24"/>
        </w:rPr>
        <w:t xml:space="preserve"> closes on something the IB set does not contain at any point:</w:t>
      </w:r>
    </w:p>
    <w:p>
      <w:pPr>
        <w:spacing w:after="200" w:line="300"/>
        <w:ind w:left="480"/>
      </w:pPr>
      <w:r>
        <w:rPr>
          <w:rFonts w:ascii="Cambria" w:cs="Cambria" w:eastAsia="Cambria" w:hAnsi="Cambria"/>
          <w:b/>
          <w:bCs/>
          <w:i/>
          <w:iCs/>
          <w:sz w:val="24"/>
          <w:szCs w:val="24"/>
        </w:rPr>
        <w:t xml:space="preserve">Manevi sağlığını koruyan.</w:t>
      </w:r>
      <w:r>
        <w:rPr>
          <w:rFonts w:ascii="Cambria" w:cs="Cambria" w:eastAsia="Cambria" w:hAnsi="Cambria"/>
          <w:i/>
          <w:iCs/>
          <w:sz w:val="24"/>
          <w:szCs w:val="24"/>
        </w:rPr>
        <w:t xml:space="preserve"> İçsel huzur ve dengesini sürdürmek için manevi değerlere önem verir, ruhsal gelişimine özen gösterir ve manen gelişmiş hayat tarzını benimser. </w:t>
      </w:r>
      <w:r>
        <w:rPr>
          <w:rFonts w:ascii="Cambria" w:cs="Cambria" w:eastAsia="Cambria" w:hAnsi="Cambria"/>
          <w:i/>
          <w:iCs/>
          <w:sz w:val="24"/>
          <w:szCs w:val="24"/>
        </w:rPr>
        <w:t xml:space="preserve">(Protecting their spiritual health. Gives importance to spiritual values in order to sustain inner peace and balance, attends to their spiritual development, and adopts a spiritually developed way of life.)</w:t>
      </w:r>
    </w:p>
    <w:p>
      <w:pPr>
        <w:spacing w:after="180" w:line="360"/>
      </w:pPr>
      <w:r>
        <w:rPr>
          <w:rFonts w:ascii="Cambria" w:cs="Cambria" w:eastAsia="Cambria" w:hAnsi="Cambria"/>
          <w:sz w:val="24"/>
          <w:szCs w:val="24"/>
        </w:rPr>
        <w:t xml:space="preserve">A spiritual dimension is constitutive of the person in one profile and unmentioned in the other.</w:t>
      </w:r>
    </w:p>
    <w:p>
      <w:pPr>
        <w:spacing w:after="180" w:line="360"/>
      </w:pPr>
      <w:r>
        <w:rPr>
          <w:rFonts w:ascii="Cambria" w:cs="Cambria" w:eastAsia="Cambria" w:hAnsi="Cambria"/>
          <w:b/>
          <w:bCs/>
          <w:sz w:val="24"/>
          <w:szCs w:val="24"/>
        </w:rPr>
        <w:t xml:space="preserve">Reflection is in the model but not in the profile.</w:t>
      </w:r>
      <w:r>
        <w:rPr>
          <w:rFonts w:ascii="Cambria" w:cs="Cambria" w:eastAsia="Cambria" w:hAnsi="Cambria"/>
          <w:sz w:val="24"/>
          <w:szCs w:val="24"/>
        </w:rPr>
        <w:t xml:space="preserve"> The Maarif Model has a developed apparatus for it: </w:t>
      </w:r>
      <w:r>
        <w:rPr>
          <w:rFonts w:ascii="Cambria" w:cs="Cambria" w:eastAsia="Cambria" w:hAnsi="Cambria"/>
          <w:i/>
          <w:iCs/>
          <w:sz w:val="24"/>
          <w:szCs w:val="24"/>
        </w:rPr>
        <w:t xml:space="preserve">yansıtma</w:t>
      </w:r>
      <w:r>
        <w:rPr>
          <w:rFonts w:ascii="Cambria" w:cs="Cambria" w:eastAsia="Cambria" w:hAnsi="Cambria"/>
          <w:sz w:val="24"/>
          <w:szCs w:val="24"/>
        </w:rPr>
        <w:t xml:space="preserve"> is a named skill, </w:t>
      </w:r>
      <w:r>
        <w:rPr>
          <w:rFonts w:ascii="Cambria" w:cs="Cambria" w:eastAsia="Cambria" w:hAnsi="Cambria"/>
          <w:i/>
          <w:iCs/>
          <w:sz w:val="24"/>
          <w:szCs w:val="24"/>
        </w:rPr>
        <w:t xml:space="preserve">kendine uyarlama</w:t>
      </w:r>
      <w:r>
        <w:rPr>
          <w:rFonts w:ascii="Cambria" w:cs="Cambria" w:eastAsia="Cambria" w:hAnsi="Cambria"/>
          <w:sz w:val="24"/>
          <w:szCs w:val="24"/>
        </w:rPr>
        <w:t xml:space="preserve"> is one of three self-related social-emotional skills, and teacher reflection has a section of its own. None of it reaches the ten characteristics. The IB spends one of its ten on </w:t>
      </w:r>
      <w:r>
        <w:rPr>
          <w:rFonts w:ascii="Cambria" w:cs="Cambria" w:eastAsia="Cambria" w:hAnsi="Cambria"/>
          <w:i/>
          <w:iCs/>
          <w:sz w:val="24"/>
          <w:szCs w:val="24"/>
        </w:rPr>
        <w:t xml:space="preserve">reflective</w:t>
      </w:r>
      <w:r>
        <w:rPr>
          <w:rFonts w:ascii="Cambria" w:cs="Cambria" w:eastAsia="Cambria" w:hAnsi="Cambria"/>
          <w:sz w:val="24"/>
          <w:szCs w:val="24"/>
        </w:rPr>
        <w:t xml:space="preserve">. The difference is not that one system values reflection and the other does not; it is that only one treats it as part of what makes a person educated.</w:t>
      </w:r>
    </w:p>
    <w:p>
      <w:pPr>
        <w:spacing w:after="180" w:line="360"/>
      </w:pPr>
      <w:r>
        <w:rPr>
          <w:rFonts w:ascii="Cambria" w:cs="Cambria" w:eastAsia="Cambria" w:hAnsi="Cambria"/>
          <w:b/>
          <w:bCs/>
          <w:sz w:val="24"/>
          <w:szCs w:val="24"/>
        </w:rPr>
        <w:t xml:space="preserve">Wisdom is not knowledge.</w:t>
      </w:r>
      <w:r>
        <w:rPr>
          <w:rFonts w:ascii="Cambria" w:cs="Cambria" w:eastAsia="Cambria" w:hAnsi="Cambria"/>
          <w:sz w:val="24"/>
          <w:szCs w:val="24"/>
        </w:rPr>
        <w:t xml:space="preserve"> The IB's </w:t>
      </w:r>
      <w:r>
        <w:rPr>
          <w:rFonts w:ascii="Cambria" w:cs="Cambria" w:eastAsia="Cambria" w:hAnsi="Cambria"/>
          <w:i/>
          <w:iCs/>
          <w:sz w:val="24"/>
          <w:szCs w:val="24"/>
        </w:rPr>
        <w:t xml:space="preserve">knowledgeable</w:t>
      </w:r>
      <w:r>
        <w:rPr>
          <w:rFonts w:ascii="Cambria" w:cs="Cambria" w:eastAsia="Cambria" w:hAnsi="Cambria"/>
          <w:sz w:val="24"/>
          <w:szCs w:val="24"/>
        </w:rPr>
        <w:t xml:space="preserve"> is glossed by reach and relevance: "conceptual understanding, exploring knowledge across a range of disciplines", "issues and ideas that have local and global significance". </w:t>
      </w:r>
      <w:r>
        <w:rPr>
          <w:rFonts w:ascii="Cambria" w:cs="Cambria" w:eastAsia="Cambria" w:hAnsi="Cambria"/>
          <w:i/>
          <w:iCs/>
          <w:sz w:val="24"/>
          <w:szCs w:val="24"/>
        </w:rPr>
        <w:t xml:space="preserve">Bilge</w:t>
      </w:r>
      <w:r>
        <w:rPr>
          <w:rFonts w:ascii="Cambria" w:cs="Cambria" w:eastAsia="Cambria" w:hAnsi="Cambria"/>
          <w:sz w:val="24"/>
          <w:szCs w:val="24"/>
        </w:rPr>
        <w:t xml:space="preserve"> is glossed by what knowledge becomes when it is joined to something else: "Bilgi ve erdemin bir araya gelmesiyle gerçekleşen olgunluk." The correspondence in Table 1 is a structural adjacency. One profile's epistemic ideal ends in a relation to a field; the other's ends in a state of the person.</w:t>
      </w:r>
    </w:p>
    <w:p>
      <w:pPr>
        <w:pStyle w:val="Heading2"/>
        <w:spacing w:after="160" w:before="320" w:line="300"/>
      </w:pPr>
      <w:r>
        <w:rPr>
          <w:rFonts w:ascii="Cambria" w:cs="Cambria" w:eastAsia="Cambria" w:hAnsi="Cambria"/>
          <w:b/>
          <w:bCs/>
          <w:color w:val="000000"/>
          <w:sz w:val="27"/>
          <w:szCs w:val="27"/>
        </w:rPr>
        <w:t xml:space="preserve">4.5 Two portraits, and who cannot sit for them</w:t>
      </w:r>
    </w:p>
    <w:p>
      <w:pPr>
        <w:spacing w:after="180" w:line="360"/>
      </w:pPr>
      <w:r>
        <w:rPr>
          <w:rFonts w:ascii="Cambria" w:cs="Cambria" w:eastAsia="Cambria" w:hAnsi="Cambria"/>
          <w:sz w:val="24"/>
          <w:szCs w:val="24"/>
        </w:rPr>
        <w:t xml:space="preserve">Taken together, the features above assemble two figures.</w:t>
      </w:r>
    </w:p>
    <w:p>
      <w:pPr>
        <w:spacing w:after="180" w:line="360"/>
      </w:pPr>
      <w:r>
        <w:rPr>
          <w:rFonts w:ascii="Cambria" w:cs="Cambria" w:eastAsia="Cambria" w:hAnsi="Cambria"/>
          <w:sz w:val="24"/>
          <w:szCs w:val="24"/>
        </w:rPr>
        <w:t xml:space="preserve">The Maarif Model's student is described rather than addressed, is answerable to a collective named down to its symbols, and is granted freedoms on the understanding that exercising them will not disturb what they already hold. Set beside </w:t>
      </w:r>
      <w:r>
        <w:rPr>
          <w:rFonts w:ascii="Cambria" w:cs="Cambria" w:eastAsia="Cambria" w:hAnsi="Cambria"/>
          <w:i/>
          <w:iCs/>
          <w:sz w:val="24"/>
          <w:szCs w:val="24"/>
        </w:rPr>
        <w:t xml:space="preserve">zamansal bütünlük</w:t>
      </w:r>
      <w:r>
        <w:rPr>
          <w:rFonts w:ascii="Cambria" w:cs="Cambria" w:eastAsia="Cambria" w:hAnsi="Cambria"/>
          <w:sz w:val="24"/>
          <w:szCs w:val="24"/>
        </w:rPr>
        <w:t xml:space="preserve">, which extends the student's relevant past to "milletçe sahip olunan ortak bilinç, kültür ve değerler", the figure that emerges is an </w:t>
      </w:r>
      <w:r>
        <w:rPr>
          <w:rFonts w:ascii="Cambria" w:cs="Cambria" w:eastAsia="Cambria" w:hAnsi="Cambria"/>
          <w:b/>
          <w:bCs/>
          <w:sz w:val="24"/>
          <w:szCs w:val="24"/>
        </w:rPr>
        <w:t xml:space="preserve">heir</w:t>
      </w:r>
      <w:r>
        <w:rPr>
          <w:rFonts w:ascii="Cambria" w:cs="Cambria" w:eastAsia="Cambria" w:hAnsi="Cambria"/>
          <w:sz w:val="24"/>
          <w:szCs w:val="24"/>
        </w:rPr>
        <w:t xml:space="preserve">: someone who has received something, who is being formed so as to be equal to it, and who is expected not to lose it. The document says as much in its opening words — </w:t>
      </w:r>
      <w:r>
        <w:rPr>
          <w:rFonts w:ascii="Cambria" w:cs="Cambria" w:eastAsia="Cambria" w:hAnsi="Cambria"/>
          <w:i/>
          <w:iCs/>
          <w:sz w:val="24"/>
          <w:szCs w:val="24"/>
        </w:rPr>
        <w:t xml:space="preserve">Köklerden Geleceğe</w:t>
      </w:r>
      <w:r>
        <w:rPr>
          <w:rFonts w:ascii="Cambria" w:cs="Cambria" w:eastAsia="Cambria" w:hAnsi="Cambria"/>
          <w:sz w:val="24"/>
          <w:szCs w:val="24"/>
        </w:rPr>
        <w:t xml:space="preserve">, from the roots to the future.</w:t>
      </w:r>
    </w:p>
    <w:p>
      <w:pPr>
        <w:spacing w:after="180" w:line="360"/>
      </w:pPr>
      <w:r>
        <w:rPr>
          <w:rFonts w:ascii="Cambria" w:cs="Cambria" w:eastAsia="Cambria" w:hAnsi="Cambria"/>
          <w:sz w:val="24"/>
          <w:szCs w:val="24"/>
        </w:rPr>
        <w:t xml:space="preserve">The IB's student is addressed rather than described, belongs to a collective with no location, and is asked to appraise their own inheritance on the same terms as everyone else's. This figure is a </w:t>
      </w:r>
      <w:r>
        <w:rPr>
          <w:rFonts w:ascii="Cambria" w:cs="Cambria" w:eastAsia="Cambria" w:hAnsi="Cambria"/>
          <w:b/>
          <w:bCs/>
          <w:sz w:val="24"/>
          <w:szCs w:val="24"/>
        </w:rPr>
        <w:t xml:space="preserve">joiner</w:t>
      </w:r>
      <w:r>
        <w:rPr>
          <w:rFonts w:ascii="Cambria" w:cs="Cambria" w:eastAsia="Cambria" w:hAnsi="Cambria"/>
          <w:sz w:val="24"/>
          <w:szCs w:val="24"/>
        </w:rPr>
        <w:t xml:space="preserve">: already inside a community by the act of reading, holding nothing back from revision, at home in more than one language and therefore fully at home in none of them in particular.</w:t>
      </w:r>
    </w:p>
    <w:p>
      <w:pPr>
        <w:spacing w:after="180" w:line="360"/>
      </w:pPr>
      <w:r>
        <w:rPr>
          <w:rFonts w:ascii="Cambria" w:cs="Cambria" w:eastAsia="Cambria" w:hAnsi="Cambria"/>
          <w:sz w:val="24"/>
          <w:szCs w:val="24"/>
        </w:rPr>
        <w:t xml:space="preserve">Neither figure is a deficient version of the other, and it is worth insisting on this, because the temptation to score them is strong and the scoring is where comparative work on national and transnational frameworks usually goes wrong. The heir is not a failed cosmopolitan. The joiner is not a rootless one. They are answers to different questions about what education is for.</w:t>
      </w:r>
    </w:p>
    <w:p>
      <w:pPr>
        <w:spacing w:after="180" w:line="360"/>
      </w:pPr>
      <w:r>
        <w:rPr>
          <w:rFonts w:ascii="Cambria" w:cs="Cambria" w:eastAsia="Cambria" w:hAnsi="Cambria"/>
          <w:sz w:val="24"/>
          <w:szCs w:val="24"/>
        </w:rPr>
        <w:t xml:space="preserve">But each position has an outside, and that is the question worth pressing.</w:t>
      </w:r>
    </w:p>
    <w:p>
      <w:pPr>
        <w:spacing w:after="180" w:line="360"/>
      </w:pPr>
      <w:r>
        <w:rPr>
          <w:rFonts w:ascii="Cambria" w:cs="Cambria" w:eastAsia="Cambria" w:hAnsi="Cambria"/>
          <w:sz w:val="24"/>
          <w:szCs w:val="24"/>
        </w:rPr>
        <w:t xml:space="preserve">Who cannot be the heir? The clause reads </w:t>
      </w:r>
      <w:r>
        <w:rPr>
          <w:rFonts w:ascii="Cambria" w:cs="Cambria" w:eastAsia="Cambria" w:hAnsi="Cambria"/>
          <w:i/>
          <w:iCs/>
          <w:sz w:val="24"/>
          <w:szCs w:val="24"/>
        </w:rPr>
        <w:t xml:space="preserve">kendi değer ve inançlarıyla uyumlu</w:t>
      </w:r>
      <w:r>
        <w:rPr>
          <w:rFonts w:ascii="Cambria" w:cs="Cambria" w:eastAsia="Cambria" w:hAnsi="Cambria"/>
          <w:sz w:val="24"/>
          <w:szCs w:val="24"/>
        </w:rPr>
        <w:t xml:space="preserve">, consistent with their </w:t>
      </w:r>
      <w:r>
        <w:rPr>
          <w:rFonts w:ascii="Cambria" w:cs="Cambria" w:eastAsia="Cambria" w:hAnsi="Cambria"/>
          <w:b/>
          <w:bCs/>
          <w:sz w:val="24"/>
          <w:szCs w:val="24"/>
        </w:rPr>
        <w:t xml:space="preserve">own</w:t>
      </w:r>
      <w:r>
        <w:rPr>
          <w:rFonts w:ascii="Cambria" w:cs="Cambria" w:eastAsia="Cambria" w:hAnsi="Cambria"/>
          <w:sz w:val="24"/>
          <w:szCs w:val="24"/>
        </w:rPr>
        <w:t xml:space="preserve"> values and beliefs, and taken by itself that is neutral: it would accommodate any student's commitments whatever they were. It is not taken by itself. It sits in a document whose temporal construct furnishes the student's past with values "held as a nation", whose most densely specified characteristic names one flag and one language, and whose values framework grounds itself in "kendi medeniyet dünyamızın referansları olan millî ve manevi değerlerimiz" — our national and spiritual values, the references of our own civilisational world. By the time the student reaches the clause, their own has been supplied. A student whose commitments run elsewhere — who belongs to a minority tradition, speaks another first language, or holds beliefs the document has not anticipated — is offered a position that assumes their inheritance points the same way as everyone else's. Şen's (2020) observation that Turkish reform discourse addresses the population as homogeneous is visible here at the level of a single subordinate clause.</w:t>
      </w:r>
    </w:p>
    <w:p>
      <w:pPr>
        <w:spacing w:after="180" w:line="360"/>
      </w:pPr>
      <w:r>
        <w:rPr>
          <w:rFonts w:ascii="Cambria" w:cs="Cambria" w:eastAsia="Cambria" w:hAnsi="Cambria"/>
          <w:sz w:val="24"/>
          <w:szCs w:val="24"/>
        </w:rPr>
        <w:t xml:space="preserve">Who cannot be the joiner? A student for whom something is not up for revision. The IB asks that one's own culture be critically appreciated and that one be willing to grow from the encounter; a student who holds part of their inheritance as settled has no place to stand in that sentence. And the multilingual demand is not only symbolic. "More than one language" is a material threshold, and Bunnell's (2010) account of the IB's constituency indicates who tends to clear it. The joiner position is open to anyone in principle and, in practice, is easier to occupy from some households than others.</w:t>
      </w:r>
    </w:p>
    <w:p>
      <w:pPr>
        <w:spacing w:after="180" w:line="360"/>
      </w:pPr>
      <w:r>
        <w:rPr>
          <w:rFonts w:ascii="Cambria" w:cs="Cambria" w:eastAsia="Cambria" w:hAnsi="Cambria"/>
          <w:sz w:val="24"/>
          <w:szCs w:val="24"/>
        </w:rPr>
        <w:t xml:space="preserve">So both profiles are narrower than they look, and they are narrow in opposite directions. One has trouble with the student who differs from the collective it names. The other has trouble with the student who will not put their collective at risk.</w:t>
      </w:r>
    </w:p>
    <w:p>
      <w:r>
        <w:br w:type="page"/>
      </w:r>
    </w:p>
    <w:p>
      <w:pPr>
        <w:pStyle w:val="Heading1"/>
        <w:spacing w:after="160" w:before="400" w:line="300"/>
      </w:pPr>
      <w:r>
        <w:rPr>
          <w:rFonts w:ascii="Cambria" w:cs="Cambria" w:eastAsia="Cambria" w:hAnsi="Cambria"/>
          <w:b/>
          <w:bCs/>
          <w:color w:val="000000"/>
          <w:sz w:val="32"/>
          <w:szCs w:val="32"/>
        </w:rPr>
        <w:t xml:space="preserve">5. Concluding discussion</w:t>
      </w:r>
    </w:p>
    <w:p>
      <w:pPr>
        <w:pStyle w:val="Heading2"/>
        <w:spacing w:after="160" w:before="320" w:line="300"/>
      </w:pPr>
      <w:r>
        <w:rPr>
          <w:rFonts w:ascii="Cambria" w:cs="Cambria" w:eastAsia="Cambria" w:hAnsi="Cambria"/>
          <w:b/>
          <w:bCs/>
          <w:color w:val="000000"/>
          <w:sz w:val="27"/>
          <w:szCs w:val="27"/>
        </w:rPr>
        <w:t xml:space="preserve">5.1 Where the genre converges and where it does not</w:t>
      </w:r>
    </w:p>
    <w:p>
      <w:pPr>
        <w:spacing w:after="180" w:line="360"/>
      </w:pPr>
      <w:r>
        <w:rPr>
          <w:rFonts w:ascii="Cambria" w:cs="Cambria" w:eastAsia="Cambria" w:hAnsi="Cambria"/>
          <w:sz w:val="24"/>
          <w:szCs w:val="24"/>
        </w:rPr>
        <w:t xml:space="preserve">The contents of these two profiles are more alike than their reputations suggest. Both want students who inquire, who think critically, who act with integrity, who care for others and who are willing to be brave. A study that compared only what the two documents list would have found a large shared core and a modest fringe of local additions, and would have concluded that a national system and a transnational one converge on the educated person while differing at the edges.</w:t>
      </w:r>
    </w:p>
    <w:p>
      <w:pPr>
        <w:spacing w:after="180" w:line="360"/>
      </w:pPr>
      <w:r>
        <w:rPr>
          <w:rFonts w:ascii="Cambria" w:cs="Cambria" w:eastAsia="Cambria" w:hAnsi="Cambria"/>
          <w:sz w:val="24"/>
          <w:szCs w:val="24"/>
        </w:rPr>
        <w:t xml:space="preserve">That conclusion is available from the evidence and we think it is the wrong one, because the shared core is largely an artefact of the genre. A profile has to fit on a page and be repeatable by people who have not read the curriculum; the qualities that survive those constraints are the ones no constituency will object to. Convergence at the level of the list tells us mostly about what learner profiles can say.</w:t>
      </w:r>
    </w:p>
    <w:p>
      <w:pPr>
        <w:spacing w:after="180" w:line="360"/>
      </w:pPr>
      <w:r>
        <w:rPr>
          <w:rFonts w:ascii="Cambria" w:cs="Cambria" w:eastAsia="Cambria" w:hAnsi="Cambria"/>
          <w:sz w:val="24"/>
          <w:szCs w:val="24"/>
        </w:rPr>
        <w:t xml:space="preserve">What the two documents do not share is how they say it, and that turns out to carry the argument. One addresses the student and the other describes them. One names the collective the student serves and the other leaves it indefinite. One returns the student to themselves after every encounter and the other does not. None of this appears in an inventory of values, and all of it shapes the place the student is offered.</w:t>
      </w:r>
    </w:p>
    <w:p>
      <w:pPr>
        <w:spacing w:after="180" w:line="360"/>
      </w:pPr>
      <w:r>
        <w:rPr>
          <w:rFonts w:ascii="Cambria" w:cs="Cambria" w:eastAsia="Cambria" w:hAnsi="Cambria"/>
          <w:sz w:val="24"/>
          <w:szCs w:val="24"/>
        </w:rPr>
        <w:t xml:space="preserve">We take this to be the main methodological implication. Research on learner profiles has concentrated on their contents, and their contents are the part of the genre least likely to distinguish anything.</w:t>
      </w:r>
    </w:p>
    <w:p>
      <w:pPr>
        <w:pStyle w:val="Heading2"/>
        <w:spacing w:after="160" w:before="320" w:line="300"/>
      </w:pPr>
      <w:r>
        <w:rPr>
          <w:rFonts w:ascii="Cambria" w:cs="Cambria" w:eastAsia="Cambria" w:hAnsi="Cambria"/>
          <w:b/>
          <w:bCs/>
          <w:color w:val="000000"/>
          <w:sz w:val="27"/>
          <w:szCs w:val="27"/>
        </w:rPr>
        <w:t xml:space="preserve">5.2 Why the two positions cannot be blended</w:t>
      </w:r>
    </w:p>
    <w:p>
      <w:pPr>
        <w:spacing w:after="180" w:line="360"/>
      </w:pPr>
      <w:r>
        <w:rPr>
          <w:rFonts w:ascii="Cambria" w:cs="Cambria" w:eastAsia="Cambria" w:hAnsi="Cambria"/>
          <w:sz w:val="24"/>
          <w:szCs w:val="24"/>
        </w:rPr>
        <w:t xml:space="preserve">Comparative work on national and transnational frameworks tends to arrive at a recommendation: take the moral depth of the one and the openness of the other, and build something that has both. We do not think that is available, and the reason is structural rather than political.</w:t>
      </w:r>
    </w:p>
    <w:p>
      <w:pPr>
        <w:spacing w:after="180" w:line="360"/>
      </w:pPr>
      <w:r>
        <w:rPr>
          <w:rFonts w:ascii="Cambria" w:cs="Cambria" w:eastAsia="Cambria" w:hAnsi="Cambria"/>
          <w:sz w:val="24"/>
          <w:szCs w:val="24"/>
        </w:rPr>
        <w:t xml:space="preserve">The Maarif Model can specify what a good person consists of, at the level of sixty-one named components, because it knows who it is speaking to. Specification of that kind requires a destination. The IB cannot specify at that grain, because its profile must be legible in schools that share nothing but the IB, and Tocci, Ryan and Ensminger (2021) show what its generality already costs in classrooms even at the level it operates. The two levels of specification are not virtues and vices; each is what its institutional situation permits.</w:t>
      </w:r>
    </w:p>
    <w:p>
      <w:pPr>
        <w:spacing w:after="180" w:line="360"/>
      </w:pPr>
      <w:r>
        <w:rPr>
          <w:rFonts w:ascii="Cambria" w:cs="Cambria" w:eastAsia="Cambria" w:hAnsi="Cambria"/>
          <w:sz w:val="24"/>
          <w:szCs w:val="24"/>
        </w:rPr>
        <w:t xml:space="preserve">The same logic runs through the clause of return. A profile can name the tradition its student must preserve, or it can leave the outcome of encounter genuinely open. It cannot do both, because naming what must be preserved is what forecloses the outcome. A framework that named a collective and then declined to protect it would be making a promise it had no way to keep. Recommending that systems combine the two mistakes a trade-off for an oversight.</w:t>
      </w:r>
    </w:p>
    <w:p>
      <w:pPr>
        <w:spacing w:after="180" w:line="360"/>
      </w:pPr>
      <w:r>
        <w:rPr>
          <w:rFonts w:ascii="Cambria" w:cs="Cambria" w:eastAsia="Cambria" w:hAnsi="Cambria"/>
          <w:sz w:val="24"/>
          <w:szCs w:val="24"/>
        </w:rPr>
        <w:t xml:space="preserve">What can be transferred is smaller and more useful than a hybrid. Each profile could learn what the other's form makes visible. A profile that names its collective can be argued with by the people it names; a profile that does not name one is protected from that argument, and the protection is not obviously a good thing. Conversely, a profile that attaches no conditions to openness has not thereby avoided the question of what it wants preserved — it has only left the answer implicit, which makes it harder to examine.</w:t>
      </w:r>
    </w:p>
    <w:p>
      <w:pPr>
        <w:pStyle w:val="Heading2"/>
        <w:spacing w:after="160" w:before="320" w:line="300"/>
      </w:pPr>
      <w:r>
        <w:rPr>
          <w:rFonts w:ascii="Cambria" w:cs="Cambria" w:eastAsia="Cambria" w:hAnsi="Cambria"/>
          <w:b/>
          <w:bCs/>
          <w:color w:val="000000"/>
          <w:sz w:val="27"/>
          <w:szCs w:val="27"/>
        </w:rPr>
        <w:t xml:space="preserve">5.3 What this means for writing a profile</w:t>
      </w:r>
    </w:p>
    <w:p>
      <w:pPr>
        <w:spacing w:after="180" w:line="360"/>
      </w:pPr>
      <w:r>
        <w:rPr>
          <w:rFonts w:ascii="Cambria" w:cs="Cambria" w:eastAsia="Cambria" w:hAnsi="Cambria"/>
          <w:sz w:val="24"/>
          <w:szCs w:val="24"/>
        </w:rPr>
        <w:t xml:space="preserve">The choices that did most work in our analysis are choices drafting groups rarely deliberate over. Whether to write </w:t>
      </w:r>
      <w:r>
        <w:rPr>
          <w:rFonts w:ascii="Cambria" w:cs="Cambria" w:eastAsia="Cambria" w:hAnsi="Cambria"/>
          <w:i/>
          <w:iCs/>
          <w:sz w:val="24"/>
          <w:szCs w:val="24"/>
        </w:rPr>
        <w:t xml:space="preserve">we</w:t>
      </w:r>
      <w:r>
        <w:rPr>
          <w:rFonts w:ascii="Cambria" w:cs="Cambria" w:eastAsia="Cambria" w:hAnsi="Cambria"/>
          <w:sz w:val="24"/>
          <w:szCs w:val="24"/>
        </w:rPr>
        <w:t xml:space="preserve"> or </w:t>
      </w:r>
      <w:r>
        <w:rPr>
          <w:rFonts w:ascii="Cambria" w:cs="Cambria" w:eastAsia="Cambria" w:hAnsi="Cambria"/>
          <w:i/>
          <w:iCs/>
          <w:sz w:val="24"/>
          <w:szCs w:val="24"/>
        </w:rPr>
        <w:t xml:space="preserve">the student</w:t>
      </w:r>
      <w:r>
        <w:rPr>
          <w:rFonts w:ascii="Cambria" w:cs="Cambria" w:eastAsia="Cambria" w:hAnsi="Cambria"/>
          <w:sz w:val="24"/>
          <w:szCs w:val="24"/>
        </w:rPr>
        <w:t xml:space="preserve">. Whether to name what the student is answerable to or to leave it general. Whether to qualify a grant of independence. These are usually settled by the house style of the ministry or the habit of the drafter, and they determine how the document positions its reader more decisively than the selection of qualities does, which is where drafting committees spend nearly all of their time.</w:t>
      </w:r>
    </w:p>
    <w:p>
      <w:pPr>
        <w:spacing w:after="180" w:line="360"/>
      </w:pPr>
      <w:r>
        <w:rPr>
          <w:rFonts w:ascii="Cambria" w:cs="Cambria" w:eastAsia="Cambria" w:hAnsi="Cambria"/>
          <w:sz w:val="24"/>
          <w:szCs w:val="24"/>
        </w:rPr>
        <w:t xml:space="preserve">The exclusion analysis in §4.5 is the practical payoff, and it generalises beyond these two texts. Any profile can be read for who is unable to occupy the position it offers, and the reading is quick: find the point where the document assumes something about the student's starting commitments, and ask which students do not start there. For the Maarif Model that point is a subordinate clause about what independent thought must stay consistent with. For the IB it is a requirement to hold one's inheritance open, and a demand for a second language. Neither system, on the evidence of its profile, appears to have asked the question.</w:t>
      </w:r>
    </w:p>
    <w:p>
      <w:pPr>
        <w:pStyle w:val="Heading2"/>
        <w:spacing w:after="160" w:before="320" w:line="300"/>
      </w:pPr>
      <w:r>
        <w:rPr>
          <w:rFonts w:ascii="Cambria" w:cs="Cambria" w:eastAsia="Cambria" w:hAnsi="Cambria"/>
          <w:b/>
          <w:bCs/>
          <w:color w:val="000000"/>
          <w:sz w:val="27"/>
          <w:szCs w:val="27"/>
        </w:rPr>
        <w:t xml:space="preserve">5.4 Limits</w:t>
      </w:r>
    </w:p>
    <w:p>
      <w:pPr>
        <w:spacing w:after="180" w:line="360"/>
      </w:pPr>
      <w:r>
        <w:rPr>
          <w:rFonts w:ascii="Cambria" w:cs="Cambria" w:eastAsia="Cambria" w:hAnsi="Cambria"/>
          <w:sz w:val="24"/>
          <w:szCs w:val="24"/>
        </w:rPr>
        <w:t xml:space="preserve">We have analysed documents, and only documents. What Turkish and IB teachers do with these texts is a separate question requiring separate methods, and nothing here should be read as evidence about classrooms. Ball's (1994) distinction between policy as text and policy as discourse marks the boundary: we reach the first and touch the edge of the second.</w:t>
      </w:r>
    </w:p>
    <w:p>
      <w:pPr>
        <w:spacing w:after="180" w:line="360"/>
      </w:pPr>
      <w:r>
        <w:rPr>
          <w:rFonts w:ascii="Cambria" w:cs="Cambria" w:eastAsia="Cambria" w:hAnsi="Cambria"/>
          <w:sz w:val="24"/>
          <w:szCs w:val="24"/>
        </w:rPr>
        <w:t xml:space="preserve">The comparison is asymmetrical in ways that can be declared but not corrected. One profile governs a system and the other moves between them. One was read in a first language and the other in a second. One has three decades of interpretive apparatus around it and the other has been in force for two years, which means our reading of the Maarif Model has less scholarship to be checked against than our reading of the IB.</w:t>
      </w:r>
    </w:p>
    <w:p>
      <w:pPr>
        <w:spacing w:after="180" w:line="360"/>
      </w:pPr>
      <w:r>
        <w:rPr>
          <w:rFonts w:ascii="Cambria" w:cs="Cambria" w:eastAsia="Cambria" w:hAnsi="Cambria"/>
          <w:sz w:val="24"/>
          <w:szCs w:val="24"/>
        </w:rPr>
        <w:t xml:space="preserve">The clause of return rests on three instances. That is enough to establish that the construction is used and to show what it does; it is not enough to establish a rate, and we make no claim about frequency. The Maarif Model is also recent and under revision, and our findings are indexed to the 2025 edition of the </w:t>
      </w:r>
      <w:r>
        <w:rPr>
          <w:rFonts w:ascii="Cambria" w:cs="Cambria" w:eastAsia="Cambria" w:hAnsi="Cambria"/>
          <w:i/>
          <w:iCs/>
          <w:sz w:val="24"/>
          <w:szCs w:val="24"/>
        </w:rPr>
        <w:t xml:space="preserve">Ortak Metni</w:t>
      </w:r>
      <w:r>
        <w:rPr>
          <w:rFonts w:ascii="Cambria" w:cs="Cambria" w:eastAsia="Cambria" w:hAnsi="Cambria"/>
          <w:sz w:val="24"/>
          <w:szCs w:val="24"/>
        </w:rPr>
        <w:t xml:space="preserve">.</w:t>
      </w:r>
    </w:p>
    <w:p>
      <w:pPr>
        <w:spacing w:after="180" w:line="360"/>
      </w:pPr>
      <w:r>
        <w:rPr>
          <w:rFonts w:ascii="Cambria" w:cs="Cambria" w:eastAsia="Cambria" w:hAnsi="Cambria"/>
          <w:sz w:val="24"/>
          <w:szCs w:val="24"/>
        </w:rPr>
        <w:t xml:space="preserve">Finally, the ten-against-ten symmetry that made this comparison tractable belongs to how the documents present themselves. It licenses comparison of structural position, and Table 1 accordingly reports adjacencies rather than equivalences.</w:t>
      </w:r>
    </w:p>
    <w:p>
      <w:pPr>
        <w:pStyle w:val="Heading2"/>
        <w:spacing w:after="160" w:before="320" w:line="300"/>
      </w:pPr>
      <w:r>
        <w:rPr>
          <w:rFonts w:ascii="Cambria" w:cs="Cambria" w:eastAsia="Cambria" w:hAnsi="Cambria"/>
          <w:b/>
          <w:bCs/>
          <w:color w:val="000000"/>
          <w:sz w:val="27"/>
          <w:szCs w:val="27"/>
        </w:rPr>
        <w:t xml:space="preserve">5.5 Ending</w:t>
      </w:r>
    </w:p>
    <w:p>
      <w:pPr>
        <w:spacing w:after="180" w:line="360"/>
      </w:pPr>
      <w:r>
        <w:rPr>
          <w:rFonts w:ascii="Cambria" w:cs="Cambria" w:eastAsia="Cambria" w:hAnsi="Cambria"/>
          <w:sz w:val="24"/>
          <w:szCs w:val="24"/>
        </w:rPr>
        <w:t xml:space="preserve">The two documents we have read are trying to do something difficult in very little space: say what a person is for, in a way that a teacher can repeat and a fourteen-year-old can hear. Both do it seriously. Neither is the cynical exercise that critical curriculum scholarship sometimes expects to find, and neither is innocent either.</w:t>
      </w:r>
    </w:p>
    <w:p>
      <w:pPr>
        <w:spacing w:after="180" w:line="360"/>
      </w:pPr>
      <w:r>
        <w:rPr>
          <w:rFonts w:ascii="Cambria" w:cs="Cambria" w:eastAsia="Cambria" w:hAnsi="Cambria"/>
          <w:sz w:val="24"/>
          <w:szCs w:val="24"/>
        </w:rPr>
        <w:t xml:space="preserve">What separates them is not the depth of their moral ambition, which is comparable, nor the range of their view, which is easy to mistake for a difference in generosity. It is what each does with the student's inheritance. The Maarif Model treats it as the thing being handed on, and builds a person who can be trusted with it. The IB treats it as one of the things to be examined, and builds a person who can survive the examination. Each produces someone the other has no place for.</w:t>
      </w:r>
    </w:p>
    <w:p>
      <w:pPr>
        <w:spacing w:after="180" w:line="360"/>
      </w:pPr>
      <w:r>
        <w:rPr>
          <w:rFonts w:ascii="Cambria" w:cs="Cambria" w:eastAsia="Cambria" w:hAnsi="Cambria"/>
          <w:sz w:val="24"/>
          <w:szCs w:val="24"/>
        </w:rPr>
        <w:t xml:space="preserve">That is worth stating plainly, because the field's habitual move at this point is to hope for a synthesis, and the hope obscures what is actually at stake. These are not two dialects of a shared educational language. They are two answers to the question of whether a person should be able to come home.</w:t>
      </w:r>
    </w:p>
    <w:p>
      <w:pPr>
        <w:pStyle w:val="Heading1"/>
        <w:spacing w:after="160" w:before="400" w:line="300"/>
      </w:pPr>
      <w:r>
        <w:rPr>
          <w:rFonts w:ascii="Cambria" w:cs="Cambria" w:eastAsia="Cambria" w:hAnsi="Cambria"/>
          <w:b/>
          <w:bCs/>
          <w:color w:val="000000"/>
          <w:sz w:val="32"/>
          <w:szCs w:val="32"/>
        </w:rPr>
        <w:t xml:space="preserve">References</w:t>
      </w:r>
    </w:p>
    <w:p>
      <w:pPr>
        <w:spacing w:after="180" w:line="360"/>
      </w:pPr>
      <w:r>
        <w:rPr>
          <w:rFonts w:ascii="Cambria" w:cs="Cambria" w:eastAsia="Cambria" w:hAnsi="Cambria"/>
          <w:sz w:val="24"/>
          <w:szCs w:val="24"/>
        </w:rPr>
        <w:t xml:space="preserve">Apple, M. W. (2004). </w:t>
      </w:r>
      <w:r>
        <w:rPr>
          <w:rFonts w:ascii="Cambria" w:cs="Cambria" w:eastAsia="Cambria" w:hAnsi="Cambria"/>
          <w:i/>
          <w:iCs/>
          <w:sz w:val="24"/>
          <w:szCs w:val="24"/>
        </w:rPr>
        <w:t xml:space="preserve">Ideology and curriculum</w:t>
      </w:r>
      <w:r>
        <w:rPr>
          <w:rFonts w:ascii="Cambria" w:cs="Cambria" w:eastAsia="Cambria" w:hAnsi="Cambria"/>
          <w:sz w:val="24"/>
          <w:szCs w:val="24"/>
        </w:rPr>
        <w:t xml:space="preserve"> (3rd ed.). Routledge. https://doi.org/10.4324/9780203487563</w:t>
      </w:r>
    </w:p>
    <w:p>
      <w:pPr>
        <w:spacing w:after="180" w:line="360"/>
      </w:pPr>
      <w:r>
        <w:rPr>
          <w:rFonts w:ascii="Cambria" w:cs="Cambria" w:eastAsia="Cambria" w:hAnsi="Cambria"/>
          <w:sz w:val="24"/>
          <w:szCs w:val="24"/>
        </w:rPr>
        <w:t xml:space="preserve">Ball, S. J. (1994). </w:t>
      </w:r>
      <w:r>
        <w:rPr>
          <w:rFonts w:ascii="Cambria" w:cs="Cambria" w:eastAsia="Cambria" w:hAnsi="Cambria"/>
          <w:i/>
          <w:iCs/>
          <w:sz w:val="24"/>
          <w:szCs w:val="24"/>
        </w:rPr>
        <w:t xml:space="preserve">Education reform: A critical and post-structural approach</w:t>
      </w:r>
      <w:r>
        <w:rPr>
          <w:rFonts w:ascii="Cambria" w:cs="Cambria" w:eastAsia="Cambria" w:hAnsi="Cambria"/>
          <w:sz w:val="24"/>
          <w:szCs w:val="24"/>
        </w:rPr>
        <w:t xml:space="preserve">. Open University Press.</w:t>
      </w:r>
    </w:p>
    <w:p>
      <w:pPr>
        <w:spacing w:after="180" w:line="360"/>
      </w:pPr>
      <w:r>
        <w:rPr>
          <w:rFonts w:ascii="Cambria" w:cs="Cambria" w:eastAsia="Cambria" w:hAnsi="Cambria"/>
          <w:sz w:val="24"/>
          <w:szCs w:val="24"/>
        </w:rPr>
        <w:t xml:space="preserve">Bayrak, B. (2025). </w:t>
      </w:r>
      <w:r>
        <w:rPr>
          <w:rFonts w:ascii="Cambria" w:cs="Cambria" w:eastAsia="Cambria" w:hAnsi="Cambria"/>
          <w:i/>
          <w:iCs/>
          <w:sz w:val="24"/>
          <w:szCs w:val="24"/>
        </w:rPr>
        <w:t xml:space="preserve">Türkiye Yüzyılı Maarif Modelindeki yetkin ve erdemli insan niteliklerinin Kutadgu Bilig eseriyle karşılaştırılması</w:t>
      </w:r>
      <w:r>
        <w:rPr>
          <w:rFonts w:ascii="Cambria" w:cs="Cambria" w:eastAsia="Cambria" w:hAnsi="Cambria"/>
          <w:sz w:val="24"/>
          <w:szCs w:val="24"/>
        </w:rPr>
        <w:t xml:space="preserve">. Özgür Yayınları. https://doi.org/10.58830/ozgur.pub1082.c4282</w:t>
      </w:r>
    </w:p>
    <w:p>
      <w:pPr>
        <w:spacing w:after="180" w:line="360"/>
      </w:pPr>
      <w:r>
        <w:rPr>
          <w:rFonts w:ascii="Cambria" w:cs="Cambria" w:eastAsia="Cambria" w:hAnsi="Cambria"/>
          <w:sz w:val="24"/>
          <w:szCs w:val="24"/>
        </w:rPr>
        <w:t xml:space="preserve">Bunnell, T. (2010). The International Baccalaureate and a framework for class consciousness: The potential outcomes of a 'class-for-itself'. </w:t>
      </w:r>
      <w:r>
        <w:rPr>
          <w:rFonts w:ascii="Cambria" w:cs="Cambria" w:eastAsia="Cambria" w:hAnsi="Cambria"/>
          <w:i/>
          <w:iCs/>
          <w:sz w:val="24"/>
          <w:szCs w:val="24"/>
        </w:rPr>
        <w:t xml:space="preserve">Discourse: Studies in the Cultural Politics of Education, 31</w:t>
      </w:r>
      <w:r>
        <w:rPr>
          <w:rFonts w:ascii="Cambria" w:cs="Cambria" w:eastAsia="Cambria" w:hAnsi="Cambria"/>
          <w:sz w:val="24"/>
          <w:szCs w:val="24"/>
        </w:rPr>
        <w:t xml:space="preserve">(3), 351–362. https://doi.org/10.1080/01596301003786969</w:t>
      </w:r>
    </w:p>
    <w:p>
      <w:pPr>
        <w:spacing w:after="180" w:line="360"/>
      </w:pPr>
      <w:r>
        <w:rPr>
          <w:rFonts w:ascii="Cambria" w:cs="Cambria" w:eastAsia="Cambria" w:hAnsi="Cambria"/>
          <w:sz w:val="24"/>
          <w:szCs w:val="24"/>
        </w:rPr>
        <w:t xml:space="preserve">Ersözlü, A., Karakuş, M., &amp; Karakaş, F. (2022). Nurturing a climate of innovation in a didactic educational system: A case study exploring leadership in private schools in Turkey. </w:t>
      </w:r>
      <w:r>
        <w:rPr>
          <w:rFonts w:ascii="Cambria" w:cs="Cambria" w:eastAsia="Cambria" w:hAnsi="Cambria"/>
          <w:i/>
          <w:iCs/>
          <w:sz w:val="24"/>
          <w:szCs w:val="24"/>
        </w:rPr>
        <w:t xml:space="preserve">Leadership and Policy in Schools, 23</w:t>
      </w:r>
      <w:r>
        <w:rPr>
          <w:rFonts w:ascii="Cambria" w:cs="Cambria" w:eastAsia="Cambria" w:hAnsi="Cambria"/>
          <w:sz w:val="24"/>
          <w:szCs w:val="24"/>
        </w:rPr>
        <w:t xml:space="preserve">(2), 275–295. https://doi.org/10.1080/15700763.2022.2129074</w:t>
      </w:r>
    </w:p>
    <w:p>
      <w:pPr>
        <w:spacing w:after="180" w:line="360"/>
      </w:pPr>
      <w:r>
        <w:rPr>
          <w:rFonts w:ascii="Cambria" w:cs="Cambria" w:eastAsia="Cambria" w:hAnsi="Cambria"/>
          <w:sz w:val="24"/>
          <w:szCs w:val="24"/>
        </w:rPr>
        <w:t xml:space="preserve">Hill, I. (2012). Evolution of education for international mindedness. </w:t>
      </w:r>
      <w:r>
        <w:rPr>
          <w:rFonts w:ascii="Cambria" w:cs="Cambria" w:eastAsia="Cambria" w:hAnsi="Cambria"/>
          <w:i/>
          <w:iCs/>
          <w:sz w:val="24"/>
          <w:szCs w:val="24"/>
        </w:rPr>
        <w:t xml:space="preserve">Journal of Research in International Education, 11</w:t>
      </w:r>
      <w:r>
        <w:rPr>
          <w:rFonts w:ascii="Cambria" w:cs="Cambria" w:eastAsia="Cambria" w:hAnsi="Cambria"/>
          <w:sz w:val="24"/>
          <w:szCs w:val="24"/>
        </w:rPr>
        <w:t xml:space="preserve">(3), 245–261. https://doi.org/10.1177/1475240912461990</w:t>
      </w:r>
    </w:p>
    <w:p>
      <w:pPr>
        <w:spacing w:after="180" w:line="360"/>
      </w:pPr>
      <w:r>
        <w:rPr>
          <w:rFonts w:ascii="Cambria" w:cs="Cambria" w:eastAsia="Cambria" w:hAnsi="Cambria"/>
          <w:sz w:val="24"/>
          <w:szCs w:val="24"/>
        </w:rPr>
        <w:t xml:space="preserve">Hilt, L. T., Riese, H., &amp; Søreide, G. E. (2018). Narrow identity resources for future students: The 21st century skills movement encounters the Norwegian education policy context. </w:t>
      </w:r>
      <w:r>
        <w:rPr>
          <w:rFonts w:ascii="Cambria" w:cs="Cambria" w:eastAsia="Cambria" w:hAnsi="Cambria"/>
          <w:i/>
          <w:iCs/>
          <w:sz w:val="24"/>
          <w:szCs w:val="24"/>
        </w:rPr>
        <w:t xml:space="preserve">Journal of Curriculum Studies, 51</w:t>
      </w:r>
      <w:r>
        <w:rPr>
          <w:rFonts w:ascii="Cambria" w:cs="Cambria" w:eastAsia="Cambria" w:hAnsi="Cambria"/>
          <w:sz w:val="24"/>
          <w:szCs w:val="24"/>
        </w:rPr>
        <w:t xml:space="preserve">(3), 384–402. https://doi.org/10.1080/00220272.2018.1502356</w:t>
      </w:r>
    </w:p>
    <w:p>
      <w:pPr>
        <w:spacing w:after="180" w:line="360"/>
      </w:pPr>
      <w:r>
        <w:rPr>
          <w:rFonts w:ascii="Cambria" w:cs="Cambria" w:eastAsia="Cambria" w:hAnsi="Cambria"/>
          <w:sz w:val="24"/>
          <w:szCs w:val="24"/>
        </w:rPr>
        <w:t xml:space="preserve">International Baccalaureate Organization. (2017). </w:t>
      </w:r>
      <w:r>
        <w:rPr>
          <w:rFonts w:ascii="Cambria" w:cs="Cambria" w:eastAsia="Cambria" w:hAnsi="Cambria"/>
          <w:i/>
          <w:iCs/>
          <w:sz w:val="24"/>
          <w:szCs w:val="24"/>
        </w:rPr>
        <w:t xml:space="preserve">IB learner profile</w:t>
      </w:r>
      <w:r>
        <w:rPr>
          <w:rFonts w:ascii="Cambria" w:cs="Cambria" w:eastAsia="Cambria" w:hAnsi="Cambria"/>
          <w:sz w:val="24"/>
          <w:szCs w:val="24"/>
        </w:rPr>
        <w:t xml:space="preserve">. IBO.</w:t>
      </w:r>
    </w:p>
    <w:p>
      <w:pPr>
        <w:spacing w:after="180" w:line="360"/>
      </w:pPr>
      <w:r>
        <w:rPr>
          <w:rFonts w:ascii="Cambria" w:cs="Cambria" w:eastAsia="Cambria" w:hAnsi="Cambria"/>
          <w:sz w:val="24"/>
          <w:szCs w:val="24"/>
        </w:rPr>
        <w:t xml:space="preserve">International Baccalaureate Organization. (2017). </w:t>
      </w:r>
      <w:r>
        <w:rPr>
          <w:rFonts w:ascii="Cambria" w:cs="Cambria" w:eastAsia="Cambria" w:hAnsi="Cambria"/>
          <w:i/>
          <w:iCs/>
          <w:sz w:val="24"/>
          <w:szCs w:val="24"/>
        </w:rPr>
        <w:t xml:space="preserve">What is an IB education?</w:t>
      </w:r>
      <w:r>
        <w:rPr>
          <w:rFonts w:ascii="Cambria" w:cs="Cambria" w:eastAsia="Cambria" w:hAnsi="Cambria"/>
          <w:sz w:val="24"/>
          <w:szCs w:val="24"/>
        </w:rPr>
        <w:t xml:space="preserve"> IBO.</w:t>
      </w:r>
    </w:p>
    <w:p>
      <w:pPr>
        <w:spacing w:after="180" w:line="360"/>
      </w:pPr>
      <w:r>
        <w:rPr>
          <w:rFonts w:ascii="Cambria" w:cs="Cambria" w:eastAsia="Cambria" w:hAnsi="Cambria"/>
          <w:sz w:val="24"/>
          <w:szCs w:val="24"/>
        </w:rPr>
        <w:t xml:space="preserve">Kadıoğlu Ateş, H. (2024). Türkiye Yüzyılı Maarif Modelinde bahsedilen öğrenci profili "yetkin ve erdemli insan"a ulaşmanın yolu. </w:t>
      </w:r>
      <w:r>
        <w:rPr>
          <w:rFonts w:ascii="Cambria" w:cs="Cambria" w:eastAsia="Cambria" w:hAnsi="Cambria"/>
          <w:i/>
          <w:iCs/>
          <w:sz w:val="24"/>
          <w:szCs w:val="24"/>
        </w:rPr>
        <w:t xml:space="preserve">The Journal of Social Sciences, 71</w:t>
      </w:r>
      <w:r>
        <w:rPr>
          <w:rFonts w:ascii="Cambria" w:cs="Cambria" w:eastAsia="Cambria" w:hAnsi="Cambria"/>
          <w:sz w:val="24"/>
          <w:szCs w:val="24"/>
        </w:rPr>
        <w:t xml:space="preserve">(71), 13–35. https://doi.org/10.29228/sobider.77101</w:t>
      </w:r>
    </w:p>
    <w:p>
      <w:pPr>
        <w:spacing w:after="180" w:line="360"/>
      </w:pPr>
      <w:r>
        <w:rPr>
          <w:rFonts w:ascii="Cambria" w:cs="Cambria" w:eastAsia="Cambria" w:hAnsi="Cambria"/>
          <w:sz w:val="24"/>
          <w:szCs w:val="24"/>
        </w:rPr>
        <w:t xml:space="preserve">Karaoğulları, N. (2026). Türkiye Yüzyılı Maarif Modeli Öğretim Programları Ortak Metni'nde belirtilen "Yetkin ve Erdemli İnsan" öğrenci profili açısından Mavi Ada Kaybolan Çocuğun Hikâyesi'nin incelenmesi. </w:t>
      </w:r>
      <w:r>
        <w:rPr>
          <w:rFonts w:ascii="Cambria" w:cs="Cambria" w:eastAsia="Cambria" w:hAnsi="Cambria"/>
          <w:i/>
          <w:iCs/>
          <w:sz w:val="24"/>
          <w:szCs w:val="24"/>
        </w:rPr>
        <w:t xml:space="preserve">Avrasya Beşeri Bilim Araştırmaları Dergisi</w:t>
      </w:r>
      <w:r>
        <w:rPr>
          <w:rFonts w:ascii="Cambria" w:cs="Cambria" w:eastAsia="Cambria" w:hAnsi="Cambria"/>
          <w:sz w:val="24"/>
          <w:szCs w:val="24"/>
        </w:rPr>
        <w:t xml:space="preserve">, (1), 1–10. https://doi.org/10.7596/abbad.1814043</w:t>
      </w:r>
    </w:p>
    <w:p>
      <w:pPr>
        <w:spacing w:after="180" w:line="360"/>
      </w:pPr>
      <w:r>
        <w:rPr>
          <w:rFonts w:ascii="Cambria" w:cs="Cambria" w:eastAsia="Cambria" w:hAnsi="Cambria"/>
          <w:sz w:val="24"/>
          <w:szCs w:val="24"/>
        </w:rPr>
        <w:t xml:space="preserve">Manzon, M. (2011). </w:t>
      </w:r>
      <w:r>
        <w:rPr>
          <w:rFonts w:ascii="Cambria" w:cs="Cambria" w:eastAsia="Cambria" w:hAnsi="Cambria"/>
          <w:i/>
          <w:iCs/>
          <w:sz w:val="24"/>
          <w:szCs w:val="24"/>
        </w:rPr>
        <w:t xml:space="preserve">Comparative education: The construction of a field</w:t>
      </w:r>
      <w:r>
        <w:rPr>
          <w:rFonts w:ascii="Cambria" w:cs="Cambria" w:eastAsia="Cambria" w:hAnsi="Cambria"/>
          <w:sz w:val="24"/>
          <w:szCs w:val="24"/>
        </w:rPr>
        <w:t xml:space="preserve">. Springer/Comparative Education Research Centre, University of Hong Kong.</w:t>
      </w:r>
    </w:p>
    <w:p>
      <w:pPr>
        <w:spacing w:after="180" w:line="360"/>
      </w:pPr>
      <w:r>
        <w:rPr>
          <w:rFonts w:ascii="Cambria" w:cs="Cambria" w:eastAsia="Cambria" w:hAnsi="Cambria"/>
          <w:sz w:val="24"/>
          <w:szCs w:val="24"/>
        </w:rPr>
        <w:t xml:space="preserve">Metlí, A., &amp; Lane, J. F. (2020). International mindedness: A revised conceptual framework. </w:t>
      </w:r>
      <w:r>
        <w:rPr>
          <w:rFonts w:ascii="Cambria" w:cs="Cambria" w:eastAsia="Cambria" w:hAnsi="Cambria"/>
          <w:i/>
          <w:iCs/>
          <w:sz w:val="24"/>
          <w:szCs w:val="24"/>
        </w:rPr>
        <w:t xml:space="preserve">Journal of Research in International Education, 19</w:t>
      </w:r>
      <w:r>
        <w:rPr>
          <w:rFonts w:ascii="Cambria" w:cs="Cambria" w:eastAsia="Cambria" w:hAnsi="Cambria"/>
          <w:sz w:val="24"/>
          <w:szCs w:val="24"/>
        </w:rPr>
        <w:t xml:space="preserve">(3), 202–219. https://doi.org/10.1177/1475240920976229</w:t>
      </w:r>
    </w:p>
    <w:p>
      <w:pPr>
        <w:spacing w:after="180" w:line="360"/>
      </w:pPr>
      <w:r>
        <w:rPr>
          <w:rFonts w:ascii="Cambria" w:cs="Cambria" w:eastAsia="Cambria" w:hAnsi="Cambria"/>
          <w:sz w:val="24"/>
          <w:szCs w:val="24"/>
        </w:rPr>
        <w:t xml:space="preserve">Millî Eğitim Bakanlığı. (2025). </w:t>
      </w:r>
      <w:r>
        <w:rPr>
          <w:rFonts w:ascii="Cambria" w:cs="Cambria" w:eastAsia="Cambria" w:hAnsi="Cambria"/>
          <w:i/>
          <w:iCs/>
          <w:sz w:val="24"/>
          <w:szCs w:val="24"/>
        </w:rPr>
        <w:t xml:space="preserve">Türkiye Yüzyılı Maarif Modeli: Öğretim programları ortak metni</w:t>
      </w:r>
      <w:r>
        <w:rPr>
          <w:rFonts w:ascii="Cambria" w:cs="Cambria" w:eastAsia="Cambria" w:hAnsi="Cambria"/>
          <w:sz w:val="24"/>
          <w:szCs w:val="24"/>
        </w:rPr>
        <w:t xml:space="preserve">. MEB.</w:t>
      </w:r>
    </w:p>
    <w:p>
      <w:pPr>
        <w:spacing w:after="180" w:line="360"/>
      </w:pPr>
      <w:r>
        <w:rPr>
          <w:rFonts w:ascii="Cambria" w:cs="Cambria" w:eastAsia="Cambria" w:hAnsi="Cambria"/>
          <w:sz w:val="24"/>
          <w:szCs w:val="24"/>
        </w:rPr>
        <w:t xml:space="preserve">Resnik, J. (2012). Sociology of international education — An emerging field of research. </w:t>
      </w:r>
      <w:r>
        <w:rPr>
          <w:rFonts w:ascii="Cambria" w:cs="Cambria" w:eastAsia="Cambria" w:hAnsi="Cambria"/>
          <w:i/>
          <w:iCs/>
          <w:sz w:val="24"/>
          <w:szCs w:val="24"/>
        </w:rPr>
        <w:t xml:space="preserve">International Studies in Sociology of Education, 22</w:t>
      </w:r>
      <w:r>
        <w:rPr>
          <w:rFonts w:ascii="Cambria" w:cs="Cambria" w:eastAsia="Cambria" w:hAnsi="Cambria"/>
          <w:sz w:val="24"/>
          <w:szCs w:val="24"/>
        </w:rPr>
        <w:t xml:space="preserve">(4), 291–310. https://doi.org/10.1080/09620214.2012.751203</w:t>
      </w:r>
    </w:p>
    <w:p>
      <w:pPr>
        <w:spacing w:after="180" w:line="360"/>
      </w:pPr>
      <w:r>
        <w:rPr>
          <w:rFonts w:ascii="Cambria" w:cs="Cambria" w:eastAsia="Cambria" w:hAnsi="Cambria"/>
          <w:sz w:val="24"/>
          <w:szCs w:val="24"/>
        </w:rPr>
        <w:t xml:space="preserve">Şen, A. (2020). Articulations of Islamic nationalism in the educational reform discourse of 'new Turkey'. </w:t>
      </w:r>
      <w:r>
        <w:rPr>
          <w:rFonts w:ascii="Cambria" w:cs="Cambria" w:eastAsia="Cambria" w:hAnsi="Cambria"/>
          <w:i/>
          <w:iCs/>
          <w:sz w:val="24"/>
          <w:szCs w:val="24"/>
        </w:rPr>
        <w:t xml:space="preserve">Discourse: Studies in the Cultural Politics of Education, 43</w:t>
      </w:r>
      <w:r>
        <w:rPr>
          <w:rFonts w:ascii="Cambria" w:cs="Cambria" w:eastAsia="Cambria" w:hAnsi="Cambria"/>
          <w:sz w:val="24"/>
          <w:szCs w:val="24"/>
        </w:rPr>
        <w:t xml:space="preserve">(2), 205–216. https://doi.org/10.1080/01596306.2020.1817859</w:t>
      </w:r>
    </w:p>
    <w:p>
      <w:pPr>
        <w:spacing w:after="180" w:line="360"/>
      </w:pPr>
      <w:r>
        <w:rPr>
          <w:rFonts w:ascii="Cambria" w:cs="Cambria" w:eastAsia="Cambria" w:hAnsi="Cambria"/>
          <w:sz w:val="24"/>
          <w:szCs w:val="24"/>
        </w:rPr>
        <w:t xml:space="preserve">Søreide, G. E. (2007). The public face of teacher identity — Narrative construction of teacher identity in public policy documents. </w:t>
      </w:r>
      <w:r>
        <w:rPr>
          <w:rFonts w:ascii="Cambria" w:cs="Cambria" w:eastAsia="Cambria" w:hAnsi="Cambria"/>
          <w:i/>
          <w:iCs/>
          <w:sz w:val="24"/>
          <w:szCs w:val="24"/>
        </w:rPr>
        <w:t xml:space="preserve">Journal of Education Policy, 22</w:t>
      </w:r>
      <w:r>
        <w:rPr>
          <w:rFonts w:ascii="Cambria" w:cs="Cambria" w:eastAsia="Cambria" w:hAnsi="Cambria"/>
          <w:sz w:val="24"/>
          <w:szCs w:val="24"/>
        </w:rPr>
        <w:t xml:space="preserve">(2), 129–146. https://doi.org/10.1080/02680930601158893</w:t>
      </w:r>
    </w:p>
    <w:p>
      <w:pPr>
        <w:spacing w:after="180" w:line="360"/>
      </w:pPr>
      <w:r>
        <w:rPr>
          <w:rFonts w:ascii="Cambria" w:cs="Cambria" w:eastAsia="Cambria" w:hAnsi="Cambria"/>
          <w:sz w:val="24"/>
          <w:szCs w:val="24"/>
        </w:rPr>
        <w:t xml:space="preserve">Takayama, K., Sriprakash, A., &amp; Connell, R. (2017). Toward a postcolonial comparative and international education. </w:t>
      </w:r>
      <w:r>
        <w:rPr>
          <w:rFonts w:ascii="Cambria" w:cs="Cambria" w:eastAsia="Cambria" w:hAnsi="Cambria"/>
          <w:i/>
          <w:iCs/>
          <w:sz w:val="24"/>
          <w:szCs w:val="24"/>
        </w:rPr>
        <w:t xml:space="preserve">Comparative Education Review, 61</w:t>
      </w:r>
      <w:r>
        <w:rPr>
          <w:rFonts w:ascii="Cambria" w:cs="Cambria" w:eastAsia="Cambria" w:hAnsi="Cambria"/>
          <w:sz w:val="24"/>
          <w:szCs w:val="24"/>
        </w:rPr>
        <w:t xml:space="preserve">(S1), S1–S24. https://doi.org/10.1086/690455</w:t>
      </w:r>
    </w:p>
    <w:p>
      <w:pPr>
        <w:spacing w:after="180" w:line="360"/>
      </w:pPr>
      <w:r>
        <w:rPr>
          <w:rFonts w:ascii="Cambria" w:cs="Cambria" w:eastAsia="Cambria" w:hAnsi="Cambria"/>
          <w:sz w:val="24"/>
          <w:szCs w:val="24"/>
        </w:rPr>
        <w:t xml:space="preserve">Tocci, C., Ryan, A. M., &amp; Ensminger, D. C. (2021). Teaching for international mindedness in Chicago Public Schools International Baccalaureate humanities classes. </w:t>
      </w:r>
      <w:r>
        <w:rPr>
          <w:rFonts w:ascii="Cambria" w:cs="Cambria" w:eastAsia="Cambria" w:hAnsi="Cambria"/>
          <w:i/>
          <w:iCs/>
          <w:sz w:val="24"/>
          <w:szCs w:val="24"/>
        </w:rPr>
        <w:t xml:space="preserve">Social Studies Research and Practice, 17</w:t>
      </w:r>
      <w:r>
        <w:rPr>
          <w:rFonts w:ascii="Cambria" w:cs="Cambria" w:eastAsia="Cambria" w:hAnsi="Cambria"/>
          <w:sz w:val="24"/>
          <w:szCs w:val="24"/>
        </w:rPr>
        <w:t xml:space="preserve">(1), 30–49. https://doi.org/10.1108/SSRP-09-2020-0040</w:t>
      </w:r>
    </w:p>
    <w:p>
      <w:pPr>
        <w:spacing w:after="180" w:line="360"/>
      </w:pPr>
      <w:r>
        <w:rPr>
          <w:rFonts w:ascii="Cambria" w:cs="Cambria" w:eastAsia="Cambria" w:hAnsi="Cambria"/>
          <w:sz w:val="24"/>
          <w:szCs w:val="24"/>
        </w:rPr>
        <w:t xml:space="preserve">Weedon, C. (1997). </w:t>
      </w:r>
      <w:r>
        <w:rPr>
          <w:rFonts w:ascii="Cambria" w:cs="Cambria" w:eastAsia="Cambria" w:hAnsi="Cambria"/>
          <w:i/>
          <w:iCs/>
          <w:sz w:val="24"/>
          <w:szCs w:val="24"/>
        </w:rPr>
        <w:t xml:space="preserve">Feminist practice and poststructuralist theory</w:t>
      </w:r>
      <w:r>
        <w:rPr>
          <w:rFonts w:ascii="Cambria" w:cs="Cambria" w:eastAsia="Cambria" w:hAnsi="Cambria"/>
          <w:sz w:val="24"/>
          <w:szCs w:val="24"/>
        </w:rPr>
        <w:t xml:space="preserve"> (2nd ed.). Blackwell.</w:t>
      </w:r>
    </w:p>
    <w:p>
      <w:pPr>
        <w:spacing w:after="180" w:line="360"/>
      </w:pPr>
      <w:r>
        <w:rPr>
          <w:rFonts w:ascii="Cambria" w:cs="Cambria" w:eastAsia="Cambria" w:hAnsi="Cambria"/>
          <w:sz w:val="24"/>
          <w:szCs w:val="24"/>
        </w:rPr>
        <w:t xml:space="preserve">Wells, J. M. (2011). International education, values and attitudes: A critical analysis of the International Baccalaureate (IB) Learner Profile. </w:t>
      </w:r>
      <w:r>
        <w:rPr>
          <w:rFonts w:ascii="Cambria" w:cs="Cambria" w:eastAsia="Cambria" w:hAnsi="Cambria"/>
          <w:i/>
          <w:iCs/>
          <w:sz w:val="24"/>
          <w:szCs w:val="24"/>
        </w:rPr>
        <w:t xml:space="preserve">Journal of Research in International Education, 10</w:t>
      </w:r>
      <w:r>
        <w:rPr>
          <w:rFonts w:ascii="Cambria" w:cs="Cambria" w:eastAsia="Cambria" w:hAnsi="Cambria"/>
          <w:sz w:val="24"/>
          <w:szCs w:val="24"/>
        </w:rPr>
        <w:t xml:space="preserve">(2), 174–188. https://doi.org/10.1177/1475240911407808</w:t>
      </w:r>
    </w:p>
    <w:p>
      <w:pPr>
        <w:spacing w:after="180" w:line="360"/>
      </w:pPr>
      <w:r>
        <w:rPr>
          <w:rFonts w:ascii="Cambria" w:cs="Cambria" w:eastAsia="Cambria" w:hAnsi="Cambria"/>
          <w:sz w:val="24"/>
          <w:szCs w:val="24"/>
        </w:rPr>
        <w:t xml:space="preserve">Whitmarsh, D. (2022). Fields, habitus and the International Baccalaureate's interpretation of international mindedness. </w:t>
      </w:r>
      <w:r>
        <w:rPr>
          <w:rFonts w:ascii="Cambria" w:cs="Cambria" w:eastAsia="Cambria" w:hAnsi="Cambria"/>
          <w:i/>
          <w:iCs/>
          <w:sz w:val="24"/>
          <w:szCs w:val="24"/>
        </w:rPr>
        <w:t xml:space="preserve">Journal of Research in International Education, 21</w:t>
      </w:r>
      <w:r>
        <w:rPr>
          <w:rFonts w:ascii="Cambria" w:cs="Cambria" w:eastAsia="Cambria" w:hAnsi="Cambria"/>
          <w:sz w:val="24"/>
          <w:szCs w:val="24"/>
        </w:rPr>
        <w:t xml:space="preserve">(2), 123–138. https://doi.org/10.1177/14752409221122048</w:t>
      </w:r>
    </w:p>
    <w:p>
      <w:r>
        <w:br w:type="page"/>
      </w:r>
    </w:p>
    <w:p>
      <w:pPr>
        <w:spacing w:after="200" w:before="200"/>
      </w:pPr>
      <w:r>
        <w:rPr>
          <w:rFonts w:ascii="Cambria" w:cs="Cambria" w:eastAsia="Cambria" w:hAnsi="Cambria"/>
          <w:b/>
          <w:bCs/>
          <w:color w:val="990000"/>
          <w:sz w:val="28"/>
          <w:szCs w:val="28"/>
        </w:rPr>
        <w:t xml:space="preserve">APPENDIX — EDITORIAL NOTES (DELETE BEFORE SUBMISSION)</w:t>
      </w:r>
    </w:p>
    <w:p>
      <w:pPr>
        <w:pStyle w:val="Heading2"/>
        <w:spacing w:after="160" w:before="320" w:line="300"/>
      </w:pPr>
      <w:r>
        <w:rPr>
          <w:rFonts w:ascii="Cambria" w:cs="Cambria" w:eastAsia="Cambria" w:hAnsi="Cambria"/>
          <w:b/>
          <w:bCs/>
          <w:color w:val="000000"/>
          <w:sz w:val="27"/>
          <w:szCs w:val="27"/>
        </w:rPr>
        <w:t xml:space="preserve">Notes for the author before submission</w:t>
      </w:r>
    </w:p>
    <w:p>
      <w:pPr>
        <w:spacing w:after="180" w:line="360"/>
      </w:pPr>
      <w:r>
        <w:rPr>
          <w:rFonts w:ascii="Cambria" w:cs="Cambria" w:eastAsia="Cambria" w:hAnsi="Cambria"/>
          <w:b/>
          <w:bCs/>
          <w:sz w:val="24"/>
          <w:szCs w:val="24"/>
        </w:rPr>
        <w:t xml:space="preserve">1. Verify the IB descriptors against your own copy.</w:t>
      </w:r>
      <w:r>
        <w:rPr>
          <w:rFonts w:ascii="Cambria" w:cs="Cambria" w:eastAsia="Cambria" w:hAnsi="Cambria"/>
          <w:sz w:val="24"/>
          <w:szCs w:val="24"/>
        </w:rPr>
        <w:t xml:space="preserve"> The IB text quoted in Section 4 was checked against Whitmarsh (2022), an open-access CC-BY article that reproduces the profile in full. Whitmarsh attributes it to an IB publication dated </w:t>
      </w:r>
      <w:r>
        <w:rPr>
          <w:rFonts w:ascii="Cambria" w:cs="Cambria" w:eastAsia="Cambria" w:hAnsi="Cambria"/>
          <w:b/>
          <w:bCs/>
          <w:sz w:val="24"/>
          <w:szCs w:val="24"/>
        </w:rPr>
        <w:t xml:space="preserve">2015</w:t>
      </w:r>
      <w:r>
        <w:rPr>
          <w:rFonts w:ascii="Cambria" w:cs="Cambria" w:eastAsia="Cambria" w:hAnsi="Cambria"/>
          <w:sz w:val="24"/>
          <w:szCs w:val="24"/>
        </w:rPr>
        <w:t xml:space="preserve">; the version cited here is dated </w:t>
      </w:r>
      <w:r>
        <w:rPr>
          <w:rFonts w:ascii="Cambria" w:cs="Cambria" w:eastAsia="Cambria" w:hAnsi="Cambria"/>
          <w:b/>
          <w:bCs/>
          <w:sz w:val="24"/>
          <w:szCs w:val="24"/>
        </w:rPr>
        <w:t xml:space="preserve">2017</w:t>
      </w:r>
      <w:r>
        <w:rPr>
          <w:rFonts w:ascii="Cambria" w:cs="Cambria" w:eastAsia="Cambria" w:hAnsi="Cambria"/>
          <w:sz w:val="24"/>
          <w:szCs w:val="24"/>
        </w:rPr>
        <w:t xml:space="preserve">. The wording appears identical, but fix the reference against the copy you hold. If your copy is the 2017 one, cite it and drop Whitmarsh from the reference list unless you also use him in Section 2.</w:t>
      </w:r>
    </w:p>
    <w:p>
      <w:pPr>
        <w:spacing w:after="180" w:line="360"/>
      </w:pPr>
      <w:r>
        <w:rPr>
          <w:rFonts w:ascii="Cambria" w:cs="Cambria" w:eastAsia="Cambria" w:hAnsi="Cambria"/>
          <w:b/>
          <w:bCs/>
          <w:sz w:val="24"/>
          <w:szCs w:val="24"/>
        </w:rPr>
        <w:t xml:space="preserve">2. Section 2.2 is politically sensitive and you should calibrate it.</w:t>
      </w:r>
      <w:r>
        <w:rPr>
          <w:rFonts w:ascii="Cambria" w:cs="Cambria" w:eastAsia="Cambria" w:hAnsi="Cambria"/>
          <w:sz w:val="24"/>
          <w:szCs w:val="24"/>
        </w:rPr>
        <w:t xml:space="preserve"> Şen (2020) is peer-reviewed and SSCI-indexed, and his characterisation of the governing ideology is attributed to him rather than asserted. Section 4.5 then uses his observation about homogeneity to make an argument about who the heir position excludes. This is defensible scholarship and it is the sharpest thing in the article, but you are the one who will submit it and answer for it. Three options: keep it as written; keep the exclusion analysis but attribute it entirely to the text's own clauses without invoking Şen; or soften §4.5 to a general point about minority students without the Turkish specifics. The first is strongest. The third weakens the article considerably.</w:t>
      </w:r>
    </w:p>
    <w:p>
      <w:pPr>
        <w:spacing w:after="180" w:line="360"/>
      </w:pPr>
      <w:r>
        <w:rPr>
          <w:rFonts w:ascii="Cambria" w:cs="Cambria" w:eastAsia="Cambria" w:hAnsi="Cambria"/>
          <w:b/>
          <w:bCs/>
          <w:sz w:val="24"/>
          <w:szCs w:val="24"/>
        </w:rPr>
        <w:t xml:space="preserve">3. Two procedures in Section 3 must actually be performed.</w:t>
      </w:r>
      <w:r>
        <w:rPr>
          <w:rFonts w:ascii="Cambria" w:cs="Cambria" w:eastAsia="Cambria" w:hAnsi="Cambria"/>
          <w:sz w:val="24"/>
          <w:szCs w:val="24"/>
        </w:rPr>
        <w:t xml:space="preserve"> The independent second coder with a κ value, and the back-translation of quoted passages, are reported as done. The κ is left blank. Do them, or remove the sentences.</w:t>
      </w:r>
    </w:p>
    <w:p>
      <w:pPr>
        <w:spacing w:after="180" w:line="360"/>
      </w:pPr>
      <w:r>
        <w:rPr>
          <w:rFonts w:ascii="Cambria" w:cs="Cambria" w:eastAsia="Cambria" w:hAnsi="Cambria"/>
          <w:b/>
          <w:bCs/>
          <w:sz w:val="24"/>
          <w:szCs w:val="24"/>
        </w:rPr>
        <w:t xml:space="preserve">4. Sources dropped in this revision.</w:t>
      </w:r>
      <w:r>
        <w:rPr>
          <w:rFonts w:ascii="Cambria" w:cs="Cambria" w:eastAsia="Cambria" w:hAnsi="Cambria"/>
          <w:sz w:val="24"/>
          <w:szCs w:val="24"/>
        </w:rPr>
        <w:t xml:space="preserve"> MacIntyre, Nussbaum, Schiro, Prior, Fairclough, Deng and Luke, Biesta, Cassin, Charmaz, Lincoln and Guba and Bereday were all cited in earlier drafts and none is cited now. This was deliberate. In each case the citation was doing framing work that the current analysis no longer needs, and a citation that supports nothing is worse than an absent one. If a reviewer asks for a virtue-ethics frame, MacIntyre (1981) and Nussbaum (1997) are the obvious additions, but note that Kadıoğlu Ateş (2024) and Bayrak (2025) already establish the genealogy from inside the tradition, which is the stronger position.</w:t>
      </w:r>
    </w:p>
    <w:p>
      <w:pPr>
        <w:spacing w:after="180" w:line="360"/>
      </w:pPr>
      <w:r>
        <w:rPr>
          <w:rFonts w:ascii="Cambria" w:cs="Cambria" w:eastAsia="Cambria" w:hAnsi="Cambria"/>
          <w:b/>
          <w:bCs/>
          <w:sz w:val="24"/>
          <w:szCs w:val="24"/>
        </w:rPr>
        <w:t xml:space="preserve">5. Three exemplars shaped this revision</w:t>
      </w:r>
      <w:r>
        <w:rPr>
          <w:rFonts w:ascii="Cambria" w:cs="Cambria" w:eastAsia="Cambria" w:hAnsi="Cambria"/>
          <w:sz w:val="24"/>
          <w:szCs w:val="24"/>
        </w:rPr>
        <w:t xml:space="preserve"> and are worth reading before you respond to reviewers, since they are what the article is now modelled on: Hilt, Riese and Søreide (2018) for the subject-position analysis and the "who is excluded" move; Şen (2020) for the Turkish context and the pronoun analysis; and Tahirsylaj, A. (2020), </w:t>
      </w:r>
      <w:r>
        <w:rPr>
          <w:rFonts w:ascii="Cambria" w:cs="Cambria" w:eastAsia="Cambria" w:hAnsi="Cambria"/>
          <w:i/>
          <w:iCs/>
          <w:sz w:val="24"/>
          <w:szCs w:val="24"/>
        </w:rPr>
        <w:t xml:space="preserve">What kind of citizens? Constructing 'Young Europeans' through loud borrowing in curriculum policy-making in Kosovo</w:t>
      </w:r>
      <w:r>
        <w:rPr>
          <w:rFonts w:ascii="Cambria" w:cs="Cambria" w:eastAsia="Cambria" w:hAnsi="Cambria"/>
          <w:sz w:val="24"/>
          <w:szCs w:val="24"/>
        </w:rPr>
        <w:t xml:space="preserve">, Comparative Education, 57(1), 115–129, https://doi.org/10.1080/03050068.2020.1845066, for how a title can carry an argument.</w:t>
      </w:r>
    </w:p>
    <w:p>
      <w:pPr>
        <w:spacing w:after="180" w:line="360"/>
      </w:pPr>
      <w:r>
        <w:rPr>
          <w:rFonts w:ascii="Cambria" w:cs="Cambria" w:eastAsia="Cambria" w:hAnsi="Cambria"/>
          <w:b/>
          <w:bCs/>
          <w:sz w:val="24"/>
          <w:szCs w:val="24"/>
        </w:rPr>
        <w:t xml:space="preserve">6. Target journal.</w:t>
      </w:r>
      <w:r>
        <w:rPr>
          <w:rFonts w:ascii="Cambria" w:cs="Cambria" w:eastAsia="Cambria" w:hAnsi="Cambria"/>
          <w:sz w:val="24"/>
          <w:szCs w:val="24"/>
        </w:rPr>
        <w:t xml:space="preserve"> On its current framing the article belongs in </w:t>
      </w:r>
      <w:r>
        <w:rPr>
          <w:rFonts w:ascii="Cambria" w:cs="Cambria" w:eastAsia="Cambria" w:hAnsi="Cambria"/>
          <w:i/>
          <w:iCs/>
          <w:sz w:val="24"/>
          <w:szCs w:val="24"/>
        </w:rPr>
        <w:t xml:space="preserve">Journal of Curriculum Studies</w:t>
      </w:r>
      <w:r>
        <w:rPr>
          <w:rFonts w:ascii="Cambria" w:cs="Cambria" w:eastAsia="Cambria" w:hAnsi="Cambria"/>
          <w:sz w:val="24"/>
          <w:szCs w:val="24"/>
        </w:rPr>
        <w:t xml:space="preserve"> — it is now in direct conversation with Hilt et al. (2018), which JCS published, and the subject-position approach is house-compatible. </w:t>
      </w:r>
      <w:r>
        <w:rPr>
          <w:rFonts w:ascii="Cambria" w:cs="Cambria" w:eastAsia="Cambria" w:hAnsi="Cambria"/>
          <w:i/>
          <w:iCs/>
          <w:sz w:val="24"/>
          <w:szCs w:val="24"/>
        </w:rPr>
        <w:t xml:space="preserve">Comparative Education</w:t>
      </w:r>
      <w:r>
        <w:rPr>
          <w:rFonts w:ascii="Cambria" w:cs="Cambria" w:eastAsia="Cambria" w:hAnsi="Cambria"/>
          <w:sz w:val="24"/>
          <w:szCs w:val="24"/>
        </w:rPr>
        <w:t xml:space="preserve"> is the second choice, and </w:t>
      </w:r>
      <w:r>
        <w:rPr>
          <w:rFonts w:ascii="Cambria" w:cs="Cambria" w:eastAsia="Cambria" w:hAnsi="Cambria"/>
          <w:i/>
          <w:iCs/>
          <w:sz w:val="24"/>
          <w:szCs w:val="24"/>
        </w:rPr>
        <w:t xml:space="preserve">Discourse: Studies in the Cultural Politics of Education</w:t>
      </w:r>
      <w:r>
        <w:rPr>
          <w:rFonts w:ascii="Cambria" w:cs="Cambria" w:eastAsia="Cambria" w:hAnsi="Cambria"/>
          <w:sz w:val="24"/>
          <w:szCs w:val="24"/>
        </w:rPr>
        <w:t xml:space="preserve"> the third, where Şen (2020) appeared and where the political reading would be least remarkable.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Whose 'we'? How Türkiye's Maarif Model and the International Baccalaureate position the student</dc:title>
  <dc:creator>Samet Eker</dc:creator>
  <cp:lastModifiedBy>Un-named</cp:lastModifiedBy>
  <cp:revision>1</cp:revision>
  <dcterms:created xsi:type="dcterms:W3CDTF">2026-08-10T10:08:24.517Z</dcterms:created>
  <dcterms:modified xsi:type="dcterms:W3CDTF">2026-08-10T10:08:24.517Z</dcterms:modified>
</cp:coreProperties>
</file>

<file path=docProps/custom.xml><?xml version="1.0" encoding="utf-8"?>
<Properties xmlns="http://schemas.openxmlformats.org/officeDocument/2006/custom-properties" xmlns:vt="http://schemas.openxmlformats.org/officeDocument/2006/docPropsVTypes"/>
</file>