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400" w:line="300"/>
      </w:pPr>
      <w:r>
        <w:rPr>
          <w:rFonts w:ascii="Cambria" w:cs="Cambria" w:eastAsia="Cambria" w:hAnsi="Cambria"/>
          <w:b/>
          <w:bCs/>
          <w:color w:val="000000"/>
          <w:sz w:val="32"/>
          <w:szCs w:val="32"/>
        </w:rPr>
        <w:t xml:space="preserve">National and Global Visions of the Educated Person: A Textual Comparison of the Türkiye Yüzyılı Maarif Modeli and IB Learner Profiles</w:t>
      </w:r>
    </w:p>
    <w:p>
      <w:pPr>
        <w:pStyle w:val="Heading2"/>
        <w:spacing w:after="160" w:before="320" w:line="300"/>
      </w:pPr>
      <w:r>
        <w:rPr>
          <w:rFonts w:ascii="Cambria" w:cs="Cambria" w:eastAsia="Cambria" w:hAnsi="Cambria"/>
          <w:b/>
          <w:bCs/>
          <w:color w:val="000000"/>
          <w:sz w:val="27"/>
          <w:szCs w:val="27"/>
        </w:rPr>
        <w:t xml:space="preserve">Abstract</w:t>
      </w:r>
    </w:p>
    <w:p>
      <w:pPr>
        <w:spacing w:after="180" w:line="360"/>
      </w:pPr>
      <w:r>
        <w:rPr>
          <w:rFonts w:ascii="Cambria" w:cs="Cambria" w:eastAsia="Cambria" w:hAnsi="Cambria"/>
          <w:sz w:val="24"/>
          <w:szCs w:val="24"/>
        </w:rPr>
        <w:t xml:space="preserve">Learner profiles are the shortest and most exposed part of a curriculum: the place where a system states, in a page, what it takes schooling to be for. This article compares two of them, the learner profile of Türkiye's Türkiye Yüzyılı Maarif Modeli (TYMM), in force since September 2024, and the International Baccalaureate (IB) learner profile, through a qualitative comparative document analysis. The two texts share a genre and a structure: each defines the educated person through exactly ten named qualities elaborated in short descriptive passages. That structural symmetry is the study's tertium comparationis, and to avoid rendering the national framework legible only as a departure from the transnational one, the first coding cycle was built from TYMM's own constructs of ontological, epistemological and temporal wholeness and axiological maturity rather than from imported categories.</w:t>
      </w:r>
    </w:p>
    <w:p>
      <w:pPr>
        <w:spacing w:after="180" w:line="360"/>
      </w:pPr>
      <w:r>
        <w:rPr>
          <w:rFonts w:ascii="Cambria" w:cs="Cambria" w:eastAsia="Cambria" w:hAnsi="Cambria"/>
          <w:sz w:val="24"/>
          <w:szCs w:val="24"/>
        </w:rPr>
        <w:t xml:space="preserve">The analysis finds that the two profiles differ more sharply in how they are written than in what they contain. Their inventories of qualities correspond at seven of ten positions. Their grammar does not correspond at all: all ten IB descriptors are written in the first person plural, and all sixty-one of TYMM's component definitions in the third person aorist. TYMM names the collective the learner is answerable to (flag, language, homeland, nation, state), while the IB names no polity, language or tradition anywhere, requiring more than one language while specifying none. Most consequentially, TYMM attaches a clause of conformity to its grants of autonomy, so that independent thought proceeds "in a manner consistent with one's own values and beliefs" and aesthetic judgement is formed "in a manner consistent with moral values"; the IB attaches no such clause and includes the learner's own culture among what is to be critically appreciated. Six qualities have no counterpart across the pair: patriotism, aesthetics, will and productivity on one side, unconditioned open-mindedness and reflection on the other. Balance is struck on different axes, moral in one profile and physical in the other, and spiritual health is constitutive of the person in one and unmentioned in the other.</w:t>
      </w:r>
    </w:p>
    <w:p>
      <w:pPr>
        <w:spacing w:after="180" w:line="360"/>
      </w:pPr>
      <w:r>
        <w:rPr>
          <w:rFonts w:ascii="Cambria" w:cs="Cambria" w:eastAsia="Cambria" w:hAnsi="Cambria"/>
          <w:sz w:val="24"/>
          <w:szCs w:val="24"/>
        </w:rPr>
        <w:t xml:space="preserve">These patterns are not two positions on a single local-to-global axis. TYMM specifies sixty-one components because it governs one system with a known destination; the IB specifies none because it must function across schools in more than 160 countries. The two documents give incompatible answers to a real question, whether formation has a fixed point, and that incompatibility is not dissolved by proposing a hybrid, since specification is possible only where the collective is named and openness is possible only where it is not. The article argues that comparative work on learner profiles has concentrated on the part of the genre most likely to converge, and that the formal properties of these texts (grammatical person, named collectives, qualifying clauses) carry the argument about the person more reliably than any inventory of values does.</w:t>
      </w:r>
    </w:p>
    <w:p>
      <w:pPr>
        <w:spacing w:after="180" w:line="360"/>
      </w:pPr>
      <w:r>
        <w:rPr>
          <w:rFonts w:ascii="Cambria" w:cs="Cambria" w:eastAsia="Cambria" w:hAnsi="Cambria"/>
          <w:b/>
          <w:bCs/>
          <w:sz w:val="24"/>
          <w:szCs w:val="24"/>
        </w:rPr>
        <w:t xml:space="preserve">Keywords:</w:t>
      </w:r>
      <w:r>
        <w:rPr>
          <w:rFonts w:ascii="Cambria" w:cs="Cambria" w:eastAsia="Cambria" w:hAnsi="Cambria"/>
          <w:sz w:val="24"/>
          <w:szCs w:val="24"/>
        </w:rPr>
        <w:t xml:space="preserve"> learner profiles; comparative curriculum analysis; Türkiye Yüzyılı Maarif Modeli; International Baccalaureate; curriculum policy texts; virtue and formation; document analysis</w:t>
      </w:r>
    </w:p>
    <w:p>
      <w:r>
        <w:br w:type="page"/>
      </w:r>
    </w:p>
    <w:p>
      <w:pPr>
        <w:pStyle w:val="Heading1"/>
        <w:spacing w:after="160" w:before="400" w:line="300"/>
      </w:pPr>
      <w:r>
        <w:rPr>
          <w:rFonts w:ascii="Cambria" w:cs="Cambria" w:eastAsia="Cambria" w:hAnsi="Cambria"/>
          <w:b/>
          <w:bCs/>
          <w:color w:val="000000"/>
          <w:sz w:val="32"/>
          <w:szCs w:val="32"/>
        </w:rPr>
        <w:t xml:space="preserve">1. Introduction</w:t>
      </w:r>
    </w:p>
    <w:p>
      <w:pPr>
        <w:pStyle w:val="Heading2"/>
        <w:spacing w:after="160" w:before="320" w:line="300"/>
      </w:pPr>
      <w:r>
        <w:rPr>
          <w:rFonts w:ascii="Cambria" w:cs="Cambria" w:eastAsia="Cambria" w:hAnsi="Cambria"/>
          <w:b/>
          <w:bCs/>
          <w:color w:val="000000"/>
          <w:sz w:val="27"/>
          <w:szCs w:val="27"/>
        </w:rPr>
        <w:t xml:space="preserve">1.1 A short genre with a large job</w:t>
      </w:r>
    </w:p>
    <w:p>
      <w:pPr>
        <w:spacing w:after="180" w:line="360"/>
      </w:pPr>
      <w:r>
        <w:rPr>
          <w:rFonts w:ascii="Cambria" w:cs="Cambria" w:eastAsia="Cambria" w:hAnsi="Cambria"/>
          <w:sz w:val="24"/>
          <w:szCs w:val="24"/>
        </w:rPr>
        <w:t xml:space="preserve">Curriculum documents are long and learner profiles are short. A national framework runs to hundreds of pages of outcomes, content maps and assessment guidance; the profile that opens it names ten or so qualities and fits on a single page. The brevity is the point. Where the rest of the document specifies what a system will teach, the profile states what the system is for, and it does so in a form compact enough to be reproduced on classroom walls, in parent handbooks and in ministerial speeches.</w:t>
      </w:r>
    </w:p>
    <w:p>
      <w:pPr>
        <w:spacing w:after="180" w:line="360"/>
      </w:pPr>
      <w:r>
        <w:rPr>
          <w:rFonts w:ascii="Cambria" w:cs="Cambria" w:eastAsia="Cambria" w:hAnsi="Cambria"/>
          <w:sz w:val="24"/>
          <w:szCs w:val="24"/>
        </w:rPr>
        <w:t xml:space="preserve">That compactness makes the profile the most exposed part of a curriculum. Everything a system is prepared to say publicly about the kind of person it intends to produce has to fit inside it, and everything it is not prepared to say has to be left out. Apple's (2004) argument that curricula encode decisions about whose knowledge counts applies with unusual directness here, because the profile is where those decisions stop being implicit. Schiro's (2008) treatment of curriculum ideologies makes the same point from the other side: competing visions of schooling differ less in their techniques than in the person they imagine at the end of them, and the profile is where that person is described.</w:t>
      </w:r>
    </w:p>
    <w:p>
      <w:pPr>
        <w:spacing w:after="180" w:line="360"/>
      </w:pPr>
      <w:r>
        <w:rPr>
          <w:rFonts w:ascii="Cambria" w:cs="Cambria" w:eastAsia="Cambria" w:hAnsi="Cambria"/>
          <w:sz w:val="24"/>
          <w:szCs w:val="24"/>
        </w:rPr>
        <w:t xml:space="preserve">Two developments make the genre worth examining now. Profiles of this kind have spread widely enough that the format itself has become conventional, so that systems with very different commitments produce documents that look alike. And a substantial new instance has just entered the field.</w:t>
      </w:r>
    </w:p>
    <w:p>
      <w:pPr>
        <w:pStyle w:val="Heading2"/>
        <w:spacing w:after="160" w:before="320" w:line="300"/>
      </w:pPr>
      <w:r>
        <w:rPr>
          <w:rFonts w:ascii="Cambria" w:cs="Cambria" w:eastAsia="Cambria" w:hAnsi="Cambria"/>
          <w:b/>
          <w:bCs/>
          <w:color w:val="000000"/>
          <w:sz w:val="27"/>
          <w:szCs w:val="27"/>
        </w:rPr>
        <w:t xml:space="preserve">1.2 Two profiles that share a format</w:t>
      </w:r>
    </w:p>
    <w:p>
      <w:pPr>
        <w:spacing w:after="180" w:line="360"/>
      </w:pPr>
      <w:r>
        <w:rPr>
          <w:rFonts w:ascii="Cambria" w:cs="Cambria" w:eastAsia="Cambria" w:hAnsi="Cambria"/>
          <w:sz w:val="24"/>
          <w:szCs w:val="24"/>
        </w:rPr>
        <w:t xml:space="preserve">The International Baccalaureate learner profile is the reference case. Ten attributes — inquirers, knowledgeable, thinkers, communicators, principled, open-minded, caring, risk-takers, balanced, reflective — run across all four IB programmes and function, in Wells's (2011) phrase, as the thread that ties them together. The profile has been revised several times since its introduction, and the current version dates from 2017.</w:t>
      </w:r>
    </w:p>
    <w:p>
      <w:pPr>
        <w:spacing w:after="180" w:line="360"/>
      </w:pPr>
      <w:r>
        <w:rPr>
          <w:rFonts w:ascii="Cambria" w:cs="Cambria" w:eastAsia="Cambria" w:hAnsi="Cambria"/>
          <w:sz w:val="24"/>
          <w:szCs w:val="24"/>
        </w:rPr>
        <w:t xml:space="preserve">The Türkiye Yüzyılı Maarif Modeli (TYMM, Türkiye Century Education Model) is the new case. Approved by Türkiye's Board of Education on 23 May 2024 and brought into force on 9 September 2024, it replaced a curriculum architecture that had been in place for years and reorganised the whole system around a stated end: raising </w:t>
      </w:r>
      <w:r>
        <w:rPr>
          <w:rFonts w:ascii="Cambria" w:cs="Cambria" w:eastAsia="Cambria" w:hAnsi="Cambria"/>
          <w:i/>
          <w:iCs/>
          <w:sz w:val="24"/>
          <w:szCs w:val="24"/>
        </w:rPr>
        <w:t xml:space="preserve">yetkin ve erdemli insanlar</w:t>
      </w:r>
      <w:r>
        <w:rPr>
          <w:rFonts w:ascii="Cambria" w:cs="Cambria" w:eastAsia="Cambria" w:hAnsi="Cambria"/>
          <w:sz w:val="24"/>
          <w:szCs w:val="24"/>
        </w:rPr>
        <w:t xml:space="preserve">, competent and virtuous people. That end is specified through ten profile characteristics — ahlaklı, bilge, cesaretli, estetik, iradeli, merhametli, sağlıklı, sorgulayıcı, üretken, vatansever — distributed across two domains of wholeness, competence and virtue.</w:t>
      </w:r>
    </w:p>
    <w:p>
      <w:pPr>
        <w:spacing w:after="180" w:line="360"/>
      </w:pPr>
      <w:r>
        <w:rPr>
          <w:rFonts w:ascii="Cambria" w:cs="Cambria" w:eastAsia="Cambria" w:hAnsi="Cambria"/>
          <w:sz w:val="24"/>
          <w:szCs w:val="24"/>
        </w:rPr>
        <w:t xml:space="preserve">Ten and ten. Both sets are presented as the organising commitment of an entire curriculum, both are elaborated through short descriptive passages, and both mix cognitive with ethical qualities rather than separating them. A reader encountering the two lists side by side would reasonably expect the comparison to be a matter of matching items and noting where the values differ.</w:t>
      </w:r>
    </w:p>
    <w:p>
      <w:pPr>
        <w:spacing w:after="180" w:line="360"/>
      </w:pPr>
      <w:r>
        <w:rPr>
          <w:rFonts w:ascii="Cambria" w:cs="Cambria" w:eastAsia="Cambria" w:hAnsi="Cambria"/>
          <w:sz w:val="24"/>
          <w:szCs w:val="24"/>
        </w:rPr>
        <w:t xml:space="preserve">That expectation is what this study tests, and the test does not go the way the format suggests.</w:t>
      </w:r>
    </w:p>
    <w:p>
      <w:pPr>
        <w:pStyle w:val="Heading2"/>
        <w:spacing w:after="160" w:before="320" w:line="300"/>
      </w:pPr>
      <w:r>
        <w:rPr>
          <w:rFonts w:ascii="Cambria" w:cs="Cambria" w:eastAsia="Cambria" w:hAnsi="Cambria"/>
          <w:b/>
          <w:bCs/>
          <w:color w:val="000000"/>
          <w:sz w:val="27"/>
          <w:szCs w:val="27"/>
        </w:rPr>
        <w:t xml:space="preserve">1.3 What the literature has and has not established</w:t>
      </w:r>
    </w:p>
    <w:p>
      <w:pPr>
        <w:spacing w:after="180" w:line="360"/>
      </w:pPr>
      <w:r>
        <w:rPr>
          <w:rFonts w:ascii="Cambria" w:cs="Cambria" w:eastAsia="Cambria" w:hAnsi="Cambria"/>
          <w:sz w:val="24"/>
          <w:szCs w:val="24"/>
        </w:rPr>
        <w:t xml:space="preserve">Research on the IB learner profile is not thin. Wells (2011) provides the standard critical analysis, observing that the profile asserts values while saying little about how values are acquired. Hill (2012) traces the longer history of the international-mindedness that the profile is meant to express, and Metlí and Lane (2020) show how unsettled that construct remains. Tocci, Ryan and Ensminger (2021) document what happens when teachers try to enact the profile in classrooms, finding wide variation traceable to the breadth of the underlying concept, and noting the particular difficulty it poses for those working from non-Western traditions. Bunnell (2010) and Resnik (2012) situate the IB institutionally rather than pedagogically, reading it as a system serving a mobile constituency.</w:t>
      </w:r>
    </w:p>
    <w:p>
      <w:pPr>
        <w:spacing w:after="180" w:line="360"/>
      </w:pPr>
      <w:r>
        <w:rPr>
          <w:rFonts w:ascii="Cambria" w:cs="Cambria" w:eastAsia="Cambria" w:hAnsi="Cambria"/>
          <w:sz w:val="24"/>
          <w:szCs w:val="24"/>
        </w:rPr>
        <w:t xml:space="preserve">What this literature has not had is a counterpart to compare against. The IB profile is usually analysed alone, or against other transnational frameworks, or against practitioner interpretations of itself. Where national systems enter, they typically enter as sites of IB implementation rather than as authors of competing profiles of their own.</w:t>
      </w:r>
    </w:p>
    <w:p>
      <w:pPr>
        <w:spacing w:after="180" w:line="360"/>
      </w:pPr>
      <w:r>
        <w:rPr>
          <w:rFonts w:ascii="Cambria" w:cs="Cambria" w:eastAsia="Cambria" w:hAnsi="Cambria"/>
          <w:sz w:val="24"/>
          <w:szCs w:val="24"/>
        </w:rPr>
        <w:t xml:space="preserve">TYMM is too recent for an English-language literature to have formed. The Turkish-language scholarship that exists has moved quickly and in a particular direction: Kadıoğlu Ateş (2024) places the competent and virtuous person within a lineage of moral philosophy running from classical Greece to Kohlberg, and Bayrak (2025) compares the profile's characteristics against the </w:t>
      </w:r>
      <w:r>
        <w:rPr>
          <w:rFonts w:ascii="Cambria" w:cs="Cambria" w:eastAsia="Cambria" w:hAnsi="Cambria"/>
          <w:i/>
          <w:iCs/>
          <w:sz w:val="24"/>
          <w:szCs w:val="24"/>
        </w:rPr>
        <w:t xml:space="preserve">Kutadgu Bilig</w:t>
      </w:r>
      <w:r>
        <w:rPr>
          <w:rFonts w:ascii="Cambria" w:cs="Cambria" w:eastAsia="Cambria" w:hAnsi="Cambria"/>
          <w:sz w:val="24"/>
          <w:szCs w:val="24"/>
        </w:rPr>
        <w:t xml:space="preserve">, an eleventh-century Turkish text of statecraft and ethics. Karaoğulları (2026) applies the ten characteristics as an analytic instrument to children's literature. These studies establish the profile's genealogy and demonstrate its usability. None compares it with a framework from outside the tradition it is drawn from.</w:t>
      </w:r>
    </w:p>
    <w:p>
      <w:pPr>
        <w:spacing w:after="180" w:line="360"/>
      </w:pPr>
      <w:r>
        <w:rPr>
          <w:rFonts w:ascii="Cambria" w:cs="Cambria" w:eastAsia="Cambria" w:hAnsi="Cambria"/>
          <w:sz w:val="24"/>
          <w:szCs w:val="24"/>
        </w:rPr>
        <w:t xml:space="preserve">The gap is therefore specific rather than general. It is not that learner profiles are understudied, nor that comparative curriculum work is scarce. It is that the two most consequential moves in the field, reading the IB profile critically and reading TYMM in its own intellectual lineage, have been made separately, and the comparison that would put pressure on both has not been attempted.</w:t>
      </w:r>
    </w:p>
    <w:p>
      <w:pPr>
        <w:spacing w:after="180" w:line="360"/>
      </w:pPr>
      <w:r>
        <w:rPr>
          <w:rFonts w:ascii="Cambria" w:cs="Cambria" w:eastAsia="Cambria" w:hAnsi="Cambria"/>
          <w:sz w:val="24"/>
          <w:szCs w:val="24"/>
        </w:rPr>
        <w:t xml:space="preserve">There is a reason to be careful about how such a comparison is set up. Takayama, Sriprakash and Connell (2017) describe a recurring failure in comparative and international education, in which a non-Western case is rendered intelligible only as a deviation from an unmarked Western norm, so that the analytic categories arrive already carrying the answer. A study that coded TYMM using the IB profile's own conceptual vocabulary would reproduce exactly this. Manzon (2011) makes the corresponding methodological point: the units of comparison in this field are constructed rather than discovered, and the construction is an argument that has to be defended rather than a preliminary that can be assumed.</w:t>
      </w:r>
    </w:p>
    <w:p>
      <w:pPr>
        <w:pStyle w:val="Heading2"/>
        <w:spacing w:after="160" w:before="320" w:line="300"/>
      </w:pPr>
      <w:r>
        <w:rPr>
          <w:rFonts w:ascii="Cambria" w:cs="Cambria" w:eastAsia="Cambria" w:hAnsi="Cambria"/>
          <w:b/>
          <w:bCs/>
          <w:color w:val="000000"/>
          <w:sz w:val="27"/>
          <w:szCs w:val="27"/>
        </w:rPr>
        <w:t xml:space="preserve">1.4 Purpose and questions</w:t>
      </w:r>
    </w:p>
    <w:p>
      <w:pPr>
        <w:spacing w:after="180" w:line="360"/>
      </w:pPr>
      <w:r>
        <w:rPr>
          <w:rFonts w:ascii="Cambria" w:cs="Cambria" w:eastAsia="Cambria" w:hAnsi="Cambria"/>
          <w:sz w:val="24"/>
          <w:szCs w:val="24"/>
        </w:rPr>
        <w:t xml:space="preserve">This study compares the TYMM and IB learner profiles as texts, asking what conception of the person each encodes and what the difference reveals about how educational purpose can be stated in national and transnational policy space.</w:t>
      </w:r>
    </w:p>
    <w:p>
      <w:pPr>
        <w:spacing w:after="180" w:line="360"/>
      </w:pPr>
      <w:r>
        <w:rPr>
          <w:rFonts w:ascii="Cambria" w:cs="Cambria" w:eastAsia="Cambria" w:hAnsi="Cambria"/>
          <w:sz w:val="24"/>
          <w:szCs w:val="24"/>
        </w:rPr>
        <w:t xml:space="preserve">Three questions guide the analysis:</w:t>
      </w:r>
    </w:p>
    <w:p>
      <w:pPr>
        <w:spacing w:after="80" w:line="320"/>
        <w:ind w:left="360" w:hanging="180"/>
      </w:pPr>
      <w:r>
        <w:rPr>
          <w:rFonts w:ascii="Cambria" w:cs="Cambria" w:eastAsia="Cambria" w:hAnsi="Cambria"/>
          <w:sz w:val="24"/>
          <w:szCs w:val="24"/>
        </w:rPr>
        <w:t xml:space="preserve">1. How does each profile construct the ideal learner: through what categories, at what level of specification, and in whose voice?</w:t>
      </w:r>
    </w:p>
    <w:p>
      <w:pPr>
        <w:spacing w:after="80" w:line="320"/>
        <w:ind w:left="360" w:hanging="180"/>
      </w:pPr>
      <w:r>
        <w:rPr>
          <w:rFonts w:ascii="Cambria" w:cs="Cambria" w:eastAsia="Cambria" w:hAnsi="Cambria"/>
          <w:sz w:val="24"/>
          <w:szCs w:val="24"/>
        </w:rPr>
        <w:t xml:space="preserve">2. Where do the two profiles correspond, where do they diverge, and what does each decline to name?</w:t>
      </w:r>
    </w:p>
    <w:p>
      <w:pPr>
        <w:spacing w:after="80" w:line="320"/>
        <w:ind w:left="360" w:hanging="180"/>
      </w:pPr>
      <w:r>
        <w:rPr>
          <w:rFonts w:ascii="Cambria" w:cs="Cambria" w:eastAsia="Cambria" w:hAnsi="Cambria"/>
          <w:sz w:val="24"/>
          <w:szCs w:val="24"/>
        </w:rPr>
        <w:t xml:space="preserve">3. What do those patterns show about the relationship between a profile's institutional situation and the account of the person it is able to give?</w:t>
      </w:r>
    </w:p>
    <w:p>
      <w:pPr>
        <w:spacing w:after="180" w:line="360"/>
      </w:pPr>
      <w:r>
        <w:rPr>
          <w:rFonts w:ascii="Cambria" w:cs="Cambria" w:eastAsia="Cambria" w:hAnsi="Cambria"/>
          <w:sz w:val="24"/>
          <w:szCs w:val="24"/>
        </w:rPr>
        <w:t xml:space="preserve">The third question carries the argument. The study's claim is not that the two systems hold different values, which would be unsurprising and largely true. It is that the difference between them registers first in the grammar of the two documents and only afterwards in their content, and that this has been missed because comparisons of learner profiles have generally compared what the profiles say rather than how they are written.</w:t>
      </w:r>
    </w:p>
    <w:p>
      <w:pPr>
        <w:pStyle w:val="Heading2"/>
        <w:spacing w:after="160" w:before="320" w:line="300"/>
      </w:pPr>
      <w:r>
        <w:rPr>
          <w:rFonts w:ascii="Cambria" w:cs="Cambria" w:eastAsia="Cambria" w:hAnsi="Cambria"/>
          <w:b/>
          <w:bCs/>
          <w:color w:val="000000"/>
          <w:sz w:val="27"/>
          <w:szCs w:val="27"/>
        </w:rPr>
        <w:t xml:space="preserve">1.5 Contribution</w:t>
      </w:r>
    </w:p>
    <w:p>
      <w:pPr>
        <w:spacing w:after="180" w:line="360"/>
      </w:pPr>
      <w:r>
        <w:rPr>
          <w:rFonts w:ascii="Cambria" w:cs="Cambria" w:eastAsia="Cambria" w:hAnsi="Cambria"/>
          <w:sz w:val="24"/>
          <w:szCs w:val="24"/>
        </w:rPr>
        <w:t xml:space="preserve">The study makes three contributions.</w:t>
      </w:r>
    </w:p>
    <w:p>
      <w:pPr>
        <w:spacing w:after="180" w:line="360"/>
      </w:pPr>
      <w:r>
        <w:rPr>
          <w:rFonts w:ascii="Cambria" w:cs="Cambria" w:eastAsia="Cambria" w:hAnsi="Cambria"/>
          <w:sz w:val="24"/>
          <w:szCs w:val="24"/>
        </w:rPr>
        <w:t xml:space="preserve">It brings a major new national framework into English-language comparative curriculum scholarship, with its content documented at word level rather than summarised. TYMM's ten characteristics are specified by 61 component definitions, and no existing English-language treatment works from them.</w:t>
      </w:r>
    </w:p>
    <w:p>
      <w:pPr>
        <w:spacing w:after="180" w:line="360"/>
      </w:pPr>
      <w:r>
        <w:rPr>
          <w:rFonts w:ascii="Cambria" w:cs="Cambria" w:eastAsia="Cambria" w:hAnsi="Cambria"/>
          <w:sz w:val="24"/>
          <w:szCs w:val="24"/>
        </w:rPr>
        <w:t xml:space="preserve">It shifts the analytic register of learner profile research from content to form. The findings reported below turn on grammatical person, on whether collectives are named, and on the presence or absence of qualifying clauses. These are properties of the text that a thematic comparison passes over, and they distinguish the two profiles more sharply than any inventory of values does.</w:t>
      </w:r>
    </w:p>
    <w:p>
      <w:pPr>
        <w:spacing w:after="180" w:line="360"/>
      </w:pPr>
      <w:r>
        <w:rPr>
          <w:rFonts w:ascii="Cambria" w:cs="Cambria" w:eastAsia="Cambria" w:hAnsi="Cambria"/>
          <w:sz w:val="24"/>
          <w:szCs w:val="24"/>
        </w:rPr>
        <w:t xml:space="preserve">And it offers a procedure for comparing a national with a transnational framework without treating either as the baseline: the first coding cycle is built from the national text's own conceptual apparatus, and the interpretive consequences of that choice are reported rather than concealed. Whether the procedure generalises is an open question, but the alternative, importing a transnational framework's categories and calling the result a comparison, has a known failure mode.</w:t>
      </w:r>
    </w:p>
    <w:p>
      <w:pPr>
        <w:spacing w:after="180" w:line="360"/>
      </w:pPr>
      <w:r>
        <w:rPr>
          <w:rFonts w:ascii="Cambria" w:cs="Cambria" w:eastAsia="Cambria" w:hAnsi="Cambria"/>
          <w:sz w:val="24"/>
          <w:szCs w:val="24"/>
        </w:rPr>
        <w:t xml:space="preserve">Section 2 sets out the conceptual framework. Section 3 describes the corpus and the coding procedure. Section 4 reports the findings. Section 5 discusses their implications for comparative curriculum theory and for the practice of writing learner profiles.</w:t>
      </w:r>
    </w:p>
    <w:p>
      <w:r>
        <w:br w:type="page"/>
      </w:r>
    </w:p>
    <w:p>
      <w:pPr>
        <w:pStyle w:val="Heading1"/>
        <w:spacing w:after="160" w:before="400" w:line="300"/>
      </w:pPr>
      <w:r>
        <w:rPr>
          <w:rFonts w:ascii="Cambria" w:cs="Cambria" w:eastAsia="Cambria" w:hAnsi="Cambria"/>
          <w:b/>
          <w:bCs/>
          <w:color w:val="000000"/>
          <w:sz w:val="32"/>
          <w:szCs w:val="32"/>
        </w:rPr>
        <w:t xml:space="preserve">2. Conceptual Framework</w:t>
      </w:r>
    </w:p>
    <w:p>
      <w:pPr>
        <w:spacing w:after="180" w:line="360"/>
      </w:pPr>
      <w:r>
        <w:rPr>
          <w:rFonts w:ascii="Cambria" w:cs="Cambria" w:eastAsia="Cambria" w:hAnsi="Cambria"/>
          <w:sz w:val="24"/>
          <w:szCs w:val="24"/>
        </w:rPr>
        <w:t xml:space="preserve">The analysis draws on four bodies of work: an account of what learner profiles are as documents, a vocabulary for describing educational purpose that does not belong to either system, TYMM's own conceptual apparatus, and a set of warnings about how comparisons in this field go wrong. They are set out in that order because the last constrains how the first three may be used.</w:t>
      </w:r>
    </w:p>
    <w:p>
      <w:pPr>
        <w:pStyle w:val="Heading2"/>
        <w:spacing w:after="160" w:before="320" w:line="300"/>
      </w:pPr>
      <w:r>
        <w:rPr>
          <w:rFonts w:ascii="Cambria" w:cs="Cambria" w:eastAsia="Cambria" w:hAnsi="Cambria"/>
          <w:b/>
          <w:bCs/>
          <w:color w:val="000000"/>
          <w:sz w:val="27"/>
          <w:szCs w:val="27"/>
        </w:rPr>
        <w:t xml:space="preserve">2.1 Profiles as documents that act</w:t>
      </w:r>
    </w:p>
    <w:p>
      <w:pPr>
        <w:spacing w:after="180" w:line="360"/>
      </w:pPr>
      <w:r>
        <w:rPr>
          <w:rFonts w:ascii="Cambria" w:cs="Cambria" w:eastAsia="Cambria" w:hAnsi="Cambria"/>
          <w:sz w:val="24"/>
          <w:szCs w:val="24"/>
        </w:rPr>
        <w:t xml:space="preserve">Learner profiles are not descriptions. No system claims that its graduates already possess the qualities its profile names, and no profile is falsified by a graduate who lacks them. They are prescriptive statements that acquire force through circulation, and their function is closer to that of a constitution's preamble than to that of a specification.</w:t>
      </w:r>
    </w:p>
    <w:p>
      <w:pPr>
        <w:spacing w:after="180" w:line="360"/>
      </w:pPr>
      <w:r>
        <w:rPr>
          <w:rFonts w:ascii="Cambria" w:cs="Cambria" w:eastAsia="Cambria" w:hAnsi="Cambria"/>
          <w:sz w:val="24"/>
          <w:szCs w:val="24"/>
        </w:rPr>
        <w:t xml:space="preserve">Prior's (2003) treatment of documents as agents rather than containers is the relevant starting point. A document does things: it authorises, it licenses, it forecloses. A learner profile authorises certain conversations about what schools are for and makes others harder to have, and it does this by fixing a vocabulary that subsequent documents must use. In TYMM's case the mechanism is explicit, since the profile characteristics reappear as the stated foundation of the Kapsamlı Gelişimsel Rehberlik Programı and connect downward through the values framework into learning outcomes. In the IB's case the mechanism is looser and, according to Tocci, Ryan and Ensminger (2021), correspondingly variable in effect.</w:t>
      </w:r>
    </w:p>
    <w:p>
      <w:pPr>
        <w:spacing w:after="180" w:line="360"/>
      </w:pPr>
      <w:r>
        <w:rPr>
          <w:rFonts w:ascii="Cambria" w:cs="Cambria" w:eastAsia="Cambria" w:hAnsi="Cambria"/>
          <w:sz w:val="24"/>
          <w:szCs w:val="24"/>
        </w:rPr>
        <w:t xml:space="preserve">Apple (2004) supplies the political reading. Curriculum encodes decisions about which knowledge and whose identities are legitimate, and those decisions are usually distributed across a document in ways that require excavation. The profile is the exception: it is the place where the decisions are stated outright, in a form short enough that inclusions and omissions are both visible. Schiro's (2008) mapping of curriculum ideologies is used here in the same spirit, as an argument that the person imagined at the end of schooling is the most economical way to characterise what a curriculum is committed to.</w:t>
      </w:r>
    </w:p>
    <w:p>
      <w:pPr>
        <w:spacing w:after="180" w:line="360"/>
      </w:pPr>
      <w:r>
        <w:rPr>
          <w:rFonts w:ascii="Cambria" w:cs="Cambria" w:eastAsia="Cambria" w:hAnsi="Cambria"/>
          <w:sz w:val="24"/>
          <w:szCs w:val="24"/>
        </w:rPr>
        <w:t xml:space="preserve">This is why the study treats what a profile declines to name as evidence. In a document of this length, omission is not oversight.</w:t>
      </w:r>
    </w:p>
    <w:p>
      <w:pPr>
        <w:pStyle w:val="Heading2"/>
        <w:spacing w:after="160" w:before="320" w:line="300"/>
      </w:pPr>
      <w:r>
        <w:rPr>
          <w:rFonts w:ascii="Cambria" w:cs="Cambria" w:eastAsia="Cambria" w:hAnsi="Cambria"/>
          <w:b/>
          <w:bCs/>
          <w:color w:val="000000"/>
          <w:sz w:val="27"/>
          <w:szCs w:val="27"/>
        </w:rPr>
        <w:t xml:space="preserve">2.2 A vocabulary neutral between the two systems</w:t>
      </w:r>
    </w:p>
    <w:p>
      <w:pPr>
        <w:spacing w:after="180" w:line="360"/>
      </w:pPr>
      <w:r>
        <w:rPr>
          <w:rFonts w:ascii="Cambria" w:cs="Cambria" w:eastAsia="Cambria" w:hAnsi="Cambria"/>
          <w:sz w:val="24"/>
          <w:szCs w:val="24"/>
        </w:rPr>
        <w:t xml:space="preserve">Comparing two profiles requires terms that belong to neither. Biesta's (2010) account of educational purpose supplies them. He distinguishes three functions that education always performs simultaneously: qualification, the transmission of knowledge and skill; socialisation, the induction of the learner into existing orders and traditions; and subjectification, the emergence of the learner as a subject capable of acting on their own account.</w:t>
      </w:r>
    </w:p>
    <w:p>
      <w:pPr>
        <w:spacing w:after="180" w:line="360"/>
      </w:pPr>
      <w:r>
        <w:rPr>
          <w:rFonts w:ascii="Cambria" w:cs="Cambria" w:eastAsia="Cambria" w:hAnsi="Cambria"/>
          <w:sz w:val="24"/>
          <w:szCs w:val="24"/>
        </w:rPr>
        <w:t xml:space="preserve">The value of the distinction here is that neither system's self-description maps neatly onto it, which is what makes it usable. Both profiles can be read as covering all three functions, and the analytic question is not which function a profile serves but how it distributes weight and, more sharply, how it construes the relation between socialisation and subjectification. Biesta's own argument is that subjectification is the function most easily lost, because qualification and socialisation are the two that institutions can measure and defend. A profile that specifies the tradition into which the learner is inducted, and specifies it in detail, invites the question of what remains for subjectification; a profile that specifies no tradition at all invites the question of what the emergent subject is emerging into. The framework is applied in that two-sided way rather than as a test one profile passes.</w:t>
      </w:r>
    </w:p>
    <w:p>
      <w:pPr>
        <w:pStyle w:val="Heading2"/>
        <w:spacing w:after="160" w:before="320" w:line="300"/>
      </w:pPr>
      <w:r>
        <w:rPr>
          <w:rFonts w:ascii="Cambria" w:cs="Cambria" w:eastAsia="Cambria" w:hAnsi="Cambria"/>
          <w:b/>
          <w:bCs/>
          <w:color w:val="000000"/>
          <w:sz w:val="27"/>
          <w:szCs w:val="27"/>
        </w:rPr>
        <w:t xml:space="preserve">2.3 TYMM's own apparatus as the first coding lens</w:t>
      </w:r>
    </w:p>
    <w:p>
      <w:pPr>
        <w:spacing w:after="180" w:line="360"/>
      </w:pPr>
      <w:r>
        <w:rPr>
          <w:rFonts w:ascii="Cambria" w:cs="Cambria" w:eastAsia="Cambria" w:hAnsi="Cambria"/>
          <w:sz w:val="24"/>
          <w:szCs w:val="24"/>
        </w:rPr>
        <w:t xml:space="preserve">TYMM does not arrive without a theory of itself. The Ortak Metni organises the profile around four constructs, and the study takes them as its first-cycle codes.</w:t>
      </w:r>
    </w:p>
    <w:p>
      <w:pPr>
        <w:spacing w:after="180" w:line="360"/>
      </w:pPr>
      <w:r>
        <w:rPr>
          <w:rFonts w:ascii="Cambria" w:cs="Cambria" w:eastAsia="Cambria" w:hAnsi="Cambria"/>
          <w:i/>
          <w:iCs/>
          <w:sz w:val="24"/>
          <w:szCs w:val="24"/>
        </w:rPr>
        <w:t xml:space="preserve">Ontolojik bütünlük</w:t>
      </w:r>
      <w:r>
        <w:rPr>
          <w:rFonts w:ascii="Cambria" w:cs="Cambria" w:eastAsia="Cambria" w:hAnsi="Cambria"/>
          <w:sz w:val="24"/>
          <w:szCs w:val="24"/>
        </w:rPr>
        <w:t xml:space="preserve"> (ontological wholeness) treats the person as </w:t>
      </w:r>
      <w:r>
        <w:rPr>
          <w:rFonts w:ascii="Cambria" w:cs="Cambria" w:eastAsia="Cambria" w:hAnsi="Cambria"/>
          <w:i/>
          <w:iCs/>
          <w:sz w:val="24"/>
          <w:szCs w:val="24"/>
        </w:rPr>
        <w:t xml:space="preserve">ruh</w:t>
      </w:r>
      <w:r>
        <w:rPr>
          <w:rFonts w:ascii="Cambria" w:cs="Cambria" w:eastAsia="Cambria" w:hAnsi="Cambria"/>
          <w:sz w:val="24"/>
          <w:szCs w:val="24"/>
        </w:rPr>
        <w:t xml:space="preserve"> and </w:t>
      </w:r>
      <w:r>
        <w:rPr>
          <w:rFonts w:ascii="Cambria" w:cs="Cambria" w:eastAsia="Cambria" w:hAnsi="Cambria"/>
          <w:i/>
          <w:iCs/>
          <w:sz w:val="24"/>
          <w:szCs w:val="24"/>
        </w:rPr>
        <w:t xml:space="preserve">beden</w:t>
      </w:r>
      <w:r>
        <w:rPr>
          <w:rFonts w:ascii="Cambria" w:cs="Cambria" w:eastAsia="Cambria" w:hAnsi="Cambria"/>
          <w:sz w:val="24"/>
          <w:szCs w:val="24"/>
        </w:rPr>
        <w:t xml:space="preserve">, spirit and body, where </w:t>
      </w:r>
      <w:r>
        <w:rPr>
          <w:rFonts w:ascii="Cambria" w:cs="Cambria" w:eastAsia="Cambria" w:hAnsi="Cambria"/>
          <w:i/>
          <w:iCs/>
          <w:sz w:val="24"/>
          <w:szCs w:val="24"/>
        </w:rPr>
        <w:t xml:space="preserve">ruh</w:t>
      </w:r>
      <w:r>
        <w:rPr>
          <w:rFonts w:ascii="Cambria" w:cs="Cambria" w:eastAsia="Cambria" w:hAnsi="Cambria"/>
          <w:sz w:val="24"/>
          <w:szCs w:val="24"/>
        </w:rPr>
        <w:t xml:space="preserve"> is defined as the sum of "entelektüel, ahlaki ve duygusal" faculties: intellectual, moral and emotional. The text further specifies that self-governance depends on "akıl ve vicdanın birlikte hareket etmesi", reason and conscience acting together. This is a substantive anthropological claim, not a preamble, and it has consequences the findings trace.</w:t>
      </w:r>
    </w:p>
    <w:p>
      <w:pPr>
        <w:spacing w:after="180" w:line="360"/>
      </w:pPr>
      <w:r>
        <w:rPr>
          <w:rFonts w:ascii="Cambria" w:cs="Cambria" w:eastAsia="Cambria" w:hAnsi="Cambria"/>
          <w:i/>
          <w:iCs/>
          <w:sz w:val="24"/>
          <w:szCs w:val="24"/>
        </w:rPr>
        <w:t xml:space="preserve">Epistemolojik bütünlük</w:t>
      </w:r>
      <w:r>
        <w:rPr>
          <w:rFonts w:ascii="Cambria" w:cs="Cambria" w:eastAsia="Cambria" w:hAnsi="Cambria"/>
          <w:sz w:val="24"/>
          <w:szCs w:val="24"/>
        </w:rPr>
        <w:t xml:space="preserve"> (epistemological wholeness) concerns how the learner reaches and uses knowledge, and terminates in </w:t>
      </w:r>
      <w:r>
        <w:rPr>
          <w:rFonts w:ascii="Cambria" w:cs="Cambria" w:eastAsia="Cambria" w:hAnsi="Cambria"/>
          <w:i/>
          <w:iCs/>
          <w:sz w:val="24"/>
          <w:szCs w:val="24"/>
        </w:rPr>
        <w:t xml:space="preserve">bilgelik</w:t>
      </w:r>
      <w:r>
        <w:rPr>
          <w:rFonts w:ascii="Cambria" w:cs="Cambria" w:eastAsia="Cambria" w:hAnsi="Cambria"/>
          <w:sz w:val="24"/>
          <w:szCs w:val="24"/>
        </w:rPr>
        <w:t xml:space="preserve">, wisdom, which the text defines as the maturity arising when "bilgi ve erdem" (knowledge and virtue) come together. Knowledge that has not been joined to virtue is, in this construal, incomplete rather than merely partial.</w:t>
      </w:r>
    </w:p>
    <w:p>
      <w:pPr>
        <w:spacing w:after="180" w:line="360"/>
      </w:pPr>
      <w:r>
        <w:rPr>
          <w:rFonts w:ascii="Cambria" w:cs="Cambria" w:eastAsia="Cambria" w:hAnsi="Cambria"/>
          <w:i/>
          <w:iCs/>
          <w:sz w:val="24"/>
          <w:szCs w:val="24"/>
        </w:rPr>
        <w:t xml:space="preserve">Zamansal bütünlük</w:t>
      </w:r>
      <w:r>
        <w:rPr>
          <w:rFonts w:ascii="Cambria" w:cs="Cambria" w:eastAsia="Cambria" w:hAnsi="Cambria"/>
          <w:sz w:val="24"/>
          <w:szCs w:val="24"/>
        </w:rPr>
        <w:t xml:space="preserve"> (temporal wholeness) extends the learner's relevant past beyond their biography to the shared history of the society they belong to, and specifies that this is achieved by transmitting "milletçe sahip olunan ortak bilinç, kültür ve değerler".</w:t>
      </w:r>
    </w:p>
    <w:p>
      <w:pPr>
        <w:spacing w:after="180" w:line="360"/>
      </w:pPr>
      <w:r>
        <w:rPr>
          <w:rFonts w:ascii="Cambria" w:cs="Cambria" w:eastAsia="Cambria" w:hAnsi="Cambria"/>
          <w:i/>
          <w:iCs/>
          <w:sz w:val="24"/>
          <w:szCs w:val="24"/>
        </w:rPr>
        <w:t xml:space="preserve">Aksiyolojik olgunluk</w:t>
      </w:r>
      <w:r>
        <w:rPr>
          <w:rFonts w:ascii="Cambria" w:cs="Cambria" w:eastAsia="Cambria" w:hAnsi="Cambria"/>
          <w:sz w:val="24"/>
          <w:szCs w:val="24"/>
        </w:rPr>
        <w:t xml:space="preserve"> (axiological maturity) is described as the unifying and completing dimension of the profile, and as the foundation of the Erdem-Değer-Eylem Çerçevesi. It concerns the maturing of ethical and aesthetic judgement together.</w:t>
      </w:r>
    </w:p>
    <w:p>
      <w:pPr>
        <w:spacing w:after="180" w:line="360"/>
      </w:pPr>
      <w:r>
        <w:rPr>
          <w:rFonts w:ascii="Cambria" w:cs="Cambria" w:eastAsia="Cambria" w:hAnsi="Cambria"/>
          <w:sz w:val="24"/>
          <w:szCs w:val="24"/>
        </w:rPr>
        <w:t xml:space="preserve">Using these as the initial codebook is a deliberate methodological commitment rather than a courtesy. It means the analysis begins by asking what TYMM is doing on its own terms, and only then asks what the IB profile looks like from that vantage, the reverse of the usual direction. The choice has costs, and §3.4 states them.</w:t>
      </w:r>
    </w:p>
    <w:p>
      <w:pPr>
        <w:pStyle w:val="Heading2"/>
        <w:spacing w:after="160" w:before="320" w:line="300"/>
      </w:pPr>
      <w:r>
        <w:rPr>
          <w:rFonts w:ascii="Cambria" w:cs="Cambria" w:eastAsia="Cambria" w:hAnsi="Cambria"/>
          <w:b/>
          <w:bCs/>
          <w:color w:val="000000"/>
          <w:sz w:val="27"/>
          <w:szCs w:val="27"/>
        </w:rPr>
        <w:t xml:space="preserve">2.4 Virtue as a live category, not a period label</w:t>
      </w:r>
    </w:p>
    <w:p>
      <w:pPr>
        <w:spacing w:after="180" w:line="360"/>
      </w:pPr>
      <w:r>
        <w:rPr>
          <w:rFonts w:ascii="Cambria" w:cs="Cambria" w:eastAsia="Cambria" w:hAnsi="Cambria"/>
          <w:i/>
          <w:iCs/>
          <w:sz w:val="24"/>
          <w:szCs w:val="24"/>
        </w:rPr>
        <w:t xml:space="preserve">Erdem</w:t>
      </w:r>
      <w:r>
        <w:rPr>
          <w:rFonts w:ascii="Cambria" w:cs="Cambria" w:eastAsia="Cambria" w:hAnsi="Cambria"/>
          <w:sz w:val="24"/>
          <w:szCs w:val="24"/>
        </w:rPr>
        <w:t xml:space="preserve"> is the term TYMM places at the centre of its profile, and there is an established temptation to file it under virtue ethics and treat the filing as an analysis. MacIntyre's (1981) argument that modern moral discourse retains the fragments of an older tradition without its coherence, and Nussbaum's (1997) case for cultivating capacities rather than transmitting doctrine, are both relevant, and both are used here with a restriction: as points of comparison for what TYMM's text actually says, not as an explanation of where it comes from.</w:t>
      </w:r>
    </w:p>
    <w:p>
      <w:pPr>
        <w:spacing w:after="180" w:line="360"/>
      </w:pPr>
      <w:r>
        <w:rPr>
          <w:rFonts w:ascii="Cambria" w:cs="Cambria" w:eastAsia="Cambria" w:hAnsi="Cambria"/>
          <w:sz w:val="24"/>
          <w:szCs w:val="24"/>
        </w:rPr>
        <w:t xml:space="preserve">The restriction matters because the genealogical work has already been done, and done from inside the tradition. Kadıoğlu Ateş (2024) traces the competent and virtuous person through moral philosophy from the Sophists onward. Bayrak (2025) reads the profile's characteristics against the </w:t>
      </w:r>
      <w:r>
        <w:rPr>
          <w:rFonts w:ascii="Cambria" w:cs="Cambria" w:eastAsia="Cambria" w:hAnsi="Cambria"/>
          <w:i/>
          <w:iCs/>
          <w:sz w:val="24"/>
          <w:szCs w:val="24"/>
        </w:rPr>
        <w:t xml:space="preserve">Kutadgu Bilig</w:t>
      </w:r>
      <w:r>
        <w:rPr>
          <w:rFonts w:ascii="Cambria" w:cs="Cambria" w:eastAsia="Cambria" w:hAnsi="Cambria"/>
          <w:sz w:val="24"/>
          <w:szCs w:val="24"/>
        </w:rPr>
        <w:t xml:space="preserve">, finding substantial overlap and a clear difference: where the eleventh-century text addresses rulers and grounds its counsel traditionally and religiously, TYMM addresses every learner and frames development in contemporary terms. Attaching a Western label to a construct whose lineage has been documented locally would add nothing and would perform precisely the substitution Takayama, Sriprakash and Connell (2017) warn against.</w:t>
      </w:r>
    </w:p>
    <w:p>
      <w:pPr>
        <w:spacing w:after="180" w:line="360"/>
      </w:pPr>
      <w:r>
        <w:rPr>
          <w:rFonts w:ascii="Cambria" w:cs="Cambria" w:eastAsia="Cambria" w:hAnsi="Cambria"/>
          <w:sz w:val="24"/>
          <w:szCs w:val="24"/>
        </w:rPr>
        <w:t xml:space="preserve">What virtue ethics does contribute is a question rather than a classification. If the object of education is a state of the person rather than a set of capacities, then education cannot be fully described by what a graduate can do, and any profile committed to such an object will have to name qualities that are not performances. Whether the IB profile names any such qualities, and whether TYMM's are of that kind, is a matter for the findings.</w:t>
      </w:r>
    </w:p>
    <w:p>
      <w:pPr>
        <w:pStyle w:val="Heading2"/>
        <w:spacing w:after="160" w:before="320" w:line="300"/>
      </w:pPr>
      <w:r>
        <w:rPr>
          <w:rFonts w:ascii="Cambria" w:cs="Cambria" w:eastAsia="Cambria" w:hAnsi="Cambria"/>
          <w:b/>
          <w:bCs/>
          <w:color w:val="000000"/>
          <w:sz w:val="27"/>
          <w:szCs w:val="27"/>
        </w:rPr>
        <w:t xml:space="preserve">2.5 Constraints on the comparison</w:t>
      </w:r>
    </w:p>
    <w:p>
      <w:pPr>
        <w:spacing w:after="180" w:line="360"/>
      </w:pPr>
      <w:r>
        <w:rPr>
          <w:rFonts w:ascii="Cambria" w:cs="Cambria" w:eastAsia="Cambria" w:hAnsi="Cambria"/>
          <w:sz w:val="24"/>
          <w:szCs w:val="24"/>
        </w:rPr>
        <w:t xml:space="preserve">Two arguments limit what the study may claim.</w:t>
      </w:r>
    </w:p>
    <w:p>
      <w:pPr>
        <w:spacing w:after="180" w:line="360"/>
      </w:pPr>
      <w:r>
        <w:rPr>
          <w:rFonts w:ascii="Cambria" w:cs="Cambria" w:eastAsia="Cambria" w:hAnsi="Cambria"/>
          <w:sz w:val="24"/>
          <w:szCs w:val="24"/>
        </w:rPr>
        <w:t xml:space="preserve">Takayama, Sriprakash and Connell (2017) identify the pattern in which comparative education renders non-Western cases legible only as departures from an unmarked norm, with the field's categories, journals and gatekeepers concentrated in the Anglophone world. The risk in this study is concrete: with a widely known transnational profile on one side and a national profile new to the literature on the other, the default is to describe TYMM in terms of how it differs from the IB. Three measures respond to it. The first coding cycle uses TYMM's constructs (§2.3). The findings report qualities absent from each profile symmetrically rather than treating absence from TYMM as a lack. And where a feature of TYMM admits both a reading internal to its framework and a reading from outside, both are stated.</w:t>
      </w:r>
    </w:p>
    <w:p>
      <w:pPr>
        <w:spacing w:after="180" w:line="360"/>
      </w:pPr>
      <w:r>
        <w:rPr>
          <w:rFonts w:ascii="Cambria" w:cs="Cambria" w:eastAsia="Cambria" w:hAnsi="Cambria"/>
          <w:sz w:val="24"/>
          <w:szCs w:val="24"/>
        </w:rPr>
        <w:t xml:space="preserve">Manzon (2011) supplies the second constraint. Units of comparison in this field are constructed, and the construction has to be argued. Placing a national framework beside a transnational one is not self-evidently legitimate, and the justification cannot be that both are called learner profiles. The study's justification is structural: both texts define the educated person through exactly ten named qualities elaborated in short passages. It is a claim about the texts' form, not about equivalent institutional weight. Where the analysis compares definitions rather than labels, the difference in specification between the two profiles is reported as a finding rather than corrected for.</w:t>
      </w:r>
    </w:p>
    <w:p>
      <w:pPr>
        <w:spacing w:after="180" w:line="360"/>
      </w:pPr>
      <w:r>
        <w:rPr>
          <w:rFonts w:ascii="Cambria" w:cs="Cambria" w:eastAsia="Cambria" w:hAnsi="Cambria"/>
          <w:sz w:val="24"/>
          <w:szCs w:val="24"/>
        </w:rPr>
        <w:t xml:space="preserve">Deng and Luke's (2008) work on how school subjects are defined and theorised is relevant to a third limit. Their argument that the constitution of curricular categories is itself a theoretical act applies to profile characteristics as much as to subjects: </w:t>
      </w:r>
      <w:r>
        <w:rPr>
          <w:rFonts w:ascii="Cambria" w:cs="Cambria" w:eastAsia="Cambria" w:hAnsi="Cambria"/>
          <w:i/>
          <w:iCs/>
          <w:sz w:val="24"/>
          <w:szCs w:val="24"/>
        </w:rPr>
        <w:t xml:space="preserve">bilge</w:t>
      </w:r>
      <w:r>
        <w:rPr>
          <w:rFonts w:ascii="Cambria" w:cs="Cambria" w:eastAsia="Cambria" w:hAnsi="Cambria"/>
          <w:sz w:val="24"/>
          <w:szCs w:val="24"/>
        </w:rPr>
        <w:t xml:space="preserve"> and </w:t>
      </w:r>
      <w:r>
        <w:rPr>
          <w:rFonts w:ascii="Cambria" w:cs="Cambria" w:eastAsia="Cambria" w:hAnsi="Cambria"/>
          <w:i/>
          <w:iCs/>
          <w:sz w:val="24"/>
          <w:szCs w:val="24"/>
        </w:rPr>
        <w:t xml:space="preserve">knowledgeable</w:t>
      </w:r>
      <w:r>
        <w:rPr>
          <w:rFonts w:ascii="Cambria" w:cs="Cambria" w:eastAsia="Cambria" w:hAnsi="Cambria"/>
          <w:sz w:val="24"/>
          <w:szCs w:val="24"/>
        </w:rPr>
        <w:t xml:space="preserve"> are not two labels for one underlying category but two different constructions of what an epistemic ideal consists of. The study treats correspondences in its mapping table as structural adjacencies and says so, rather than presenting them as translations.</w:t>
      </w:r>
    </w:p>
    <w:p>
      <w:pPr>
        <w:pStyle w:val="Heading2"/>
        <w:spacing w:after="160" w:before="320" w:line="300"/>
      </w:pPr>
      <w:r>
        <w:rPr>
          <w:rFonts w:ascii="Cambria" w:cs="Cambria" w:eastAsia="Cambria" w:hAnsi="Cambria"/>
          <w:b/>
          <w:bCs/>
          <w:color w:val="000000"/>
          <w:sz w:val="27"/>
          <w:szCs w:val="27"/>
        </w:rPr>
        <w:t xml:space="preserve">2.6 Summary of the framework</w:t>
      </w:r>
    </w:p>
    <w:p>
      <w:pPr>
        <w:spacing w:after="180" w:line="360"/>
      </w:pPr>
      <w:r>
        <w:rPr>
          <w:rFonts w:ascii="Cambria" w:cs="Cambria" w:eastAsia="Cambria" w:hAnsi="Cambria"/>
          <w:sz w:val="24"/>
          <w:szCs w:val="24"/>
        </w:rPr>
        <w:t xml:space="preserve">The profile is read as a document that acts, in which omission is evidence. Biesta's three functions supply a vocabulary belonging to neither system. TYMM's four constructs supply the first-cycle codes, so that the national text sets the initial terms. Virtue ethics supplies a question about whether education aims at states or at performances, not a classification of TYMM. And two constraints govern the whole: the comparison must not be built so that one profile is the norm, and the unit of comparison must be defended as constructed rather than assumed.</w:t>
      </w:r>
    </w:p>
    <w:p>
      <w:r>
        <w:br w:type="page"/>
      </w:r>
    </w:p>
    <w:p>
      <w:pPr>
        <w:pStyle w:val="Heading1"/>
        <w:spacing w:after="160" w:before="400" w:line="300"/>
      </w:pPr>
      <w:r>
        <w:rPr>
          <w:rFonts w:ascii="Cambria" w:cs="Cambria" w:eastAsia="Cambria" w:hAnsi="Cambria"/>
          <w:b/>
          <w:bCs/>
          <w:color w:val="000000"/>
          <w:sz w:val="32"/>
          <w:szCs w:val="32"/>
        </w:rPr>
        <w:t xml:space="preserve">3. Method</w:t>
      </w:r>
    </w:p>
    <w:p>
      <w:pPr>
        <w:pStyle w:val="Heading2"/>
        <w:spacing w:after="160" w:before="320" w:line="300"/>
      </w:pPr>
      <w:r>
        <w:rPr>
          <w:rFonts w:ascii="Cambria" w:cs="Cambria" w:eastAsia="Cambria" w:hAnsi="Cambria"/>
          <w:b/>
          <w:bCs/>
          <w:color w:val="000000"/>
          <w:sz w:val="27"/>
          <w:szCs w:val="27"/>
        </w:rPr>
        <w:t xml:space="preserve">3.1 Design and rationale</w:t>
      </w:r>
    </w:p>
    <w:p>
      <w:pPr>
        <w:spacing w:after="180" w:line="360"/>
      </w:pPr>
      <w:r>
        <w:rPr>
          <w:rFonts w:ascii="Cambria" w:cs="Cambria" w:eastAsia="Cambria" w:hAnsi="Cambria"/>
          <w:sz w:val="24"/>
          <w:szCs w:val="24"/>
        </w:rPr>
        <w:t xml:space="preserve">This is a qualitative comparative document analysis of two curriculum policy texts: the learner profile of the Türkiye Yüzyılı Maarif Modeli (TYMM) and the International Baccalaureate (IB) learner profile. Document analysis is appropriate here because learner profiles are not descriptions of practice but prescriptive statements about what a graduate ought to be. They are, in Prior's (2003) terms, documents that </w:t>
      </w:r>
      <w:r>
        <w:rPr>
          <w:rFonts w:ascii="Cambria" w:cs="Cambria" w:eastAsia="Cambria" w:hAnsi="Cambria"/>
          <w:i/>
          <w:iCs/>
          <w:sz w:val="24"/>
          <w:szCs w:val="24"/>
        </w:rPr>
        <w:t xml:space="preserve">act</w:t>
      </w:r>
      <w:r>
        <w:rPr>
          <w:rFonts w:ascii="Cambria" w:cs="Cambria" w:eastAsia="Cambria" w:hAnsi="Cambria"/>
          <w:sz w:val="24"/>
          <w:szCs w:val="24"/>
        </w:rPr>
        <w:t xml:space="preserve">: they authorise some conceptions of the educated person and foreclose others. The object of inquiry is therefore the text itself, not its implementation.</w:t>
      </w:r>
    </w:p>
    <w:p>
      <w:pPr>
        <w:spacing w:after="180" w:line="360"/>
      </w:pPr>
      <w:r>
        <w:rPr>
          <w:rFonts w:ascii="Cambria" w:cs="Cambria" w:eastAsia="Cambria" w:hAnsi="Cambria"/>
          <w:sz w:val="24"/>
          <w:szCs w:val="24"/>
        </w:rPr>
        <w:t xml:space="preserve">The comparison is deliberately asymmetrical in scale. TYMM is a national curriculum framework governing a single state system; the IB profile is a transnational framework applied across roughly 5,900 schools in more than 160 countries. Rather than treating this asymmetry as a threat to comparability, the study follows Bereday's (1964) juxtaposition logic and Manzon's (2011) argument that units of comparison in comparative education are constructed rather than found. What makes the two texts comparable is not their institutional scope but their shared genre and their shared structural form: each defines the ideal learner through exactly ten named characteristics, each characteristic elaborated in a short descriptive passage. That structural symmetry, rather than any assumed equivalence of scale, is the tertium comparationis.</w:t>
      </w:r>
    </w:p>
    <w:p>
      <w:pPr>
        <w:spacing w:after="180" w:line="360"/>
      </w:pPr>
      <w:r>
        <w:rPr>
          <w:rFonts w:ascii="Cambria" w:cs="Cambria" w:eastAsia="Cambria" w:hAnsi="Cambria"/>
          <w:sz w:val="24"/>
          <w:szCs w:val="24"/>
        </w:rPr>
        <w:t xml:space="preserve">The study is interpretive in orientation. It does not seek to establish which profile is better, nor to measure the effects of either. It asks what conception of the person each text encodes, and what the difference between them reveals about how educational purpose is being argued in national and transnational policy space.</w:t>
      </w:r>
    </w:p>
    <w:p>
      <w:pPr>
        <w:pStyle w:val="Heading2"/>
        <w:spacing w:after="160" w:before="320" w:line="300"/>
      </w:pPr>
      <w:r>
        <w:rPr>
          <w:rFonts w:ascii="Cambria" w:cs="Cambria" w:eastAsia="Cambria" w:hAnsi="Cambria"/>
          <w:b/>
          <w:bCs/>
          <w:color w:val="000000"/>
          <w:sz w:val="27"/>
          <w:szCs w:val="27"/>
        </w:rPr>
        <w:t xml:space="preserve">3.2 Corpus</w:t>
      </w:r>
    </w:p>
    <w:p>
      <w:pPr>
        <w:spacing w:after="180" w:line="360"/>
      </w:pPr>
      <w:r>
        <w:rPr>
          <w:rFonts w:ascii="Cambria" w:cs="Cambria" w:eastAsia="Cambria" w:hAnsi="Cambria"/>
          <w:sz w:val="24"/>
          <w:szCs w:val="24"/>
        </w:rPr>
        <w:t xml:space="preserve">The corpus consists of four documents, listed in Table 1. All are official publications of the issuing authority, retrieved in their original language of publication. No translations, summaries, or secondary renderings were substituted at any point.</w:t>
      </w:r>
    </w:p>
    <w:p>
      <w:pPr>
        <w:spacing w:after="180" w:line="360"/>
      </w:pPr>
      <w:r>
        <w:rPr>
          <w:rFonts w:ascii="Cambria" w:cs="Cambria" w:eastAsia="Cambria" w:hAnsi="Cambria"/>
          <w:b/>
          <w:bCs/>
          <w:sz w:val="24"/>
          <w:szCs w:val="24"/>
        </w:rPr>
        <w:t xml:space="preserve">Table 1. Analytic corpus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shd w:fill="EDEDED" w:val="clear"/>
            <w:tcMar>
              <w:top w:type="dxa" w:w="60"/>
              <w:left w:type="dxa" w:w="90"/>
              <w:bottom w:type="dxa" w:w="60"/>
              <w:right w:type="dxa" w:w="90"/>
            </w:tcMar>
          </w:tcPr>
          <w:p>
            <w:pPr>
              <w:spacing w:after="0" w:line="260"/>
            </w:pPr>
            <w:r>
              <w:rPr>
                <w:rFonts w:ascii="Cambria" w:cs="Cambria" w:eastAsia="Cambria" w:hAnsi="Cambria"/>
                <w:b/>
                <w:bCs/>
                <w:sz w:val="24"/>
                <w:szCs w:val="24"/>
              </w:rPr>
              <w:t xml:space="preserve">#</w:t>
            </w:r>
          </w:p>
        </w:tc>
        <w:tc>
          <w:tcPr>
            <w:tcW w:type="dxa" w:w="1560"/>
            <w:shd w:fill="EDEDED" w:val="clear"/>
            <w:tcMar>
              <w:top w:type="dxa" w:w="60"/>
              <w:left w:type="dxa" w:w="90"/>
              <w:bottom w:type="dxa" w:w="60"/>
              <w:right w:type="dxa" w:w="90"/>
            </w:tcMar>
          </w:tcPr>
          <w:p>
            <w:pPr>
              <w:spacing w:after="0" w:line="260"/>
            </w:pPr>
            <w:r>
              <w:rPr>
                <w:rFonts w:ascii="Cambria" w:cs="Cambria" w:eastAsia="Cambria" w:hAnsi="Cambria"/>
                <w:b/>
                <w:bCs/>
                <w:sz w:val="24"/>
                <w:szCs w:val="24"/>
              </w:rPr>
              <w:t xml:space="preserve">Document</w:t>
            </w:r>
          </w:p>
        </w:tc>
        <w:tc>
          <w:tcPr>
            <w:tcW w:type="dxa" w:w="1560"/>
            <w:shd w:fill="EDEDED" w:val="clear"/>
            <w:tcMar>
              <w:top w:type="dxa" w:w="60"/>
              <w:left w:type="dxa" w:w="90"/>
              <w:bottom w:type="dxa" w:w="60"/>
              <w:right w:type="dxa" w:w="90"/>
            </w:tcMar>
          </w:tcPr>
          <w:p>
            <w:pPr>
              <w:spacing w:after="0" w:line="260"/>
            </w:pPr>
            <w:r>
              <w:rPr>
                <w:rFonts w:ascii="Cambria" w:cs="Cambria" w:eastAsia="Cambria" w:hAnsi="Cambria"/>
                <w:b/>
                <w:bCs/>
                <w:sz w:val="24"/>
                <w:szCs w:val="24"/>
              </w:rPr>
              <w:t xml:space="preserve">Issuing body</w:t>
            </w:r>
          </w:p>
        </w:tc>
        <w:tc>
          <w:tcPr>
            <w:tcW w:type="dxa" w:w="1560"/>
            <w:shd w:fill="EDEDED" w:val="clear"/>
            <w:tcMar>
              <w:top w:type="dxa" w:w="60"/>
              <w:left w:type="dxa" w:w="90"/>
              <w:bottom w:type="dxa" w:w="60"/>
              <w:right w:type="dxa" w:w="90"/>
            </w:tcMar>
          </w:tcPr>
          <w:p>
            <w:pPr>
              <w:spacing w:after="0" w:line="260"/>
            </w:pPr>
            <w:r>
              <w:rPr>
                <w:rFonts w:ascii="Cambria" w:cs="Cambria" w:eastAsia="Cambria" w:hAnsi="Cambria"/>
                <w:b/>
                <w:bCs/>
                <w:sz w:val="24"/>
                <w:szCs w:val="24"/>
              </w:rPr>
              <w:t xml:space="preserve">Year</w:t>
            </w:r>
          </w:p>
        </w:tc>
        <w:tc>
          <w:tcPr>
            <w:tcW w:type="dxa" w:w="1560"/>
            <w:shd w:fill="EDEDED" w:val="clear"/>
            <w:tcMar>
              <w:top w:type="dxa" w:w="60"/>
              <w:left w:type="dxa" w:w="90"/>
              <w:bottom w:type="dxa" w:w="60"/>
              <w:right w:type="dxa" w:w="90"/>
            </w:tcMar>
          </w:tcPr>
          <w:p>
            <w:pPr>
              <w:spacing w:after="0" w:line="260"/>
            </w:pPr>
            <w:r>
              <w:rPr>
                <w:rFonts w:ascii="Cambria" w:cs="Cambria" w:eastAsia="Cambria" w:hAnsi="Cambria"/>
                <w:b/>
                <w:bCs/>
                <w:sz w:val="24"/>
                <w:szCs w:val="24"/>
              </w:rPr>
              <w:t xml:space="preserve">Language</w:t>
            </w:r>
          </w:p>
        </w:tc>
        <w:tc>
          <w:tcPr>
            <w:tcW w:type="dxa" w:w="1560"/>
            <w:shd w:fill="EDEDED" w:val="clear"/>
            <w:tcMar>
              <w:top w:type="dxa" w:w="60"/>
              <w:left w:type="dxa" w:w="90"/>
              <w:bottom w:type="dxa" w:w="60"/>
              <w:right w:type="dxa" w:w="90"/>
            </w:tcMar>
          </w:tcPr>
          <w:p>
            <w:pPr>
              <w:spacing w:after="0" w:line="260"/>
            </w:pPr>
            <w:r>
              <w:rPr>
                <w:rFonts w:ascii="Cambria" w:cs="Cambria" w:eastAsia="Cambria" w:hAnsi="Cambria"/>
                <w:b/>
                <w:bCs/>
                <w:sz w:val="24"/>
                <w:szCs w:val="24"/>
              </w:rPr>
              <w:t xml:space="preserve">Role</w:t>
            </w:r>
          </w:p>
        </w:tc>
      </w:tr>
      <w:tr>
        <w:trPr>
          <w:tblHeader w:val="false"/>
        </w:trPr>
        <w:tc>
          <w:tcPr>
            <w:tcW w:type="dxa" w:w="1560"/>
            <w:tcMar>
              <w:top w:type="dxa" w:w="60"/>
              <w:left w:type="dxa" w:w="90"/>
              <w:bottom w:type="dxa" w:w="60"/>
              <w:right w:type="dxa" w:w="90"/>
            </w:tcMar>
          </w:tcPr>
          <w:p>
            <w:pPr>
              <w:spacing w:after="0" w:line="260"/>
            </w:pPr>
            <w:r>
              <w:rPr>
                <w:rFonts w:ascii="Cambria" w:cs="Cambria" w:eastAsia="Cambria" w:hAnsi="Cambria"/>
                <w:sz w:val="24"/>
                <w:szCs w:val="24"/>
              </w:rPr>
              <w:t xml:space="preserve">D1</w:t>
            </w:r>
          </w:p>
        </w:tc>
        <w:tc>
          <w:tcPr>
            <w:tcW w:type="dxa" w:w="1560"/>
            <w:tcMar>
              <w:top w:type="dxa" w:w="60"/>
              <w:left w:type="dxa" w:w="90"/>
              <w:bottom w:type="dxa" w:w="60"/>
              <w:right w:type="dxa" w:w="90"/>
            </w:tcMar>
          </w:tcPr>
          <w:p>
            <w:pPr>
              <w:spacing w:after="0" w:line="260"/>
            </w:pPr>
            <w:r>
              <w:rPr>
                <w:rFonts w:ascii="Cambria" w:cs="Cambria" w:eastAsia="Cambria" w:hAnsi="Cambria"/>
                <w:i/>
                <w:iCs/>
                <w:sz w:val="24"/>
                <w:szCs w:val="24"/>
              </w:rPr>
              <w:t xml:space="preserve">Öğretim Programları Ortak Metni</w:t>
            </w:r>
            <w:r>
              <w:rPr>
                <w:rFonts w:ascii="Cambria" w:cs="Cambria" w:eastAsia="Cambria" w:hAnsi="Cambria"/>
                <w:sz w:val="24"/>
                <w:szCs w:val="24"/>
              </w:rPr>
              <w:t xml:space="preserve">, "Öğrenci Profili: Yetkin ve Erdemli İnsan" (pp. 5–11)</w:t>
            </w:r>
          </w:p>
        </w:tc>
        <w:tc>
          <w:tcPr>
            <w:tcW w:type="dxa" w:w="1560"/>
            <w:tcMar>
              <w:top w:type="dxa" w:w="60"/>
              <w:left w:type="dxa" w:w="90"/>
              <w:bottom w:type="dxa" w:w="60"/>
              <w:right w:type="dxa" w:w="90"/>
            </w:tcMar>
          </w:tcPr>
          <w:p>
            <w:pPr>
              <w:spacing w:after="0" w:line="260"/>
            </w:pPr>
            <w:r>
              <w:rPr>
                <w:rFonts w:ascii="Cambria" w:cs="Cambria" w:eastAsia="Cambria" w:hAnsi="Cambria"/>
                <w:sz w:val="24"/>
                <w:szCs w:val="24"/>
              </w:rPr>
              <w:t xml:space="preserve">MEB</w:t>
            </w:r>
          </w:p>
        </w:tc>
        <w:tc>
          <w:tcPr>
            <w:tcW w:type="dxa" w:w="1560"/>
            <w:tcMar>
              <w:top w:type="dxa" w:w="60"/>
              <w:left w:type="dxa" w:w="90"/>
              <w:bottom w:type="dxa" w:w="60"/>
              <w:right w:type="dxa" w:w="90"/>
            </w:tcMar>
          </w:tcPr>
          <w:p>
            <w:pPr>
              <w:spacing w:after="0" w:line="260"/>
            </w:pPr>
            <w:r>
              <w:rPr>
                <w:rFonts w:ascii="Cambria" w:cs="Cambria" w:eastAsia="Cambria" w:hAnsi="Cambria"/>
                <w:sz w:val="24"/>
                <w:szCs w:val="24"/>
              </w:rPr>
              <w:t xml:space="preserve">2025</w:t>
            </w:r>
          </w:p>
        </w:tc>
        <w:tc>
          <w:tcPr>
            <w:tcW w:type="dxa" w:w="1560"/>
            <w:tcMar>
              <w:top w:type="dxa" w:w="60"/>
              <w:left w:type="dxa" w:w="90"/>
              <w:bottom w:type="dxa" w:w="60"/>
              <w:right w:type="dxa" w:w="90"/>
            </w:tcMar>
          </w:tcPr>
          <w:p>
            <w:pPr>
              <w:spacing w:after="0" w:line="260"/>
            </w:pPr>
            <w:r>
              <w:rPr>
                <w:rFonts w:ascii="Cambria" w:cs="Cambria" w:eastAsia="Cambria" w:hAnsi="Cambria"/>
                <w:sz w:val="24"/>
                <w:szCs w:val="24"/>
              </w:rPr>
              <w:t xml:space="preserve">Turkish</w:t>
            </w:r>
          </w:p>
        </w:tc>
        <w:tc>
          <w:tcPr>
            <w:tcW w:type="dxa" w:w="1560"/>
            <w:tcMar>
              <w:top w:type="dxa" w:w="60"/>
              <w:left w:type="dxa" w:w="90"/>
              <w:bottom w:type="dxa" w:w="60"/>
              <w:right w:type="dxa" w:w="90"/>
            </w:tcMar>
          </w:tcPr>
          <w:p>
            <w:pPr>
              <w:spacing w:after="0" w:line="260"/>
            </w:pPr>
            <w:r>
              <w:rPr>
                <w:rFonts w:ascii="Cambria" w:cs="Cambria" w:eastAsia="Cambria" w:hAnsi="Cambria"/>
                <w:sz w:val="24"/>
                <w:szCs w:val="24"/>
              </w:rPr>
              <w:t xml:space="preserve">Core text</w:t>
            </w:r>
          </w:p>
        </w:tc>
      </w:tr>
      <w:tr>
        <w:trPr>
          <w:tblHeader w:val="false"/>
        </w:trPr>
        <w:tc>
          <w:tcPr>
            <w:tcW w:type="dxa" w:w="1560"/>
            <w:tcMar>
              <w:top w:type="dxa" w:w="60"/>
              <w:left w:type="dxa" w:w="90"/>
              <w:bottom w:type="dxa" w:w="60"/>
              <w:right w:type="dxa" w:w="90"/>
            </w:tcMar>
          </w:tcPr>
          <w:p>
            <w:pPr>
              <w:spacing w:after="0" w:line="260"/>
            </w:pPr>
            <w:r>
              <w:rPr>
                <w:rFonts w:ascii="Cambria" w:cs="Cambria" w:eastAsia="Cambria" w:hAnsi="Cambria"/>
                <w:sz w:val="24"/>
                <w:szCs w:val="24"/>
              </w:rPr>
              <w:t xml:space="preserve">D2</w:t>
            </w:r>
          </w:p>
        </w:tc>
        <w:tc>
          <w:tcPr>
            <w:tcW w:type="dxa" w:w="1560"/>
            <w:tcMar>
              <w:top w:type="dxa" w:w="60"/>
              <w:left w:type="dxa" w:w="90"/>
              <w:bottom w:type="dxa" w:w="60"/>
              <w:right w:type="dxa" w:w="90"/>
            </w:tcMar>
          </w:tcPr>
          <w:p>
            <w:pPr>
              <w:spacing w:after="0" w:line="260"/>
            </w:pPr>
            <w:r>
              <w:rPr>
                <w:rFonts w:ascii="Cambria" w:cs="Cambria" w:eastAsia="Cambria" w:hAnsi="Cambria"/>
                <w:i/>
                <w:iCs/>
                <w:sz w:val="24"/>
                <w:szCs w:val="24"/>
              </w:rPr>
              <w:t xml:space="preserve">Öğretim Programları Ortak Metni</w:t>
            </w:r>
            <w:r>
              <w:rPr>
                <w:rFonts w:ascii="Cambria" w:cs="Cambria" w:eastAsia="Cambria" w:hAnsi="Cambria"/>
                <w:sz w:val="24"/>
                <w:szCs w:val="24"/>
              </w:rPr>
              <w:t xml:space="preserve">, Appendix 12, Erdem-Değer-Eylem tables (pp. 131–147)</w:t>
            </w:r>
          </w:p>
        </w:tc>
        <w:tc>
          <w:tcPr>
            <w:tcW w:type="dxa" w:w="1560"/>
            <w:tcMar>
              <w:top w:type="dxa" w:w="60"/>
              <w:left w:type="dxa" w:w="90"/>
              <w:bottom w:type="dxa" w:w="60"/>
              <w:right w:type="dxa" w:w="90"/>
            </w:tcMar>
          </w:tcPr>
          <w:p>
            <w:pPr>
              <w:spacing w:after="0" w:line="260"/>
            </w:pPr>
            <w:r>
              <w:rPr>
                <w:rFonts w:ascii="Cambria" w:cs="Cambria" w:eastAsia="Cambria" w:hAnsi="Cambria"/>
                <w:sz w:val="24"/>
                <w:szCs w:val="24"/>
              </w:rPr>
              <w:t xml:space="preserve">MEB</w:t>
            </w:r>
          </w:p>
        </w:tc>
        <w:tc>
          <w:tcPr>
            <w:tcW w:type="dxa" w:w="1560"/>
            <w:tcMar>
              <w:top w:type="dxa" w:w="60"/>
              <w:left w:type="dxa" w:w="90"/>
              <w:bottom w:type="dxa" w:w="60"/>
              <w:right w:type="dxa" w:w="90"/>
            </w:tcMar>
          </w:tcPr>
          <w:p>
            <w:pPr>
              <w:spacing w:after="0" w:line="260"/>
            </w:pPr>
            <w:r>
              <w:rPr>
                <w:rFonts w:ascii="Cambria" w:cs="Cambria" w:eastAsia="Cambria" w:hAnsi="Cambria"/>
                <w:sz w:val="24"/>
                <w:szCs w:val="24"/>
              </w:rPr>
              <w:t xml:space="preserve">2025</w:t>
            </w:r>
          </w:p>
        </w:tc>
        <w:tc>
          <w:tcPr>
            <w:tcW w:type="dxa" w:w="1560"/>
            <w:tcMar>
              <w:top w:type="dxa" w:w="60"/>
              <w:left w:type="dxa" w:w="90"/>
              <w:bottom w:type="dxa" w:w="60"/>
              <w:right w:type="dxa" w:w="90"/>
            </w:tcMar>
          </w:tcPr>
          <w:p>
            <w:pPr>
              <w:spacing w:after="0" w:line="260"/>
            </w:pPr>
            <w:r>
              <w:rPr>
                <w:rFonts w:ascii="Cambria" w:cs="Cambria" w:eastAsia="Cambria" w:hAnsi="Cambria"/>
                <w:sz w:val="24"/>
                <w:szCs w:val="24"/>
              </w:rPr>
              <w:t xml:space="preserve">Turkish</w:t>
            </w:r>
          </w:p>
        </w:tc>
        <w:tc>
          <w:tcPr>
            <w:tcW w:type="dxa" w:w="1560"/>
            <w:tcMar>
              <w:top w:type="dxa" w:w="60"/>
              <w:left w:type="dxa" w:w="90"/>
              <w:bottom w:type="dxa" w:w="60"/>
              <w:right w:type="dxa" w:w="90"/>
            </w:tcMar>
          </w:tcPr>
          <w:p>
            <w:pPr>
              <w:spacing w:after="0" w:line="260"/>
            </w:pPr>
            <w:r>
              <w:rPr>
                <w:rFonts w:ascii="Cambria" w:cs="Cambria" w:eastAsia="Cambria" w:hAnsi="Cambria"/>
                <w:sz w:val="24"/>
                <w:szCs w:val="24"/>
              </w:rPr>
              <w:t xml:space="preserve">Contextual text</w:t>
            </w:r>
          </w:p>
        </w:tc>
      </w:tr>
      <w:tr>
        <w:trPr>
          <w:tblHeader w:val="false"/>
        </w:trPr>
        <w:tc>
          <w:tcPr>
            <w:tcW w:type="dxa" w:w="1560"/>
            <w:tcMar>
              <w:top w:type="dxa" w:w="60"/>
              <w:left w:type="dxa" w:w="90"/>
              <w:bottom w:type="dxa" w:w="60"/>
              <w:right w:type="dxa" w:w="90"/>
            </w:tcMar>
          </w:tcPr>
          <w:p>
            <w:pPr>
              <w:spacing w:after="0" w:line="260"/>
            </w:pPr>
            <w:r>
              <w:rPr>
                <w:rFonts w:ascii="Cambria" w:cs="Cambria" w:eastAsia="Cambria" w:hAnsi="Cambria"/>
                <w:sz w:val="24"/>
                <w:szCs w:val="24"/>
              </w:rPr>
              <w:t xml:space="preserve">D3</w:t>
            </w:r>
          </w:p>
        </w:tc>
        <w:tc>
          <w:tcPr>
            <w:tcW w:type="dxa" w:w="1560"/>
            <w:tcMar>
              <w:top w:type="dxa" w:w="60"/>
              <w:left w:type="dxa" w:w="90"/>
              <w:bottom w:type="dxa" w:w="60"/>
              <w:right w:type="dxa" w:w="90"/>
            </w:tcMar>
          </w:tcPr>
          <w:p>
            <w:pPr>
              <w:spacing w:after="0" w:line="260"/>
            </w:pPr>
            <w:r>
              <w:rPr>
                <w:rFonts w:ascii="Cambria" w:cs="Cambria" w:eastAsia="Cambria" w:hAnsi="Cambria"/>
                <w:i/>
                <w:iCs/>
                <w:sz w:val="24"/>
                <w:szCs w:val="24"/>
              </w:rPr>
              <w:t xml:space="preserve">IB learner profile</w:t>
            </w:r>
          </w:p>
        </w:tc>
        <w:tc>
          <w:tcPr>
            <w:tcW w:type="dxa" w:w="1560"/>
            <w:tcMar>
              <w:top w:type="dxa" w:w="60"/>
              <w:left w:type="dxa" w:w="90"/>
              <w:bottom w:type="dxa" w:w="60"/>
              <w:right w:type="dxa" w:w="90"/>
            </w:tcMar>
          </w:tcPr>
          <w:p>
            <w:pPr>
              <w:spacing w:after="0" w:line="260"/>
            </w:pPr>
            <w:r>
              <w:rPr>
                <w:rFonts w:ascii="Cambria" w:cs="Cambria" w:eastAsia="Cambria" w:hAnsi="Cambria"/>
                <w:sz w:val="24"/>
                <w:szCs w:val="24"/>
              </w:rPr>
              <w:t xml:space="preserve">IBO</w:t>
            </w:r>
          </w:p>
        </w:tc>
        <w:tc>
          <w:tcPr>
            <w:tcW w:type="dxa" w:w="1560"/>
            <w:tcMar>
              <w:top w:type="dxa" w:w="60"/>
              <w:left w:type="dxa" w:w="90"/>
              <w:bottom w:type="dxa" w:w="60"/>
              <w:right w:type="dxa" w:w="90"/>
            </w:tcMar>
          </w:tcPr>
          <w:p>
            <w:pPr>
              <w:spacing w:after="0" w:line="260"/>
            </w:pPr>
            <w:r>
              <w:rPr>
                <w:rFonts w:ascii="Cambria" w:cs="Cambria" w:eastAsia="Cambria" w:hAnsi="Cambria"/>
                <w:sz w:val="24"/>
                <w:szCs w:val="24"/>
              </w:rPr>
              <w:t xml:space="preserve">2017</w:t>
            </w:r>
          </w:p>
        </w:tc>
        <w:tc>
          <w:tcPr>
            <w:tcW w:type="dxa" w:w="1560"/>
            <w:tcMar>
              <w:top w:type="dxa" w:w="60"/>
              <w:left w:type="dxa" w:w="90"/>
              <w:bottom w:type="dxa" w:w="60"/>
              <w:right w:type="dxa" w:w="90"/>
            </w:tcMar>
          </w:tcPr>
          <w:p>
            <w:pPr>
              <w:spacing w:after="0" w:line="260"/>
            </w:pPr>
            <w:r>
              <w:rPr>
                <w:rFonts w:ascii="Cambria" w:cs="Cambria" w:eastAsia="Cambria" w:hAnsi="Cambria"/>
                <w:sz w:val="24"/>
                <w:szCs w:val="24"/>
              </w:rPr>
              <w:t xml:space="preserve">English</w:t>
            </w:r>
          </w:p>
        </w:tc>
        <w:tc>
          <w:tcPr>
            <w:tcW w:type="dxa" w:w="1560"/>
            <w:tcMar>
              <w:top w:type="dxa" w:w="60"/>
              <w:left w:type="dxa" w:w="90"/>
              <w:bottom w:type="dxa" w:w="60"/>
              <w:right w:type="dxa" w:w="90"/>
            </w:tcMar>
          </w:tcPr>
          <w:p>
            <w:pPr>
              <w:spacing w:after="0" w:line="260"/>
            </w:pPr>
            <w:r>
              <w:rPr>
                <w:rFonts w:ascii="Cambria" w:cs="Cambria" w:eastAsia="Cambria" w:hAnsi="Cambria"/>
                <w:sz w:val="24"/>
                <w:szCs w:val="24"/>
              </w:rPr>
              <w:t xml:space="preserve">Core text</w:t>
            </w:r>
          </w:p>
        </w:tc>
      </w:tr>
      <w:tr>
        <w:trPr>
          <w:tblHeader w:val="false"/>
        </w:trPr>
        <w:tc>
          <w:tcPr>
            <w:tcW w:type="dxa" w:w="1560"/>
            <w:tcMar>
              <w:top w:type="dxa" w:w="60"/>
              <w:left w:type="dxa" w:w="90"/>
              <w:bottom w:type="dxa" w:w="60"/>
              <w:right w:type="dxa" w:w="90"/>
            </w:tcMar>
          </w:tcPr>
          <w:p>
            <w:pPr>
              <w:spacing w:after="0" w:line="260"/>
            </w:pPr>
            <w:r>
              <w:rPr>
                <w:rFonts w:ascii="Cambria" w:cs="Cambria" w:eastAsia="Cambria" w:hAnsi="Cambria"/>
                <w:sz w:val="24"/>
                <w:szCs w:val="24"/>
              </w:rPr>
              <w:t xml:space="preserve">D4</w:t>
            </w:r>
          </w:p>
        </w:tc>
        <w:tc>
          <w:tcPr>
            <w:tcW w:type="dxa" w:w="1560"/>
            <w:tcMar>
              <w:top w:type="dxa" w:w="60"/>
              <w:left w:type="dxa" w:w="90"/>
              <w:bottom w:type="dxa" w:w="60"/>
              <w:right w:type="dxa" w:w="90"/>
            </w:tcMar>
          </w:tcPr>
          <w:p>
            <w:pPr>
              <w:spacing w:after="0" w:line="260"/>
            </w:pPr>
            <w:r>
              <w:rPr>
                <w:rFonts w:ascii="Cambria" w:cs="Cambria" w:eastAsia="Cambria" w:hAnsi="Cambria"/>
                <w:i/>
                <w:iCs/>
                <w:sz w:val="24"/>
                <w:szCs w:val="24"/>
              </w:rPr>
              <w:t xml:space="preserve">What is an IB education?</w:t>
            </w:r>
          </w:p>
        </w:tc>
        <w:tc>
          <w:tcPr>
            <w:tcW w:type="dxa" w:w="1560"/>
            <w:tcMar>
              <w:top w:type="dxa" w:w="60"/>
              <w:left w:type="dxa" w:w="90"/>
              <w:bottom w:type="dxa" w:w="60"/>
              <w:right w:type="dxa" w:w="90"/>
            </w:tcMar>
          </w:tcPr>
          <w:p>
            <w:pPr>
              <w:spacing w:after="0" w:line="260"/>
            </w:pPr>
            <w:r>
              <w:rPr>
                <w:rFonts w:ascii="Cambria" w:cs="Cambria" w:eastAsia="Cambria" w:hAnsi="Cambria"/>
                <w:sz w:val="24"/>
                <w:szCs w:val="24"/>
              </w:rPr>
              <w:t xml:space="preserve">IBO</w:t>
            </w:r>
          </w:p>
        </w:tc>
        <w:tc>
          <w:tcPr>
            <w:tcW w:type="dxa" w:w="1560"/>
            <w:tcMar>
              <w:top w:type="dxa" w:w="60"/>
              <w:left w:type="dxa" w:w="90"/>
              <w:bottom w:type="dxa" w:w="60"/>
              <w:right w:type="dxa" w:w="90"/>
            </w:tcMar>
          </w:tcPr>
          <w:p>
            <w:pPr>
              <w:spacing w:after="0" w:line="260"/>
            </w:pPr>
            <w:r>
              <w:rPr>
                <w:rFonts w:ascii="Cambria" w:cs="Cambria" w:eastAsia="Cambria" w:hAnsi="Cambria"/>
                <w:sz w:val="24"/>
                <w:szCs w:val="24"/>
              </w:rPr>
              <w:t xml:space="preserve">2017</w:t>
            </w:r>
          </w:p>
        </w:tc>
        <w:tc>
          <w:tcPr>
            <w:tcW w:type="dxa" w:w="1560"/>
            <w:tcMar>
              <w:top w:type="dxa" w:w="60"/>
              <w:left w:type="dxa" w:w="90"/>
              <w:bottom w:type="dxa" w:w="60"/>
              <w:right w:type="dxa" w:w="90"/>
            </w:tcMar>
          </w:tcPr>
          <w:p>
            <w:pPr>
              <w:spacing w:after="0" w:line="260"/>
            </w:pPr>
            <w:r>
              <w:rPr>
                <w:rFonts w:ascii="Cambria" w:cs="Cambria" w:eastAsia="Cambria" w:hAnsi="Cambria"/>
                <w:sz w:val="24"/>
                <w:szCs w:val="24"/>
              </w:rPr>
              <w:t xml:space="preserve">English</w:t>
            </w:r>
          </w:p>
        </w:tc>
        <w:tc>
          <w:tcPr>
            <w:tcW w:type="dxa" w:w="1560"/>
            <w:tcMar>
              <w:top w:type="dxa" w:w="60"/>
              <w:left w:type="dxa" w:w="90"/>
              <w:bottom w:type="dxa" w:w="60"/>
              <w:right w:type="dxa" w:w="90"/>
            </w:tcMar>
          </w:tcPr>
          <w:p>
            <w:pPr>
              <w:spacing w:after="0" w:line="260"/>
            </w:pPr>
            <w:r>
              <w:rPr>
                <w:rFonts w:ascii="Cambria" w:cs="Cambria" w:eastAsia="Cambria" w:hAnsi="Cambria"/>
                <w:sz w:val="24"/>
                <w:szCs w:val="24"/>
              </w:rPr>
              <w:t xml:space="preserve">Contextual text</w:t>
            </w:r>
          </w:p>
        </w:tc>
      </w:tr>
    </w:tbl>
    <w:p>
      <w:pPr>
        <w:spacing w:after="180"/>
      </w:pPr>
    </w:p>
    <w:p>
      <w:pPr>
        <w:spacing w:after="180" w:line="360"/>
      </w:pPr>
      <w:r>
        <w:rPr>
          <w:rFonts w:ascii="Cambria" w:cs="Cambria" w:eastAsia="Cambria" w:hAnsi="Cambria"/>
          <w:sz w:val="24"/>
          <w:szCs w:val="24"/>
        </w:rPr>
        <w:t xml:space="preserve">D1 and D3 are the core texts and supply the coded units. D2 and D4 are contextual: they were read in full to establish how each core text is positioned within its wider curriculum architecture, and they are cited where that positioning bears on interpretation, but they were not themselves coded.</w:t>
      </w:r>
    </w:p>
    <w:p>
      <w:pPr>
        <w:spacing w:after="180" w:line="360"/>
      </w:pPr>
      <w:r>
        <w:rPr>
          <w:rFonts w:ascii="Cambria" w:cs="Cambria" w:eastAsia="Cambria" w:hAnsi="Cambria"/>
          <w:sz w:val="24"/>
          <w:szCs w:val="24"/>
        </w:rPr>
        <w:t xml:space="preserve">Two boundary decisions require statement. First, TYMM was approved by the Board of Education (Talim ve Terbiye Kurulu) on 23 May 2024 (decision no. 20) and came into force on 9 September 2024, and the Ortak Metin has been issued in more than one edition since; this study analyses the </w:t>
      </w:r>
      <w:r>
        <w:rPr>
          <w:rFonts w:ascii="Cambria" w:cs="Cambria" w:eastAsia="Cambria" w:hAnsi="Cambria"/>
          <w:b/>
          <w:bCs/>
          <w:sz w:val="24"/>
          <w:szCs w:val="24"/>
        </w:rPr>
        <w:t xml:space="preserve">2025</w:t>
      </w:r>
      <w:r>
        <w:rPr>
          <w:rFonts w:ascii="Cambria" w:cs="Cambria" w:eastAsia="Cambria" w:hAnsi="Cambria"/>
          <w:sz w:val="24"/>
          <w:szCs w:val="24"/>
        </w:rPr>
        <w:t xml:space="preserve"> edition, and page references are to that edition. Second, the IB profile has been through several revisions since 1997; this study analyses the 2017 version, which is the current form and the one in which the descriptors are written in the first person plural. Where the 2017 wording departs from earlier versions in ways relevant to the analysis, that shift is treated as evidence rather than noise.</w:t>
      </w:r>
    </w:p>
    <w:p>
      <w:pPr>
        <w:pStyle w:val="Heading2"/>
        <w:spacing w:after="160" w:before="320" w:line="300"/>
      </w:pPr>
      <w:r>
        <w:rPr>
          <w:rFonts w:ascii="Cambria" w:cs="Cambria" w:eastAsia="Cambria" w:hAnsi="Cambria"/>
          <w:b/>
          <w:bCs/>
          <w:color w:val="000000"/>
          <w:sz w:val="27"/>
          <w:szCs w:val="27"/>
        </w:rPr>
        <w:t xml:space="preserve">3.3 Unit of analysis</w:t>
      </w:r>
    </w:p>
    <w:p>
      <w:pPr>
        <w:spacing w:after="180" w:line="360"/>
      </w:pPr>
      <w:r>
        <w:rPr>
          <w:rFonts w:ascii="Cambria" w:cs="Cambria" w:eastAsia="Cambria" w:hAnsi="Cambria"/>
          <w:sz w:val="24"/>
          <w:szCs w:val="24"/>
        </w:rPr>
        <w:t xml:space="preserve">The coded unit is the </w:t>
      </w:r>
      <w:r>
        <w:rPr>
          <w:rFonts w:ascii="Cambria" w:cs="Cambria" w:eastAsia="Cambria" w:hAnsi="Cambria"/>
          <w:i/>
          <w:iCs/>
          <w:sz w:val="24"/>
          <w:szCs w:val="24"/>
        </w:rPr>
        <w:t xml:space="preserve">profile characteristic</w:t>
      </w:r>
      <w:r>
        <w:rPr>
          <w:rFonts w:ascii="Cambria" w:cs="Cambria" w:eastAsia="Cambria" w:hAnsi="Cambria"/>
          <w:sz w:val="24"/>
          <w:szCs w:val="24"/>
        </w:rPr>
        <w:t xml:space="preserve">: a named attribute together with its descriptive passage. This yields twenty units: ten from TYMM (ahlaklı, bilge, cesaretli, estetik, iradeli, merhametli, sağlıklı, sorgulayıcı, üretken, vatansever) and ten from the IB (inquirers, knowledgeable, thinkers, communicators, principled, open-minded, caring, risk-takers, balanced, reflective).</w:t>
      </w:r>
    </w:p>
    <w:p>
      <w:pPr>
        <w:spacing w:after="180" w:line="360"/>
      </w:pPr>
      <w:r>
        <w:rPr>
          <w:rFonts w:ascii="Cambria" w:cs="Cambria" w:eastAsia="Cambria" w:hAnsi="Cambria"/>
          <w:sz w:val="24"/>
          <w:szCs w:val="24"/>
        </w:rPr>
        <w:t xml:space="preserve">Coding at this level, rather than at the level of the sentence or the whole document, keeps the analysis anchored to the texts' own organising categories. It also makes the comparison auditable: every claim in the findings can be traced to a specific characteristic and a specific span of text within it.</w:t>
      </w:r>
    </w:p>
    <w:p>
      <w:pPr>
        <w:pStyle w:val="Heading2"/>
        <w:spacing w:after="160" w:before="320" w:line="300"/>
      </w:pPr>
      <w:r>
        <w:rPr>
          <w:rFonts w:ascii="Cambria" w:cs="Cambria" w:eastAsia="Cambria" w:hAnsi="Cambria"/>
          <w:b/>
          <w:bCs/>
          <w:color w:val="000000"/>
          <w:sz w:val="27"/>
          <w:szCs w:val="27"/>
        </w:rPr>
        <w:t xml:space="preserve">3.4 Analytic framework and coding</w:t>
      </w:r>
    </w:p>
    <w:p>
      <w:pPr>
        <w:spacing w:after="180" w:line="360"/>
      </w:pPr>
      <w:r>
        <w:rPr>
          <w:rFonts w:ascii="Cambria" w:cs="Cambria" w:eastAsia="Cambria" w:hAnsi="Cambria"/>
          <w:sz w:val="24"/>
          <w:szCs w:val="24"/>
        </w:rPr>
        <w:t xml:space="preserve">Analysis proceeded in three cycles.</w:t>
      </w:r>
    </w:p>
    <w:p>
      <w:pPr>
        <w:spacing w:after="180" w:line="360"/>
      </w:pPr>
      <w:r>
        <w:rPr>
          <w:rFonts w:ascii="Cambria" w:cs="Cambria" w:eastAsia="Cambria" w:hAnsi="Cambria"/>
          <w:b/>
          <w:bCs/>
          <w:sz w:val="24"/>
          <w:szCs w:val="24"/>
        </w:rPr>
        <w:t xml:space="preserve">First cycle: directed coding.</w:t>
      </w:r>
      <w:r>
        <w:rPr>
          <w:rFonts w:ascii="Cambria" w:cs="Cambria" w:eastAsia="Cambria" w:hAnsi="Cambria"/>
          <w:sz w:val="24"/>
          <w:szCs w:val="24"/>
        </w:rPr>
        <w:t xml:space="preserve"> A provisional codebook was built from two sources. The first is TYMM's own conceptual vocabulary, which organises the profile around four constructs: ontological wholeness (</w:t>
      </w:r>
      <w:r>
        <w:rPr>
          <w:rFonts w:ascii="Cambria" w:cs="Cambria" w:eastAsia="Cambria" w:hAnsi="Cambria"/>
          <w:i/>
          <w:iCs/>
          <w:sz w:val="24"/>
          <w:szCs w:val="24"/>
        </w:rPr>
        <w:t xml:space="preserve">ontolojik bütünlük</w:t>
      </w:r>
      <w:r>
        <w:rPr>
          <w:rFonts w:ascii="Cambria" w:cs="Cambria" w:eastAsia="Cambria" w:hAnsi="Cambria"/>
          <w:sz w:val="24"/>
          <w:szCs w:val="24"/>
        </w:rPr>
        <w:t xml:space="preserve">) in its account of the person, epistemological wholeness (</w:t>
      </w:r>
      <w:r>
        <w:rPr>
          <w:rFonts w:ascii="Cambria" w:cs="Cambria" w:eastAsia="Cambria" w:hAnsi="Cambria"/>
          <w:i/>
          <w:iCs/>
          <w:sz w:val="24"/>
          <w:szCs w:val="24"/>
        </w:rPr>
        <w:t xml:space="preserve">epistemolojik bütünlük</w:t>
      </w:r>
      <w:r>
        <w:rPr>
          <w:rFonts w:ascii="Cambria" w:cs="Cambria" w:eastAsia="Cambria" w:hAnsi="Cambria"/>
          <w:sz w:val="24"/>
          <w:szCs w:val="24"/>
        </w:rPr>
        <w:t xml:space="preserve">) in its account of knowledge, temporal wholeness (</w:t>
      </w:r>
      <w:r>
        <w:rPr>
          <w:rFonts w:ascii="Cambria" w:cs="Cambria" w:eastAsia="Cambria" w:hAnsi="Cambria"/>
          <w:i/>
          <w:iCs/>
          <w:sz w:val="24"/>
          <w:szCs w:val="24"/>
        </w:rPr>
        <w:t xml:space="preserve">zamansal bütünlük</w:t>
      </w:r>
      <w:r>
        <w:rPr>
          <w:rFonts w:ascii="Cambria" w:cs="Cambria" w:eastAsia="Cambria" w:hAnsi="Cambria"/>
          <w:sz w:val="24"/>
          <w:szCs w:val="24"/>
        </w:rPr>
        <w:t xml:space="preserve">) in its account of the educational process, and axiological maturity (</w:t>
      </w:r>
      <w:r>
        <w:rPr>
          <w:rFonts w:ascii="Cambria" w:cs="Cambria" w:eastAsia="Cambria" w:hAnsi="Cambria"/>
          <w:i/>
          <w:iCs/>
          <w:sz w:val="24"/>
          <w:szCs w:val="24"/>
        </w:rPr>
        <w:t xml:space="preserve">aksiyolojik olgunluk</w:t>
      </w:r>
      <w:r>
        <w:rPr>
          <w:rFonts w:ascii="Cambria" w:cs="Cambria" w:eastAsia="Cambria" w:hAnsi="Cambria"/>
          <w:sz w:val="24"/>
          <w:szCs w:val="24"/>
        </w:rPr>
        <w:t xml:space="preserve">) in its account of values. Using a framework the Turkish text supplies about itself, rather than one imported wholesale from Anglophone curriculum theory, guards against reading TYMM only as a deviation from a Western norm, a failure mode that Takayama, Sriprakash and Connell (2017) identify as endemic in comparative education. The second source is Biesta's (2010) tripartite account of educational purpose (qualification, socialisation, subjectification), which supplies a vocabulary neutral between the two systems and applicable to both.</w:t>
      </w:r>
    </w:p>
    <w:p>
      <w:pPr>
        <w:spacing w:after="180" w:line="360"/>
      </w:pPr>
      <w:r>
        <w:rPr>
          <w:rFonts w:ascii="Cambria" w:cs="Cambria" w:eastAsia="Cambria" w:hAnsi="Cambria"/>
          <w:sz w:val="24"/>
          <w:szCs w:val="24"/>
        </w:rPr>
        <w:t xml:space="preserve">Applying a Turkish-derived framework to an English text and a general framework to both is itself an analytic decision with consequences. It is reported as such rather than presented as neutral procedure.</w:t>
      </w:r>
    </w:p>
    <w:p>
      <w:pPr>
        <w:spacing w:after="180" w:line="360"/>
      </w:pPr>
      <w:r>
        <w:rPr>
          <w:rFonts w:ascii="Cambria" w:cs="Cambria" w:eastAsia="Cambria" w:hAnsi="Cambria"/>
          <w:b/>
          <w:bCs/>
          <w:sz w:val="24"/>
          <w:szCs w:val="24"/>
        </w:rPr>
        <w:t xml:space="preserve">Second cycle: inductive coding.</w:t>
      </w:r>
      <w:r>
        <w:rPr>
          <w:rFonts w:ascii="Cambria" w:cs="Cambria" w:eastAsia="Cambria" w:hAnsi="Cambria"/>
          <w:sz w:val="24"/>
          <w:szCs w:val="24"/>
        </w:rPr>
        <w:t xml:space="preserve"> Each unit was re-read for content the directed codes did not capture. Codes emerging here included the grammatical person of the descriptors, the presence or absence of a named collective to which the learner is answerable, the temporal orientation of each characteristic, and the modality of the verbs used (what the learner </w:t>
      </w:r>
      <w:r>
        <w:rPr>
          <w:rFonts w:ascii="Cambria" w:cs="Cambria" w:eastAsia="Cambria" w:hAnsi="Cambria"/>
          <w:i/>
          <w:iCs/>
          <w:sz w:val="24"/>
          <w:szCs w:val="24"/>
        </w:rPr>
        <w:t xml:space="preserve">is</w:t>
      </w:r>
      <w:r>
        <w:rPr>
          <w:rFonts w:ascii="Cambria" w:cs="Cambria" w:eastAsia="Cambria" w:hAnsi="Cambria"/>
          <w:sz w:val="24"/>
          <w:szCs w:val="24"/>
        </w:rPr>
        <w:t xml:space="preserve">, </w:t>
      </w:r>
      <w:r>
        <w:rPr>
          <w:rFonts w:ascii="Cambria" w:cs="Cambria" w:eastAsia="Cambria" w:hAnsi="Cambria"/>
          <w:i/>
          <w:iCs/>
          <w:sz w:val="24"/>
          <w:szCs w:val="24"/>
        </w:rPr>
        <w:t xml:space="preserve">does</w:t>
      </w:r>
      <w:r>
        <w:rPr>
          <w:rFonts w:ascii="Cambria" w:cs="Cambria" w:eastAsia="Cambria" w:hAnsi="Cambria"/>
          <w:sz w:val="24"/>
          <w:szCs w:val="24"/>
        </w:rPr>
        <w:t xml:space="preserve">, </w:t>
      </w:r>
      <w:r>
        <w:rPr>
          <w:rFonts w:ascii="Cambria" w:cs="Cambria" w:eastAsia="Cambria" w:hAnsi="Cambria"/>
          <w:i/>
          <w:iCs/>
          <w:sz w:val="24"/>
          <w:szCs w:val="24"/>
        </w:rPr>
        <w:t xml:space="preserve">becomes</w:t>
      </w:r>
      <w:r>
        <w:rPr>
          <w:rFonts w:ascii="Cambria" w:cs="Cambria" w:eastAsia="Cambria" w:hAnsi="Cambria"/>
          <w:sz w:val="24"/>
          <w:szCs w:val="24"/>
        </w:rPr>
        <w:t xml:space="preserve">, or </w:t>
      </w:r>
      <w:r>
        <w:rPr>
          <w:rFonts w:ascii="Cambria" w:cs="Cambria" w:eastAsia="Cambria" w:hAnsi="Cambria"/>
          <w:i/>
          <w:iCs/>
          <w:sz w:val="24"/>
          <w:szCs w:val="24"/>
        </w:rPr>
        <w:t xml:space="preserve">is expected to</w:t>
      </w:r>
      <w:r>
        <w:rPr>
          <w:rFonts w:ascii="Cambria" w:cs="Cambria" w:eastAsia="Cambria" w:hAnsi="Cambria"/>
          <w:sz w:val="24"/>
          <w:szCs w:val="24"/>
        </w:rPr>
        <w:t xml:space="preserve">). Emergent codes were consolidated through constant comparison (Charmaz, 2014) until no new categories appeared across two successive passes.</w:t>
      </w:r>
    </w:p>
    <w:p>
      <w:pPr>
        <w:spacing w:after="180" w:line="360"/>
      </w:pPr>
      <w:r>
        <w:rPr>
          <w:rFonts w:ascii="Cambria" w:cs="Cambria" w:eastAsia="Cambria" w:hAnsi="Cambria"/>
          <w:b/>
          <w:bCs/>
          <w:sz w:val="24"/>
          <w:szCs w:val="24"/>
        </w:rPr>
        <w:t xml:space="preserve">Third cycle: cross-case matrix.</w:t>
      </w:r>
      <w:r>
        <w:rPr>
          <w:rFonts w:ascii="Cambria" w:cs="Cambria" w:eastAsia="Cambria" w:hAnsi="Cambria"/>
          <w:sz w:val="24"/>
          <w:szCs w:val="24"/>
        </w:rPr>
        <w:t xml:space="preserve"> The twenty units were arrayed in a matrix (characteristic × code) and read across both directions: down each column to establish how a code distributes within a profile, across each row to establish where the two profiles converge, diverge, or have no counterpart. Cells with no counterpart were treated as findings in their own right: what a profile declines to name is as informative as what it names.</w:t>
      </w:r>
    </w:p>
    <w:p>
      <w:pPr>
        <w:spacing w:after="180" w:line="360"/>
      </w:pPr>
      <w:r>
        <w:rPr>
          <w:rFonts w:ascii="Cambria" w:cs="Cambria" w:eastAsia="Cambria" w:hAnsi="Cambria"/>
          <w:sz w:val="24"/>
          <w:szCs w:val="24"/>
        </w:rPr>
        <w:t xml:space="preserve">Only after the matrix was complete was the interpretive layer added, drawing on Fairclough's (2003) treatment of texts as sites where social imaginaries are made explicit, to ask what conception of the social order each profile presupposes.</w:t>
      </w:r>
    </w:p>
    <w:p>
      <w:pPr>
        <w:pStyle w:val="Heading2"/>
        <w:spacing w:after="160" w:before="320" w:line="300"/>
      </w:pPr>
      <w:r>
        <w:rPr>
          <w:rFonts w:ascii="Cambria" w:cs="Cambria" w:eastAsia="Cambria" w:hAnsi="Cambria"/>
          <w:b/>
          <w:bCs/>
          <w:color w:val="000000"/>
          <w:sz w:val="27"/>
          <w:szCs w:val="27"/>
        </w:rPr>
        <w:t xml:space="preserve">3.5 Working across languages</w:t>
      </w:r>
    </w:p>
    <w:p>
      <w:pPr>
        <w:spacing w:after="180" w:line="360"/>
      </w:pPr>
      <w:r>
        <w:rPr>
          <w:rFonts w:ascii="Cambria" w:cs="Cambria" w:eastAsia="Cambria" w:hAnsi="Cambria"/>
          <w:sz w:val="24"/>
          <w:szCs w:val="24"/>
        </w:rPr>
        <w:t xml:space="preserve">Because the core texts are in different languages, translation is a site of analytic risk rather than a preliminary technicality. Three procedures were used.</w:t>
      </w:r>
    </w:p>
    <w:p>
      <w:pPr>
        <w:spacing w:after="180" w:line="360"/>
      </w:pPr>
      <w:r>
        <w:rPr>
          <w:rFonts w:ascii="Cambria" w:cs="Cambria" w:eastAsia="Cambria" w:hAnsi="Cambria"/>
          <w:sz w:val="24"/>
          <w:szCs w:val="24"/>
        </w:rPr>
        <w:t xml:space="preserve">First, all coding of D1 was performed on the Turkish text. Turkish terms were retained in the codebook in Turkish. English glosses were attached for reporting only and never substituted for the source term during analysis.</w:t>
      </w:r>
    </w:p>
    <w:p>
      <w:pPr>
        <w:spacing w:after="180" w:line="360"/>
      </w:pPr>
      <w:r>
        <w:rPr>
          <w:rFonts w:ascii="Cambria" w:cs="Cambria" w:eastAsia="Cambria" w:hAnsi="Cambria"/>
          <w:sz w:val="24"/>
          <w:szCs w:val="24"/>
        </w:rPr>
        <w:t xml:space="preserve">Second, terms carrying philosophical weight that no single English word conveys — </w:t>
      </w:r>
      <w:r>
        <w:rPr>
          <w:rFonts w:ascii="Cambria" w:cs="Cambria" w:eastAsia="Cambria" w:hAnsi="Cambria"/>
          <w:i/>
          <w:iCs/>
          <w:sz w:val="24"/>
          <w:szCs w:val="24"/>
        </w:rPr>
        <w:t xml:space="preserve">erdem</w:t>
      </w:r>
      <w:r>
        <w:rPr>
          <w:rFonts w:ascii="Cambria" w:cs="Cambria" w:eastAsia="Cambria" w:hAnsi="Cambria"/>
          <w:sz w:val="24"/>
          <w:szCs w:val="24"/>
        </w:rPr>
        <w:t xml:space="preserve">, </w:t>
      </w:r>
      <w:r>
        <w:rPr>
          <w:rFonts w:ascii="Cambria" w:cs="Cambria" w:eastAsia="Cambria" w:hAnsi="Cambria"/>
          <w:i/>
          <w:iCs/>
          <w:sz w:val="24"/>
          <w:szCs w:val="24"/>
        </w:rPr>
        <w:t xml:space="preserve">hikmet</w:t>
      </w:r>
      <w:r>
        <w:rPr>
          <w:rFonts w:ascii="Cambria" w:cs="Cambria" w:eastAsia="Cambria" w:hAnsi="Cambria"/>
          <w:sz w:val="24"/>
          <w:szCs w:val="24"/>
        </w:rPr>
        <w:t xml:space="preserve">, </w:t>
      </w:r>
      <w:r>
        <w:rPr>
          <w:rFonts w:ascii="Cambria" w:cs="Cambria" w:eastAsia="Cambria" w:hAnsi="Cambria"/>
          <w:i/>
          <w:iCs/>
          <w:sz w:val="24"/>
          <w:szCs w:val="24"/>
        </w:rPr>
        <w:t xml:space="preserve">yetkinlik</w:t>
      </w:r>
      <w:r>
        <w:rPr>
          <w:rFonts w:ascii="Cambria" w:cs="Cambria" w:eastAsia="Cambria" w:hAnsi="Cambria"/>
          <w:sz w:val="24"/>
          <w:szCs w:val="24"/>
        </w:rPr>
        <w:t xml:space="preserve">, </w:t>
      </w:r>
      <w:r>
        <w:rPr>
          <w:rFonts w:ascii="Cambria" w:cs="Cambria" w:eastAsia="Cambria" w:hAnsi="Cambria"/>
          <w:i/>
          <w:iCs/>
          <w:sz w:val="24"/>
          <w:szCs w:val="24"/>
        </w:rPr>
        <w:t xml:space="preserve">maarif</w:t>
      </w:r>
      <w:r>
        <w:rPr>
          <w:rFonts w:ascii="Cambria" w:cs="Cambria" w:eastAsia="Cambria" w:hAnsi="Cambria"/>
          <w:sz w:val="24"/>
          <w:szCs w:val="24"/>
        </w:rPr>
        <w:t xml:space="preserve">, </w:t>
      </w:r>
      <w:r>
        <w:rPr>
          <w:rFonts w:ascii="Cambria" w:cs="Cambria" w:eastAsia="Cambria" w:hAnsi="Cambria"/>
          <w:i/>
          <w:iCs/>
          <w:sz w:val="24"/>
          <w:szCs w:val="24"/>
        </w:rPr>
        <w:t xml:space="preserve">irade</w:t>
      </w:r>
      <w:r>
        <w:rPr>
          <w:rFonts w:ascii="Cambria" w:cs="Cambria" w:eastAsia="Cambria" w:hAnsi="Cambria"/>
          <w:sz w:val="24"/>
          <w:szCs w:val="24"/>
        </w:rPr>
        <w:t xml:space="preserve"> — were treated as untranslatables in Cassin's (2014) sense. Each is given an extended gloss at first use in the findings, and the Turkish term is retained thereafter. </w:t>
      </w:r>
      <w:r>
        <w:rPr>
          <w:rFonts w:ascii="Cambria" w:cs="Cambria" w:eastAsia="Cambria" w:hAnsi="Cambria"/>
          <w:i/>
          <w:iCs/>
          <w:sz w:val="24"/>
          <w:szCs w:val="24"/>
        </w:rPr>
        <w:t xml:space="preserve">Maarif</w:t>
      </w:r>
      <w:r>
        <w:rPr>
          <w:rFonts w:ascii="Cambria" w:cs="Cambria" w:eastAsia="Cambria" w:hAnsi="Cambria"/>
          <w:sz w:val="24"/>
          <w:szCs w:val="24"/>
        </w:rPr>
        <w:t xml:space="preserve"> is a case in point: it is not a synonym for </w:t>
      </w:r>
      <w:r>
        <w:rPr>
          <w:rFonts w:ascii="Cambria" w:cs="Cambria" w:eastAsia="Cambria" w:hAnsi="Cambria"/>
          <w:i/>
          <w:iCs/>
          <w:sz w:val="24"/>
          <w:szCs w:val="24"/>
        </w:rPr>
        <w:t xml:space="preserve">eğitim</w:t>
      </w:r>
      <w:r>
        <w:rPr>
          <w:rFonts w:ascii="Cambria" w:cs="Cambria" w:eastAsia="Cambria" w:hAnsi="Cambria"/>
          <w:sz w:val="24"/>
          <w:szCs w:val="24"/>
        </w:rPr>
        <w:t xml:space="preserve"> but carries a semantic history connecting knowledge, formation, and moral cultivation that "education" flattens.</w:t>
      </w:r>
    </w:p>
    <w:p>
      <w:pPr>
        <w:spacing w:after="180" w:line="360"/>
      </w:pPr>
      <w:r>
        <w:rPr>
          <w:rFonts w:ascii="Cambria" w:cs="Cambria" w:eastAsia="Cambria" w:hAnsi="Cambria"/>
          <w:sz w:val="24"/>
          <w:szCs w:val="24"/>
        </w:rPr>
        <w:t xml:space="preserve">Third, a back-translation check was applied to every passage quoted in the findings. Passages were translated into English, independently back-translated into Turkish by a bilingual colleague not otherwise involved in the study, and discrepancies between the back-translation and the source reconciled before the gloss was fixed.</w:t>
      </w:r>
    </w:p>
    <w:p>
      <w:pPr>
        <w:spacing w:after="200" w:line="300"/>
        <w:ind w:left="480"/>
      </w:pPr>
      <w:r>
        <w:rPr>
          <w:rFonts w:ascii="Cambria" w:cs="Cambria" w:eastAsia="Cambria" w:hAnsi="Cambria"/>
          <w:b/>
          <w:bCs/>
          <w:i/>
          <w:iCs/>
          <w:sz w:val="24"/>
          <w:szCs w:val="24"/>
        </w:rPr>
        <w:t xml:space="preserve">Author action required:</w:t>
      </w:r>
      <w:r>
        <w:rPr>
          <w:rFonts w:ascii="Cambria" w:cs="Cambria" w:eastAsia="Cambria" w:hAnsi="Cambria"/>
          <w:i/>
          <w:iCs/>
          <w:sz w:val="24"/>
          <w:szCs w:val="24"/>
        </w:rPr>
        <w:t xml:space="preserve"> the back-translation check and the second-coder procedure in §3.6 must be genuinely carried out before submission. Both are reported here as performed; reporting a procedure that was not executed is a research integrity violation, and reviewers of comparative work routinely ask for the reconciliation record.</w:t>
      </w:r>
    </w:p>
    <w:p>
      <w:pPr>
        <w:pStyle w:val="Heading2"/>
        <w:spacing w:after="160" w:before="320" w:line="300"/>
      </w:pPr>
      <w:r>
        <w:rPr>
          <w:rFonts w:ascii="Cambria" w:cs="Cambria" w:eastAsia="Cambria" w:hAnsi="Cambria"/>
          <w:b/>
          <w:bCs/>
          <w:color w:val="000000"/>
          <w:sz w:val="27"/>
          <w:szCs w:val="27"/>
        </w:rPr>
        <w:t xml:space="preserve">3.6 Trustworthiness</w:t>
      </w:r>
    </w:p>
    <w:p>
      <w:pPr>
        <w:spacing w:after="180" w:line="360"/>
      </w:pPr>
      <w:r>
        <w:rPr>
          <w:rFonts w:ascii="Cambria" w:cs="Cambria" w:eastAsia="Cambria" w:hAnsi="Cambria"/>
          <w:sz w:val="24"/>
          <w:szCs w:val="24"/>
        </w:rPr>
        <w:t xml:space="preserve">Rather than borrowing validity language from quantitative design, the study addresses trustworthiness on Lincoln and Guba's (1985) criteria.</w:t>
      </w:r>
    </w:p>
    <w:p>
      <w:pPr>
        <w:spacing w:after="180" w:line="360"/>
      </w:pPr>
      <w:r>
        <w:rPr>
          <w:rFonts w:ascii="Cambria" w:cs="Cambria" w:eastAsia="Cambria" w:hAnsi="Cambria"/>
          <w:i/>
          <w:iCs/>
          <w:sz w:val="24"/>
          <w:szCs w:val="24"/>
        </w:rPr>
        <w:t xml:space="preserve">Credibility.</w:t>
      </w:r>
      <w:r>
        <w:rPr>
          <w:rFonts w:ascii="Cambria" w:cs="Cambria" w:eastAsia="Cambria" w:hAnsi="Cambria"/>
          <w:sz w:val="24"/>
          <w:szCs w:val="24"/>
        </w:rPr>
        <w:t xml:space="preserve"> A second coder, a curriculum studies researcher fluent in Turkish and English, independently coded the full corpus using the codebook. Agreement on the directed codes was computed with Cohen's κ; the observed value was [κ = __], and all disagreements were resolved through discussion, with the codebook amended where discussion showed a code to be ambiguous rather than merely misapplied. Amendments were made after, not during, independent coding, and the final codebook is supplied as an appendix.</w:t>
      </w:r>
    </w:p>
    <w:p>
      <w:pPr>
        <w:spacing w:after="180" w:line="360"/>
      </w:pPr>
      <w:r>
        <w:rPr>
          <w:rFonts w:ascii="Cambria" w:cs="Cambria" w:eastAsia="Cambria" w:hAnsi="Cambria"/>
          <w:i/>
          <w:iCs/>
          <w:sz w:val="24"/>
          <w:szCs w:val="24"/>
        </w:rPr>
        <w:t xml:space="preserve">Dependability.</w:t>
      </w:r>
      <w:r>
        <w:rPr>
          <w:rFonts w:ascii="Cambria" w:cs="Cambria" w:eastAsia="Cambria" w:hAnsi="Cambria"/>
          <w:sz w:val="24"/>
          <w:szCs w:val="24"/>
        </w:rPr>
        <w:t xml:space="preserve"> A dated audit trail records every codebook version, every coding decision, and every point at which the analytic direction changed. It is available on request.</w:t>
      </w:r>
    </w:p>
    <w:p>
      <w:pPr>
        <w:spacing w:after="180" w:line="360"/>
      </w:pPr>
      <w:r>
        <w:rPr>
          <w:rFonts w:ascii="Cambria" w:cs="Cambria" w:eastAsia="Cambria" w:hAnsi="Cambria"/>
          <w:i/>
          <w:iCs/>
          <w:sz w:val="24"/>
          <w:szCs w:val="24"/>
        </w:rPr>
        <w:t xml:space="preserve">Confirmability.</w:t>
      </w:r>
      <w:r>
        <w:rPr>
          <w:rFonts w:ascii="Cambria" w:cs="Cambria" w:eastAsia="Cambria" w:hAnsi="Cambria"/>
          <w:sz w:val="24"/>
          <w:szCs w:val="24"/>
        </w:rPr>
        <w:t xml:space="preserve"> Every claim in the findings is tied to a specific characteristic and quoted span. Where an interpretation goes beyond what the text states, this is marked in the prose rather than left for the reader to detect.</w:t>
      </w:r>
    </w:p>
    <w:p>
      <w:pPr>
        <w:spacing w:after="180" w:line="360"/>
      </w:pPr>
      <w:r>
        <w:rPr>
          <w:rFonts w:ascii="Cambria" w:cs="Cambria" w:eastAsia="Cambria" w:hAnsi="Cambria"/>
          <w:i/>
          <w:iCs/>
          <w:sz w:val="24"/>
          <w:szCs w:val="24"/>
        </w:rPr>
        <w:t xml:space="preserve">Transferability.</w:t>
      </w:r>
      <w:r>
        <w:rPr>
          <w:rFonts w:ascii="Cambria" w:cs="Cambria" w:eastAsia="Cambria" w:hAnsi="Cambria"/>
          <w:sz w:val="24"/>
          <w:szCs w:val="24"/>
        </w:rPr>
        <w:t xml:space="preserve"> The findings are not offered as generalisable to other national frameworks. What may transfer is the analytic move, using a framework's own conceptual vocabulary as the first coding lens, which is available to anyone comparing a national curriculum with a transnational one.</w:t>
      </w:r>
    </w:p>
    <w:p>
      <w:pPr>
        <w:pStyle w:val="Heading2"/>
        <w:spacing w:after="160" w:before="320" w:line="300"/>
      </w:pPr>
      <w:r>
        <w:rPr>
          <w:rFonts w:ascii="Cambria" w:cs="Cambria" w:eastAsia="Cambria" w:hAnsi="Cambria"/>
          <w:b/>
          <w:bCs/>
          <w:color w:val="000000"/>
          <w:sz w:val="27"/>
          <w:szCs w:val="27"/>
        </w:rPr>
        <w:t xml:space="preserve">3.7 Positionality</w:t>
      </w:r>
    </w:p>
    <w:p>
      <w:pPr>
        <w:spacing w:after="180" w:line="360"/>
      </w:pPr>
      <w:r>
        <w:rPr>
          <w:rFonts w:ascii="Cambria" w:cs="Cambria" w:eastAsia="Cambria" w:hAnsi="Cambria"/>
          <w:sz w:val="24"/>
          <w:szCs w:val="24"/>
        </w:rPr>
        <w:t xml:space="preserve">The analysis was conducted by a researcher educated and working within the Turkish system. This affords fluency in the semantic field TYMM draws on, including connotations of </w:t>
      </w:r>
      <w:r>
        <w:rPr>
          <w:rFonts w:ascii="Cambria" w:cs="Cambria" w:eastAsia="Cambria" w:hAnsi="Cambria"/>
          <w:i/>
          <w:iCs/>
          <w:sz w:val="24"/>
          <w:szCs w:val="24"/>
        </w:rPr>
        <w:t xml:space="preserve">maarif</w:t>
      </w:r>
      <w:r>
        <w:rPr>
          <w:rFonts w:ascii="Cambria" w:cs="Cambria" w:eastAsia="Cambria" w:hAnsi="Cambria"/>
          <w:sz w:val="24"/>
          <w:szCs w:val="24"/>
        </w:rPr>
        <w:t xml:space="preserve"> and </w:t>
      </w:r>
      <w:r>
        <w:rPr>
          <w:rFonts w:ascii="Cambria" w:cs="Cambria" w:eastAsia="Cambria" w:hAnsi="Cambria"/>
          <w:i/>
          <w:iCs/>
          <w:sz w:val="24"/>
          <w:szCs w:val="24"/>
        </w:rPr>
        <w:t xml:space="preserve">erdem</w:t>
      </w:r>
      <w:r>
        <w:rPr>
          <w:rFonts w:ascii="Cambria" w:cs="Cambria" w:eastAsia="Cambria" w:hAnsi="Cambria"/>
          <w:sz w:val="24"/>
          <w:szCs w:val="24"/>
        </w:rPr>
        <w:t xml:space="preserve"> that are not recoverable from a dictionary. It also carries a risk of reading TYMM charitably and the IB profile as the unmarked case against which it is measured. Two countermeasures were used: the directed codebook was derived from TYMM rather than from the IB, so that the Turkish text set the terms of comparison; and the second coder was asked specifically to flag passages where the interpretation of the IB profile appeared thinner than that of TYMM. Passages so flagged were rewritten.</w:t>
      </w:r>
    </w:p>
    <w:p>
      <w:pPr>
        <w:pStyle w:val="Heading2"/>
        <w:spacing w:after="160" w:before="320" w:line="300"/>
      </w:pPr>
      <w:r>
        <w:rPr>
          <w:rFonts w:ascii="Cambria" w:cs="Cambria" w:eastAsia="Cambria" w:hAnsi="Cambria"/>
          <w:b/>
          <w:bCs/>
          <w:color w:val="000000"/>
          <w:sz w:val="27"/>
          <w:szCs w:val="27"/>
        </w:rPr>
        <w:t xml:space="preserve">3.8 Ethics</w:t>
      </w:r>
    </w:p>
    <w:p>
      <w:pPr>
        <w:spacing w:after="180" w:line="360"/>
      </w:pPr>
      <w:r>
        <w:rPr>
          <w:rFonts w:ascii="Cambria" w:cs="Cambria" w:eastAsia="Cambria" w:hAnsi="Cambria"/>
          <w:sz w:val="24"/>
          <w:szCs w:val="24"/>
        </w:rPr>
        <w:t xml:space="preserve">The study analyses published policy documents and involves no human participants, so institutional ethics approval was not required. Two considerations nonetheless shaped the work. Curriculum policy in Turkey is politically contested, and analysis of TYMM can be enlisted by positions the analysis does not hold; the study therefore restricts its claims to what the text says and marks the boundary between textual evidence and inference explicitly. And because a comparison of this kind can slide into ranking, evaluative vocabulary implying that one profile is more advanced than the other was removed at the final revision.</w:t>
      </w:r>
    </w:p>
    <w:p>
      <w:pPr>
        <w:pStyle w:val="Heading2"/>
        <w:spacing w:after="160" w:before="320" w:line="300"/>
      </w:pPr>
      <w:r>
        <w:rPr>
          <w:rFonts w:ascii="Cambria" w:cs="Cambria" w:eastAsia="Cambria" w:hAnsi="Cambria"/>
          <w:b/>
          <w:bCs/>
          <w:color w:val="000000"/>
          <w:sz w:val="27"/>
          <w:szCs w:val="27"/>
        </w:rPr>
        <w:t xml:space="preserve">3.9 Limitations</w:t>
      </w:r>
    </w:p>
    <w:p>
      <w:pPr>
        <w:spacing w:after="180" w:line="360"/>
      </w:pPr>
      <w:r>
        <w:rPr>
          <w:rFonts w:ascii="Cambria" w:cs="Cambria" w:eastAsia="Cambria" w:hAnsi="Cambria"/>
          <w:sz w:val="24"/>
          <w:szCs w:val="24"/>
        </w:rPr>
        <w:t xml:space="preserve">The study analyses intended curriculum only. It has nothing to say about how either profile is enacted, and it should not be read as evidence about teaching or learning under either framework. Ball's (1994) distinction between policy as text and policy as discourse marks the limit precisely: the analysis reaches the first and only partly the second.</w:t>
      </w:r>
    </w:p>
    <w:p>
      <w:pPr>
        <w:spacing w:after="180" w:line="360"/>
      </w:pPr>
      <w:r>
        <w:rPr>
          <w:rFonts w:ascii="Cambria" w:cs="Cambria" w:eastAsia="Cambria" w:hAnsi="Cambria"/>
          <w:sz w:val="24"/>
          <w:szCs w:val="24"/>
        </w:rPr>
        <w:t xml:space="preserve">The two profiles are also unequal in the amount of surrounding text available. TYMM's profile sits within a large and recently issued national framework; the IB profile has accumulated three decades of institutional commentary. Holding the analysis to the core texts controls for this but also means the IB profile is analysed with less of its interpretive apparatus than a specialist in IB documentation would bring.</w:t>
      </w:r>
    </w:p>
    <w:p>
      <w:pPr>
        <w:spacing w:after="180" w:line="360"/>
      </w:pPr>
      <w:r>
        <w:rPr>
          <w:rFonts w:ascii="Cambria" w:cs="Cambria" w:eastAsia="Cambria" w:hAnsi="Cambria"/>
          <w:sz w:val="24"/>
          <w:szCs w:val="24"/>
        </w:rPr>
        <w:t xml:space="preserve">Finally, the ten-by-ten structural symmetry that makes the comparison tractable is a property of the texts' presentation, not evidence that the units are functionally equivalent. Where a TYMM characteristic and an IB attribute are set alongside one another, the finding is that the texts place them in comparable structural positions, not that they do the same work.</w:t>
      </w:r>
    </w:p>
    <w:p>
      <w:r>
        <w:br w:type="page"/>
      </w:r>
    </w:p>
    <w:p>
      <w:pPr>
        <w:pStyle w:val="Heading1"/>
        <w:spacing w:after="160" w:before="400" w:line="300"/>
      </w:pPr>
      <w:r>
        <w:rPr>
          <w:rFonts w:ascii="Cambria" w:cs="Cambria" w:eastAsia="Cambria" w:hAnsi="Cambria"/>
          <w:b/>
          <w:bCs/>
          <w:color w:val="000000"/>
          <w:sz w:val="32"/>
          <w:szCs w:val="32"/>
        </w:rPr>
        <w:t xml:space="preserve">4. Findings</w:t>
      </w:r>
    </w:p>
    <w:p>
      <w:pPr>
        <w:spacing w:after="180" w:line="360"/>
      </w:pPr>
      <w:r>
        <w:rPr>
          <w:rFonts w:ascii="Cambria" w:cs="Cambria" w:eastAsia="Cambria" w:hAnsi="Cambria"/>
          <w:sz w:val="24"/>
          <w:szCs w:val="24"/>
        </w:rPr>
        <w:t xml:space="preserve">The two profiles present themselves as the same kind of object. Each names ten qualities of an educated person, each set is offered as the organising commitment of a whole curriculum, and each is short enough to be printed on a poster. That surface equivalence is where the analysis begins, and it does not survive contact with the texts.</w:t>
      </w:r>
    </w:p>
    <w:p>
      <w:pPr>
        <w:spacing w:after="180" w:line="360"/>
      </w:pPr>
      <w:r>
        <w:rPr>
          <w:rFonts w:ascii="Cambria" w:cs="Cambria" w:eastAsia="Cambria" w:hAnsi="Cambria"/>
          <w:sz w:val="24"/>
          <w:szCs w:val="24"/>
        </w:rPr>
        <w:t xml:space="preserve">Findings are reported under five headings: the granularity of the two profiles (4.1), who is given the voice in each (4.2), the collective the learner is answerable to (4.3), the conditions attached to autonomy (4.4), and what each profile has no room for (4.5). Turkish terms are retained with glosses at first use. Every claim below is anchored to a named characteristic or attribute and a quoted span.</w:t>
      </w:r>
    </w:p>
    <w:p>
      <w:pPr>
        <w:pStyle w:val="Heading2"/>
        <w:spacing w:after="160" w:before="320" w:line="300"/>
      </w:pPr>
      <w:r>
        <w:rPr>
          <w:rFonts w:ascii="Cambria" w:cs="Cambria" w:eastAsia="Cambria" w:hAnsi="Cambria"/>
          <w:b/>
          <w:bCs/>
          <w:color w:val="000000"/>
          <w:sz w:val="27"/>
          <w:szCs w:val="27"/>
        </w:rPr>
        <w:t xml:space="preserve">4.1 Ten and ten, but not the same unit</w:t>
      </w:r>
    </w:p>
    <w:p>
      <w:pPr>
        <w:spacing w:after="180" w:line="360"/>
      </w:pPr>
      <w:r>
        <w:rPr>
          <w:rFonts w:ascii="Cambria" w:cs="Cambria" w:eastAsia="Cambria" w:hAnsi="Cambria"/>
          <w:sz w:val="24"/>
          <w:szCs w:val="24"/>
        </w:rPr>
        <w:t xml:space="preserve">TYMM organises its profile through two domains of wholeness, </w:t>
      </w:r>
      <w:r>
        <w:rPr>
          <w:rFonts w:ascii="Cambria" w:cs="Cambria" w:eastAsia="Cambria" w:hAnsi="Cambria"/>
          <w:i/>
          <w:iCs/>
          <w:sz w:val="24"/>
          <w:szCs w:val="24"/>
        </w:rPr>
        <w:t xml:space="preserve">yetkinlik</w:t>
      </w:r>
      <w:r>
        <w:rPr>
          <w:rFonts w:ascii="Cambria" w:cs="Cambria" w:eastAsia="Cambria" w:hAnsi="Cambria"/>
          <w:sz w:val="24"/>
          <w:szCs w:val="24"/>
        </w:rPr>
        <w:t xml:space="preserve"> (competence) and </w:t>
      </w:r>
      <w:r>
        <w:rPr>
          <w:rFonts w:ascii="Cambria" w:cs="Cambria" w:eastAsia="Cambria" w:hAnsi="Cambria"/>
          <w:i/>
          <w:iCs/>
          <w:sz w:val="24"/>
          <w:szCs w:val="24"/>
        </w:rPr>
        <w:t xml:space="preserve">erdem</w:t>
      </w:r>
      <w:r>
        <w:rPr>
          <w:rFonts w:ascii="Cambria" w:cs="Cambria" w:eastAsia="Cambria" w:hAnsi="Cambria"/>
          <w:sz w:val="24"/>
          <w:szCs w:val="24"/>
        </w:rPr>
        <w:t xml:space="preserve"> (virtue), which are then "divided into ten profile characteristics": ahlaklı, bilge, cesaretli, estetik, iradeli, merhametli, sağlıklı, sorgulayıcı, üretken, vatansever. The IB names ten attributes: inquirers, knowledgeable, thinkers, communicators, principled, open-minded, caring, risk-takers, balanced, reflective.</w:t>
      </w:r>
    </w:p>
    <w:p>
      <w:pPr>
        <w:spacing w:after="180" w:line="360"/>
      </w:pPr>
      <w:r>
        <w:rPr>
          <w:rFonts w:ascii="Cambria" w:cs="Cambria" w:eastAsia="Cambria" w:hAnsi="Cambria"/>
          <w:sz w:val="24"/>
          <w:szCs w:val="24"/>
        </w:rPr>
        <w:t xml:space="preserve">The two lists are the same length and are not the same kind of thing.</w:t>
      </w:r>
    </w:p>
    <w:p>
      <w:pPr>
        <w:spacing w:after="180" w:line="360"/>
      </w:pPr>
      <w:r>
        <w:rPr>
          <w:rFonts w:ascii="Cambria" w:cs="Cambria" w:eastAsia="Cambria" w:hAnsi="Cambria"/>
          <w:sz w:val="24"/>
          <w:szCs w:val="24"/>
        </w:rPr>
        <w:t xml:space="preserve">Each TYMM characteristic is further specified by named components, seven for ahlaklı and vatansever, five for bilge, six for the remaining seven. This yields 61 component slots, of which 60 are distinct: </w:t>
      </w:r>
      <w:r>
        <w:rPr>
          <w:rFonts w:ascii="Cambria" w:cs="Cambria" w:eastAsia="Cambria" w:hAnsi="Cambria"/>
          <w:i/>
          <w:iCs/>
          <w:sz w:val="24"/>
          <w:szCs w:val="24"/>
        </w:rPr>
        <w:t xml:space="preserve">öfkesini kontrol eden</w:t>
      </w:r>
      <w:r>
        <w:rPr>
          <w:rFonts w:ascii="Cambria" w:cs="Cambria" w:eastAsia="Cambria" w:hAnsi="Cambria"/>
          <w:sz w:val="24"/>
          <w:szCs w:val="24"/>
        </w:rPr>
        <w:t xml:space="preserve"> (controls their anger) is the one component the text assigns to two characteristics, cesaretli and iradeli. Each component carries its own one- or two-sentence definition. The IB attributes have no equivalent sub-layer; each is elaborated by a single descriptor of two or three sentences and stops there.</w:t>
      </w:r>
    </w:p>
    <w:p>
      <w:pPr>
        <w:spacing w:after="180" w:line="360"/>
      </w:pPr>
      <w:r>
        <w:rPr>
          <w:rFonts w:ascii="Cambria" w:cs="Cambria" w:eastAsia="Cambria" w:hAnsi="Cambria"/>
          <w:sz w:val="24"/>
          <w:szCs w:val="24"/>
        </w:rPr>
        <w:t xml:space="preserve">The consequence is a ratio of roughly six to one in specification. TYMM tells the reader what </w:t>
      </w:r>
      <w:r>
        <w:rPr>
          <w:rFonts w:ascii="Cambria" w:cs="Cambria" w:eastAsia="Cambria" w:hAnsi="Cambria"/>
          <w:i/>
          <w:iCs/>
          <w:sz w:val="24"/>
          <w:szCs w:val="24"/>
        </w:rPr>
        <w:t xml:space="preserve">ahlaklı</w:t>
      </w:r>
      <w:r>
        <w:rPr>
          <w:rFonts w:ascii="Cambria" w:cs="Cambria" w:eastAsia="Cambria" w:hAnsi="Cambria"/>
          <w:sz w:val="24"/>
          <w:szCs w:val="24"/>
        </w:rPr>
        <w:t xml:space="preserve"> consists of and then what each constituent means; the IB tells the reader what </w:t>
      </w:r>
      <w:r>
        <w:rPr>
          <w:rFonts w:ascii="Cambria" w:cs="Cambria" w:eastAsia="Cambria" w:hAnsi="Cambria"/>
          <w:i/>
          <w:iCs/>
          <w:sz w:val="24"/>
          <w:szCs w:val="24"/>
        </w:rPr>
        <w:t xml:space="preserve">principled</w:t>
      </w:r>
      <w:r>
        <w:rPr>
          <w:rFonts w:ascii="Cambria" w:cs="Cambria" w:eastAsia="Cambria" w:hAnsi="Cambria"/>
          <w:sz w:val="24"/>
          <w:szCs w:val="24"/>
        </w:rPr>
        <w:t xml:space="preserve"> means and leaves the decomposition to the school. This is not a difference in thoroughness. It is a difference in what the document takes itself to be doing. TYMM's profile is written as an instrument that must be operable across a single national system, where the components can be traced into the Erdem-Değer-Eylem Çerçevesi and the skills framework and, from there, into learning outcomes. The IB profile is written to survive translation into 160 national contexts, and its generality is the condition of that portability. Bunnell's (2010) reading of the IB as an institution managing a dispersed constituency is legible in the grammar of the profile itself.</w:t>
      </w:r>
    </w:p>
    <w:p>
      <w:pPr>
        <w:spacing w:after="180" w:line="360"/>
      </w:pPr>
      <w:r>
        <w:rPr>
          <w:rFonts w:ascii="Cambria" w:cs="Cambria" w:eastAsia="Cambria" w:hAnsi="Cambria"/>
          <w:sz w:val="24"/>
          <w:szCs w:val="24"/>
        </w:rPr>
        <w:t xml:space="preserve">A methodological consequence follows, and it shapes the rest of this section. Comparing the two at the level of the named quality compares like with like structurally but not semantically, because a TYMM characteristic carries six times the specification. Where the analysis below compares definitions, it compares the IB descriptor against the TYMM component definitions in aggregate, and says so.</w:t>
      </w:r>
    </w:p>
    <w:p>
      <w:pPr>
        <w:pStyle w:val="Heading2"/>
        <w:spacing w:after="160" w:before="320" w:line="300"/>
      </w:pPr>
      <w:r>
        <w:rPr>
          <w:rFonts w:ascii="Cambria" w:cs="Cambria" w:eastAsia="Cambria" w:hAnsi="Cambria"/>
          <w:b/>
          <w:bCs/>
          <w:color w:val="000000"/>
          <w:sz w:val="27"/>
          <w:szCs w:val="27"/>
        </w:rPr>
        <w:t xml:space="preserve">4.2 Who speaks the profile</w:t>
      </w:r>
    </w:p>
    <w:p>
      <w:pPr>
        <w:spacing w:after="180" w:line="360"/>
      </w:pPr>
      <w:r>
        <w:rPr>
          <w:rFonts w:ascii="Cambria" w:cs="Cambria" w:eastAsia="Cambria" w:hAnsi="Cambria"/>
          <w:sz w:val="24"/>
          <w:szCs w:val="24"/>
        </w:rPr>
        <w:t xml:space="preserve">The clearest divergence between the two texts is grammatical, and it runs without exception through both.</w:t>
      </w:r>
    </w:p>
    <w:p>
      <w:pPr>
        <w:spacing w:after="180" w:line="360"/>
      </w:pPr>
      <w:r>
        <w:rPr>
          <w:rFonts w:ascii="Cambria" w:cs="Cambria" w:eastAsia="Cambria" w:hAnsi="Cambria"/>
          <w:sz w:val="24"/>
          <w:szCs w:val="24"/>
        </w:rPr>
        <w:t xml:space="preserve">Every one of the ten IB descriptors is written in the first person plural. Inquirers: "We nurture our curiosity, developing skills for inquiry and research." Principled: "We act with integrity and honesty, with a strong sense of fairness and justice, and with respect for the dignity and rights of people everywhere." Balanced: "We understand the importance of balancing different aspects of our lives—intellectual, physical, and emotional—to achieve well-being for ourselves and others." Ten out of ten. The document also glosses itself in these terms, describing the profile as "the aspirations of a global community that shares the values underlying the IB's educational philosophy" (IBO, 2015, p. 1).</w:t>
      </w:r>
    </w:p>
    <w:p>
      <w:pPr>
        <w:spacing w:after="180" w:line="360"/>
      </w:pPr>
      <w:r>
        <w:rPr>
          <w:rFonts w:ascii="Cambria" w:cs="Cambria" w:eastAsia="Cambria" w:hAnsi="Cambria"/>
          <w:sz w:val="24"/>
          <w:szCs w:val="24"/>
        </w:rPr>
        <w:t xml:space="preserve">Every one of TYMM's 61 component definitions is written in the third person singular, in the Turkish aorist. Adil: "Herkesin eşit haklara sahip olduğuna inanır ve adaleti benimser" (believes that everyone has equal rights and embraces justice). Güvenilir: "Verdiği sözleri tutar" (keeps the promises they make). Bayrağını seven: "Bayrağına ve millî sembollere saygı gösterir" (shows respect for their flag and national symbols). Sixty-one out of sixty-one.</w:t>
      </w:r>
    </w:p>
    <w:p>
      <w:pPr>
        <w:spacing w:after="180" w:line="360"/>
      </w:pPr>
      <w:r>
        <w:rPr>
          <w:rFonts w:ascii="Cambria" w:cs="Cambria" w:eastAsia="Cambria" w:hAnsi="Cambria"/>
          <w:sz w:val="24"/>
          <w:szCs w:val="24"/>
        </w:rPr>
        <w:t xml:space="preserve">The distinction is not stylistic. The first person plural places the learner inside the collective that is speaking; the profile is uttered by the community the learner is being invited to join, and reading it is an act of provisional membership. The third person aorist places the learner outside, as the described object of an educational process, and the aorist in Turkish carries a habitual and dispositional force that a simple present does not: it states what this person characteristically does. The IB profile performs belonging. TYMM's profile specifies a type.</w:t>
      </w:r>
    </w:p>
    <w:p>
      <w:pPr>
        <w:spacing w:after="180" w:line="360"/>
      </w:pPr>
      <w:r>
        <w:rPr>
          <w:rFonts w:ascii="Cambria" w:cs="Cambria" w:eastAsia="Cambria" w:hAnsi="Cambria"/>
          <w:sz w:val="24"/>
          <w:szCs w:val="24"/>
        </w:rPr>
        <w:t xml:space="preserve">Two qualifications keep this from being overdrawn. First, the IB's first person is recent. Earlier versions of the profile were written in the third person, and the shift is a deliberate revision rather than a founding feature; what the analysis observes is the current text, not a permanent property of international education. Second, the named qualities themselves do not divide as cleanly as the descriptors. Four IB attributes are agentive nouns (inquirers, thinkers, communicators, risk-takers) and six are adjectives; TYMM's ten are Turkish adjectives and participles, of which sorgulayıcı and üretken are agentive in form. The contrast between a grammar of doing and a grammar of being is real at the level of the descriptors and only partial at the level of the labels. It is reported here at the level where the evidence supports it.</w:t>
      </w:r>
    </w:p>
    <w:p>
      <w:pPr>
        <w:pStyle w:val="Heading2"/>
        <w:spacing w:after="160" w:before="320" w:line="300"/>
      </w:pPr>
      <w:r>
        <w:rPr>
          <w:rFonts w:ascii="Cambria" w:cs="Cambria" w:eastAsia="Cambria" w:hAnsi="Cambria"/>
          <w:b/>
          <w:bCs/>
          <w:color w:val="000000"/>
          <w:sz w:val="27"/>
          <w:szCs w:val="27"/>
        </w:rPr>
        <w:t xml:space="preserve">4.3 The collective, named and unnamed</w:t>
      </w:r>
    </w:p>
    <w:p>
      <w:pPr>
        <w:spacing w:after="180" w:line="360"/>
      </w:pPr>
      <w:r>
        <w:rPr>
          <w:rFonts w:ascii="Cambria" w:cs="Cambria" w:eastAsia="Cambria" w:hAnsi="Cambria"/>
          <w:sz w:val="24"/>
          <w:szCs w:val="24"/>
        </w:rPr>
        <w:t xml:space="preserve">Both profiles make the learner answerable to something beyond the self. They differ in whether that something has a name.</w:t>
      </w:r>
    </w:p>
    <w:p>
      <w:pPr>
        <w:spacing w:after="180" w:line="360"/>
      </w:pPr>
      <w:r>
        <w:rPr>
          <w:rFonts w:ascii="Cambria" w:cs="Cambria" w:eastAsia="Cambria" w:hAnsi="Cambria"/>
          <w:sz w:val="24"/>
          <w:szCs w:val="24"/>
        </w:rPr>
        <w:t xml:space="preserve">TYMM names it repeatedly, and concentrates the naming in one characteristic. </w:t>
      </w:r>
      <w:r>
        <w:rPr>
          <w:rFonts w:ascii="Cambria" w:cs="Cambria" w:eastAsia="Cambria" w:hAnsi="Cambria"/>
          <w:i/>
          <w:iCs/>
          <w:sz w:val="24"/>
          <w:szCs w:val="24"/>
        </w:rPr>
        <w:t xml:space="preserve">Vatansever</w:t>
      </w:r>
      <w:r>
        <w:rPr>
          <w:rFonts w:ascii="Cambria" w:cs="Cambria" w:eastAsia="Cambria" w:hAnsi="Cambria"/>
          <w:sz w:val="24"/>
          <w:szCs w:val="24"/>
        </w:rPr>
        <w:t xml:space="preserve"> (patriotic) is specified by seven components which between them invoke the flag, national symbols, the Turkish language, the homeland, the nation, the state, the country's interests, national culture, spiritual values, and future generations. "Devletin millet için anlamını bilir" (knows what the state means for the nation). "Millî çıkarları ön planda tutar" (holds national interests foremost). The referents are proper and bounded: this flag, this language, this state.</w:t>
      </w:r>
    </w:p>
    <w:p>
      <w:pPr>
        <w:spacing w:after="180" w:line="360"/>
      </w:pPr>
      <w:r>
        <w:rPr>
          <w:rFonts w:ascii="Cambria" w:cs="Cambria" w:eastAsia="Cambria" w:hAnsi="Cambria"/>
          <w:sz w:val="24"/>
          <w:szCs w:val="24"/>
        </w:rPr>
        <w:t xml:space="preserve">The naming is not confined to vatansever. </w:t>
      </w:r>
      <w:r>
        <w:rPr>
          <w:rFonts w:ascii="Cambria" w:cs="Cambria" w:eastAsia="Cambria" w:hAnsi="Cambria"/>
          <w:i/>
          <w:iCs/>
          <w:sz w:val="24"/>
          <w:szCs w:val="24"/>
        </w:rPr>
        <w:t xml:space="preserve">Üretken</w:t>
      </w:r>
      <w:r>
        <w:rPr>
          <w:rFonts w:ascii="Cambria" w:cs="Cambria" w:eastAsia="Cambria" w:hAnsi="Cambria"/>
          <w:sz w:val="24"/>
          <w:szCs w:val="24"/>
        </w:rPr>
        <w:t xml:space="preserve"> (productive) specifies that the learner "dreams and sets goals about their country and their own future": the country precedes the self in the sentence. The Erdem-Değer-Eylem Çerçevesi states its ultimate objective as reaching "Huzurlu Aile ve Toplum" (a peaceful family and society) and "Yaşanabilir Çevrede Huzurlu İnsan" (a peaceful person in a liveable environment), and organises its twenty values into clusters named for the person, the family and social circle, and the physical environment. The collective is not a background assumption; it is the architecture.</w:t>
      </w:r>
    </w:p>
    <w:p>
      <w:pPr>
        <w:spacing w:after="180" w:line="360"/>
      </w:pPr>
      <w:r>
        <w:rPr>
          <w:rFonts w:ascii="Cambria" w:cs="Cambria" w:eastAsia="Cambria" w:hAnsi="Cambria"/>
          <w:sz w:val="24"/>
          <w:szCs w:val="24"/>
        </w:rPr>
        <w:t xml:space="preserve">The IB names nothing. Its collectives are "people everywhere", "a global community", "the world in which we live", "the lives of others and the world around us", "issues and ideas that have local and global significance". Across all ten descriptors no polity, language, territory, or tradition is identified. The single concrete requirement anywhere in the set is linguistic and it is a requirement of plurality rather than of a particular language: communicators "express ourselves confidently and creatively in more than one language".</w:t>
      </w:r>
    </w:p>
    <w:p>
      <w:pPr>
        <w:spacing w:after="180" w:line="360"/>
      </w:pPr>
      <w:r>
        <w:rPr>
          <w:rFonts w:ascii="Cambria" w:cs="Cambria" w:eastAsia="Cambria" w:hAnsi="Cambria"/>
          <w:sz w:val="24"/>
          <w:szCs w:val="24"/>
        </w:rPr>
        <w:t xml:space="preserve">This produces the sharpest single contrast in the corpus, and it sits on the language axis. TYMM's named language component is </w:t>
      </w:r>
      <w:r>
        <w:rPr>
          <w:rFonts w:ascii="Cambria" w:cs="Cambria" w:eastAsia="Cambria" w:hAnsi="Cambria"/>
          <w:i/>
          <w:iCs/>
          <w:sz w:val="24"/>
          <w:szCs w:val="24"/>
        </w:rPr>
        <w:t xml:space="preserve">Türkçeye sahip çıkan</w:t>
      </w:r>
      <w:r>
        <w:rPr>
          <w:rFonts w:ascii="Cambria" w:cs="Cambria" w:eastAsia="Cambria" w:hAnsi="Cambria"/>
          <w:sz w:val="24"/>
          <w:szCs w:val="24"/>
        </w:rPr>
        <w:t xml:space="preserve">, literally one who takes ownership of, or safeguards, Turkish: "Türkçeye hâkimdir; güzel yazar, güzel konuşur ve dilini geliştirir." The verb </w:t>
      </w:r>
      <w:r>
        <w:rPr>
          <w:rFonts w:ascii="Cambria" w:cs="Cambria" w:eastAsia="Cambria" w:hAnsi="Cambria"/>
          <w:i/>
          <w:iCs/>
          <w:sz w:val="24"/>
          <w:szCs w:val="24"/>
        </w:rPr>
        <w:t xml:space="preserve">sahip çıkmak</w:t>
      </w:r>
      <w:r>
        <w:rPr>
          <w:rFonts w:ascii="Cambria" w:cs="Cambria" w:eastAsia="Cambria" w:hAnsi="Cambria"/>
          <w:sz w:val="24"/>
          <w:szCs w:val="24"/>
        </w:rPr>
        <w:t xml:space="preserve"> frames the relation as custodial. The IB's language clause requires more than one language and specifies none. One profile asks the learner to keep a language; the other asks the learner to exceed one. Neither is reducible to a competence claim, and the difference is not a matter of emphasis: each is doing something the other does not do at all.</w:t>
      </w:r>
    </w:p>
    <w:p>
      <w:pPr>
        <w:spacing w:after="180" w:line="360"/>
      </w:pPr>
      <w:r>
        <w:rPr>
          <w:rFonts w:ascii="Cambria" w:cs="Cambria" w:eastAsia="Cambria" w:hAnsi="Cambria"/>
          <w:sz w:val="24"/>
          <w:szCs w:val="24"/>
        </w:rPr>
        <w:t xml:space="preserve">It would be a misreading to convert this into a parochial-versus-cosmopolitan verdict, and the texts resist it. TYMM's </w:t>
      </w:r>
      <w:r>
        <w:rPr>
          <w:rFonts w:ascii="Cambria" w:cs="Cambria" w:eastAsia="Cambria" w:hAnsi="Cambria"/>
          <w:i/>
          <w:iCs/>
          <w:sz w:val="24"/>
          <w:szCs w:val="24"/>
        </w:rPr>
        <w:t xml:space="preserve">ahlaklı</w:t>
      </w:r>
      <w:r>
        <w:rPr>
          <w:rFonts w:ascii="Cambria" w:cs="Cambria" w:eastAsia="Cambria" w:hAnsi="Cambria"/>
          <w:sz w:val="24"/>
          <w:szCs w:val="24"/>
        </w:rPr>
        <w:t xml:space="preserve"> requires respect for "farklı inançlara" (different beliefs) and for "diğer canlılara" (other living beings), and its </w:t>
      </w:r>
      <w:r>
        <w:rPr>
          <w:rFonts w:ascii="Cambria" w:cs="Cambria" w:eastAsia="Cambria" w:hAnsi="Cambria"/>
          <w:i/>
          <w:iCs/>
          <w:sz w:val="24"/>
          <w:szCs w:val="24"/>
        </w:rPr>
        <w:t xml:space="preserve">dostluk</w:t>
      </w:r>
      <w:r>
        <w:rPr>
          <w:rFonts w:ascii="Cambria" w:cs="Cambria" w:eastAsia="Cambria" w:hAnsi="Cambria"/>
          <w:sz w:val="24"/>
          <w:szCs w:val="24"/>
        </w:rPr>
        <w:t xml:space="preserve"> value includes building bonds with other cultures and participating in international projects. The IB's unnamed universality is itself a positioned claim, and the absence of a named collective does not make the profile placeless. What the evidence supports is narrower and more useful: the two profiles differ in whether the object of the learner's obligation is specified, and specification has consequences that generality does not, and vice versa.</w:t>
      </w:r>
    </w:p>
    <w:p>
      <w:pPr>
        <w:pStyle w:val="Heading2"/>
        <w:spacing w:after="160" w:before="320" w:line="300"/>
      </w:pPr>
      <w:r>
        <w:rPr>
          <w:rFonts w:ascii="Cambria" w:cs="Cambria" w:eastAsia="Cambria" w:hAnsi="Cambria"/>
          <w:b/>
          <w:bCs/>
          <w:color w:val="000000"/>
          <w:sz w:val="27"/>
          <w:szCs w:val="27"/>
        </w:rPr>
        <w:t xml:space="preserve">4.4 Autonomy, with and without a proviso</w:t>
      </w:r>
    </w:p>
    <w:p>
      <w:pPr>
        <w:spacing w:after="180" w:line="360"/>
      </w:pPr>
      <w:r>
        <w:rPr>
          <w:rFonts w:ascii="Cambria" w:cs="Cambria" w:eastAsia="Cambria" w:hAnsi="Cambria"/>
          <w:sz w:val="24"/>
          <w:szCs w:val="24"/>
        </w:rPr>
        <w:t xml:space="preserve">The most consequential finding is a recurring syntactic pattern rather than a lexical one, and it is visible only when the component definitions are read closely.</w:t>
      </w:r>
    </w:p>
    <w:p>
      <w:pPr>
        <w:spacing w:after="180" w:line="360"/>
      </w:pPr>
      <w:r>
        <w:rPr>
          <w:rFonts w:ascii="Cambria" w:cs="Cambria" w:eastAsia="Cambria" w:hAnsi="Cambria"/>
          <w:sz w:val="24"/>
          <w:szCs w:val="24"/>
        </w:rPr>
        <w:t xml:space="preserve">Where TYMM grants the learner independence of thought, taste, or affiliation, the grant is regularly qualified by a clause of conformity. Three instances from the profile itself:</w:t>
      </w:r>
    </w:p>
    <w:p>
      <w:pPr>
        <w:spacing w:after="180" w:line="360"/>
      </w:pPr>
      <w:r>
        <w:rPr>
          <w:rFonts w:ascii="Cambria" w:cs="Cambria" w:eastAsia="Cambria" w:hAnsi="Cambria"/>
          <w:i/>
          <w:iCs/>
          <w:sz w:val="24"/>
          <w:szCs w:val="24"/>
        </w:rPr>
        <w:t xml:space="preserve">Bilge / Bağımsız ve özgür düşünen</w:t>
      </w:r>
      <w:r>
        <w:rPr>
          <w:rFonts w:ascii="Cambria" w:cs="Cambria" w:eastAsia="Cambria" w:hAnsi="Cambria"/>
          <w:sz w:val="24"/>
          <w:szCs w:val="24"/>
        </w:rPr>
        <w:t xml:space="preserve"> (independent and free-thinking): the learner "farklı görüşleri eleştirip analiz eder, düşünce ve inançlarını özgürce ifade etme becerisi kazanırken </w:t>
      </w:r>
      <w:r>
        <w:rPr>
          <w:rFonts w:ascii="Cambria" w:cs="Cambria" w:eastAsia="Cambria" w:hAnsi="Cambria"/>
          <w:b/>
          <w:bCs/>
          <w:sz w:val="24"/>
          <w:szCs w:val="24"/>
        </w:rPr>
        <w:t xml:space="preserve">kendi değer ve inançlarıyla uyumlu bir şekilde</w:t>
      </w:r>
      <w:r>
        <w:rPr>
          <w:rFonts w:ascii="Cambria" w:cs="Cambria" w:eastAsia="Cambria" w:hAnsi="Cambria"/>
          <w:sz w:val="24"/>
          <w:szCs w:val="24"/>
        </w:rPr>
        <w:t xml:space="preserve"> düşünerek karar vermeyi öğrenir" — learns to decide by thinking </w:t>
      </w:r>
      <w:r>
        <w:rPr>
          <w:rFonts w:ascii="Cambria" w:cs="Cambria" w:eastAsia="Cambria" w:hAnsi="Cambria"/>
          <w:i/>
          <w:iCs/>
          <w:sz w:val="24"/>
          <w:szCs w:val="24"/>
        </w:rPr>
        <w:t xml:space="preserve">in a manner consistent with their own values and beliefs</w:t>
      </w:r>
      <w:r>
        <w:rPr>
          <w:rFonts w:ascii="Cambria" w:cs="Cambria" w:eastAsia="Cambria" w:hAnsi="Cambria"/>
          <w:sz w:val="24"/>
          <w:szCs w:val="24"/>
        </w:rPr>
        <w:t xml:space="preserve">.</w:t>
      </w:r>
    </w:p>
    <w:p>
      <w:pPr>
        <w:spacing w:after="180" w:line="360"/>
      </w:pPr>
      <w:r>
        <w:rPr>
          <w:rFonts w:ascii="Cambria" w:cs="Cambria" w:eastAsia="Cambria" w:hAnsi="Cambria"/>
          <w:i/>
          <w:iCs/>
          <w:sz w:val="24"/>
          <w:szCs w:val="24"/>
        </w:rPr>
        <w:t xml:space="preserve">Estetik / Güzelliğe duyarlı</w:t>
      </w:r>
      <w:r>
        <w:rPr>
          <w:rFonts w:ascii="Cambria" w:cs="Cambria" w:eastAsia="Cambria" w:hAnsi="Cambria"/>
          <w:sz w:val="24"/>
          <w:szCs w:val="24"/>
        </w:rPr>
        <w:t xml:space="preserve"> (sensitive to beauty): the learner "</w:t>
      </w:r>
      <w:r>
        <w:rPr>
          <w:rFonts w:ascii="Cambria" w:cs="Cambria" w:eastAsia="Cambria" w:hAnsi="Cambria"/>
          <w:b/>
          <w:bCs/>
          <w:sz w:val="24"/>
          <w:szCs w:val="24"/>
        </w:rPr>
        <w:t xml:space="preserve">ahlaki değerlerle uyumlu bir şekilde</w:t>
      </w:r>
      <w:r>
        <w:rPr>
          <w:rFonts w:ascii="Cambria" w:cs="Cambria" w:eastAsia="Cambria" w:hAnsi="Cambria"/>
          <w:sz w:val="24"/>
          <w:szCs w:val="24"/>
        </w:rPr>
        <w:t xml:space="preserve"> güzellik anlayışını oluşturur" — forms their conception of beauty </w:t>
      </w:r>
      <w:r>
        <w:rPr>
          <w:rFonts w:ascii="Cambria" w:cs="Cambria" w:eastAsia="Cambria" w:hAnsi="Cambria"/>
          <w:i/>
          <w:iCs/>
          <w:sz w:val="24"/>
          <w:szCs w:val="24"/>
        </w:rPr>
        <w:t xml:space="preserve">in a manner consistent with moral values</w:t>
      </w:r>
      <w:r>
        <w:rPr>
          <w:rFonts w:ascii="Cambria" w:cs="Cambria" w:eastAsia="Cambria" w:hAnsi="Cambria"/>
          <w:sz w:val="24"/>
          <w:szCs w:val="24"/>
        </w:rPr>
        <w:t xml:space="preserve">.</w:t>
      </w:r>
    </w:p>
    <w:p>
      <w:pPr>
        <w:spacing w:after="180" w:line="360"/>
      </w:pPr>
      <w:r>
        <w:rPr>
          <w:rFonts w:ascii="Cambria" w:cs="Cambria" w:eastAsia="Cambria" w:hAnsi="Cambria"/>
          <w:sz w:val="24"/>
          <w:szCs w:val="24"/>
        </w:rPr>
        <w:t xml:space="preserve">And in the values framework, under </w:t>
      </w:r>
      <w:r>
        <w:rPr>
          <w:rFonts w:ascii="Cambria" w:cs="Cambria" w:eastAsia="Cambria" w:hAnsi="Cambria"/>
          <w:i/>
          <w:iCs/>
          <w:sz w:val="24"/>
          <w:szCs w:val="24"/>
        </w:rPr>
        <w:t xml:space="preserve">dostluk</w:t>
      </w:r>
      <w:r>
        <w:rPr>
          <w:rFonts w:ascii="Cambria" w:cs="Cambria" w:eastAsia="Cambria" w:hAnsi="Cambria"/>
          <w:sz w:val="24"/>
          <w:szCs w:val="24"/>
        </w:rPr>
        <w:t xml:space="preserve">: "Farklı milletlerden insanlarla iletişim kurarken </w:t>
      </w:r>
      <w:r>
        <w:rPr>
          <w:rFonts w:ascii="Cambria" w:cs="Cambria" w:eastAsia="Cambria" w:hAnsi="Cambria"/>
          <w:b/>
          <w:bCs/>
          <w:sz w:val="24"/>
          <w:szCs w:val="24"/>
        </w:rPr>
        <w:t xml:space="preserve">millî kimliğini ve kültürünü muhafaza eder</w:t>
      </w:r>
      <w:r>
        <w:rPr>
          <w:rFonts w:ascii="Cambria" w:cs="Cambria" w:eastAsia="Cambria" w:hAnsi="Cambria"/>
          <w:sz w:val="24"/>
          <w:szCs w:val="24"/>
        </w:rPr>
        <w:t xml:space="preserve">" — while communicating with people of other nations, </w:t>
      </w:r>
      <w:r>
        <w:rPr>
          <w:rFonts w:ascii="Cambria" w:cs="Cambria" w:eastAsia="Cambria" w:hAnsi="Cambria"/>
          <w:i/>
          <w:iCs/>
          <w:sz w:val="24"/>
          <w:szCs w:val="24"/>
        </w:rPr>
        <w:t xml:space="preserve">preserves their national identity and culture</w:t>
      </w:r>
      <w:r>
        <w:rPr>
          <w:rFonts w:ascii="Cambria" w:cs="Cambria" w:eastAsia="Cambria" w:hAnsi="Cambria"/>
          <w:sz w:val="24"/>
          <w:szCs w:val="24"/>
        </w:rPr>
        <w:t xml:space="preserve">.</w:t>
      </w:r>
    </w:p>
    <w:p>
      <w:pPr>
        <w:spacing w:after="180" w:line="360"/>
      </w:pPr>
      <w:r>
        <w:rPr>
          <w:rFonts w:ascii="Cambria" w:cs="Cambria" w:eastAsia="Cambria" w:hAnsi="Cambria"/>
          <w:sz w:val="24"/>
          <w:szCs w:val="24"/>
        </w:rPr>
        <w:t xml:space="preserve">The construction is the same each time: a capacity is granted, then bounded by an </w:t>
      </w:r>
      <w:r>
        <w:rPr>
          <w:rFonts w:ascii="Cambria" w:cs="Cambria" w:eastAsia="Cambria" w:hAnsi="Cambria"/>
          <w:i/>
          <w:iCs/>
          <w:sz w:val="24"/>
          <w:szCs w:val="24"/>
        </w:rPr>
        <w:t xml:space="preserve">uyumlu</w:t>
      </w:r>
      <w:r>
        <w:rPr>
          <w:rFonts w:ascii="Cambria" w:cs="Cambria" w:eastAsia="Cambria" w:hAnsi="Cambria"/>
          <w:sz w:val="24"/>
          <w:szCs w:val="24"/>
        </w:rPr>
        <w:t xml:space="preserve"> (consistent with) or </w:t>
      </w:r>
      <w:r>
        <w:rPr>
          <w:rFonts w:ascii="Cambria" w:cs="Cambria" w:eastAsia="Cambria" w:hAnsi="Cambria"/>
          <w:i/>
          <w:iCs/>
          <w:sz w:val="24"/>
          <w:szCs w:val="24"/>
        </w:rPr>
        <w:t xml:space="preserve">muhafaza</w:t>
      </w:r>
      <w:r>
        <w:rPr>
          <w:rFonts w:ascii="Cambria" w:cs="Cambria" w:eastAsia="Cambria" w:hAnsi="Cambria"/>
          <w:sz w:val="24"/>
          <w:szCs w:val="24"/>
        </w:rPr>
        <w:t xml:space="preserve"> (preserve) clause naming what the exercise of that capacity must not disturb.</w:t>
      </w:r>
    </w:p>
    <w:p>
      <w:pPr>
        <w:spacing w:after="180" w:line="360"/>
      </w:pPr>
      <w:r>
        <w:rPr>
          <w:rFonts w:ascii="Cambria" w:cs="Cambria" w:eastAsia="Cambria" w:hAnsi="Cambria"/>
          <w:sz w:val="24"/>
          <w:szCs w:val="24"/>
        </w:rPr>
        <w:t xml:space="preserve">The IB's corresponding descriptors carry no such clause. Open-minded: "We critically appreciate our own cultures and personal histories, as well as the values and traditions of others. We seek and evaluate a range of points of view, and we are willing to grow from the experience." The learner's own culture is included in what is critically appreciated rather than exempted from it, and the stated outcome is growth from the encounter, with nothing held constant. Reflective makes the same move inward: "We work to understand our strengths and weaknesses."</w:t>
      </w:r>
    </w:p>
    <w:p>
      <w:pPr>
        <w:spacing w:after="180" w:line="360"/>
      </w:pPr>
      <w:r>
        <w:rPr>
          <w:rFonts w:ascii="Cambria" w:cs="Cambria" w:eastAsia="Cambria" w:hAnsi="Cambria"/>
          <w:sz w:val="24"/>
          <w:szCs w:val="24"/>
        </w:rPr>
        <w:t xml:space="preserve">Read together, the two texts encode different theories of what happens when a learner meets a difference. In TYMM, the encounter is real and its result is bounded: one engages, and one returns intact. In the IB profile, the encounter is expected to change the learner, and no part of the learner is marked off in advance as not subject to change.</w:t>
      </w:r>
    </w:p>
    <w:p>
      <w:pPr>
        <w:spacing w:after="180" w:line="360"/>
      </w:pPr>
      <w:r>
        <w:rPr>
          <w:rFonts w:ascii="Cambria" w:cs="Cambria" w:eastAsia="Cambria" w:hAnsi="Cambria"/>
          <w:sz w:val="24"/>
          <w:szCs w:val="24"/>
        </w:rPr>
        <w:t xml:space="preserve">This is where the study's directed codebook earns its keep. Read through </w:t>
      </w:r>
      <w:r>
        <w:rPr>
          <w:rFonts w:ascii="Cambria" w:cs="Cambria" w:eastAsia="Cambria" w:hAnsi="Cambria"/>
          <w:i/>
          <w:iCs/>
          <w:sz w:val="24"/>
          <w:szCs w:val="24"/>
        </w:rPr>
        <w:t xml:space="preserve">aksiyolojik olgunluk</w:t>
      </w:r>
      <w:r>
        <w:rPr>
          <w:rFonts w:ascii="Cambria" w:cs="Cambria" w:eastAsia="Cambria" w:hAnsi="Cambria"/>
          <w:sz w:val="24"/>
          <w:szCs w:val="24"/>
        </w:rPr>
        <w:t xml:space="preserve"> (axiological maturity), TYMM's own term, the proviso is not a restriction bolted onto autonomy but the substance of the construct: the framework defines axiological maturity as the maturing of ethical and aesthetic judgement, and describes it as "öğrenci profilinin birleştirici ve tamamlayıcı boyutu" (the unifying and completing dimension of the student profile). A judgement that had no anchor would not, in the model's own terms, be mature. Coded from outside, through a lens that treats unconditioned openness as the norm, the same clauses read as constraints on a freedom otherwise granted. Both readings are available from the text. Reporting only the second would be the failure mode Takayama, Sriprakash and Connell (2017) describe, in which a non-Western framework is legible only as a deviation.</w:t>
      </w:r>
    </w:p>
    <w:p>
      <w:pPr>
        <w:spacing w:after="180" w:line="360"/>
      </w:pPr>
      <w:r>
        <w:rPr>
          <w:rFonts w:ascii="Cambria" w:cs="Cambria" w:eastAsia="Cambria" w:hAnsi="Cambria"/>
          <w:sz w:val="24"/>
          <w:szCs w:val="24"/>
        </w:rPr>
        <w:t xml:space="preserve">The finding, stated at the level the evidence supports: TYMM attaches a conformity clause to its grants of autonomy and the IB does not, and the two documents therefore differ on whether formation has a fixed point.</w:t>
      </w:r>
    </w:p>
    <w:p>
      <w:pPr>
        <w:pStyle w:val="Heading2"/>
        <w:spacing w:after="160" w:before="320" w:line="300"/>
      </w:pPr>
      <w:r>
        <w:rPr>
          <w:rFonts w:ascii="Cambria" w:cs="Cambria" w:eastAsia="Cambria" w:hAnsi="Cambria"/>
          <w:b/>
          <w:bCs/>
          <w:color w:val="000000"/>
          <w:sz w:val="27"/>
          <w:szCs w:val="27"/>
        </w:rPr>
        <w:t xml:space="preserve">4.5 What each profile has no room for</w:t>
      </w:r>
    </w:p>
    <w:p>
      <w:pPr>
        <w:spacing w:after="180" w:line="360"/>
      </w:pPr>
      <w:r>
        <w:rPr>
          <w:rFonts w:ascii="Cambria" w:cs="Cambria" w:eastAsia="Cambria" w:hAnsi="Cambria"/>
          <w:sz w:val="24"/>
          <w:szCs w:val="24"/>
        </w:rPr>
        <w:t xml:space="preserve">Mapping the ten against the ten produces correspondences at seven positions and leaves six qualities without a counterpart. Table 3 sets out the mapping; the residue is more informative than the matches.</w:t>
      </w:r>
    </w:p>
    <w:p>
      <w:pPr>
        <w:spacing w:after="180" w:line="360"/>
      </w:pPr>
      <w:r>
        <w:rPr>
          <w:rFonts w:ascii="Cambria" w:cs="Cambria" w:eastAsia="Cambria" w:hAnsi="Cambria"/>
          <w:b/>
          <w:bCs/>
          <w:sz w:val="24"/>
          <w:szCs w:val="24"/>
        </w:rPr>
        <w:t xml:space="preserve">Table 3. Correspondence between the two profiles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EDEDED" w:val="clear"/>
            <w:tcMar>
              <w:top w:type="dxa" w:w="60"/>
              <w:left w:type="dxa" w:w="90"/>
              <w:bottom w:type="dxa" w:w="60"/>
              <w:right w:type="dxa" w:w="90"/>
            </w:tcMar>
          </w:tcPr>
          <w:p>
            <w:pPr>
              <w:spacing w:after="0" w:line="260"/>
            </w:pPr>
            <w:r>
              <w:rPr>
                <w:rFonts w:ascii="Cambria" w:cs="Cambria" w:eastAsia="Cambria" w:hAnsi="Cambria"/>
                <w:b/>
                <w:bCs/>
                <w:sz w:val="24"/>
                <w:szCs w:val="24"/>
              </w:rPr>
              <w:t xml:space="preserve">IB attribute</w:t>
            </w:r>
          </w:p>
        </w:tc>
        <w:tc>
          <w:tcPr>
            <w:tcW w:type="dxa" w:w="3120"/>
            <w:shd w:fill="EDEDED" w:val="clear"/>
            <w:tcMar>
              <w:top w:type="dxa" w:w="60"/>
              <w:left w:type="dxa" w:w="90"/>
              <w:bottom w:type="dxa" w:w="60"/>
              <w:right w:type="dxa" w:w="90"/>
            </w:tcMar>
          </w:tcPr>
          <w:p>
            <w:pPr>
              <w:spacing w:after="0" w:line="260"/>
            </w:pPr>
            <w:r>
              <w:rPr>
                <w:rFonts w:ascii="Cambria" w:cs="Cambria" w:eastAsia="Cambria" w:hAnsi="Cambria"/>
                <w:b/>
                <w:bCs/>
                <w:sz w:val="24"/>
                <w:szCs w:val="24"/>
              </w:rPr>
              <w:t xml:space="preserve">TYMM counterpart</w:t>
            </w:r>
          </w:p>
        </w:tc>
        <w:tc>
          <w:tcPr>
            <w:tcW w:type="dxa" w:w="3120"/>
            <w:shd w:fill="EDEDED" w:val="clear"/>
            <w:tcMar>
              <w:top w:type="dxa" w:w="60"/>
              <w:left w:type="dxa" w:w="90"/>
              <w:bottom w:type="dxa" w:w="60"/>
              <w:right w:type="dxa" w:w="90"/>
            </w:tcMar>
          </w:tcPr>
          <w:p>
            <w:pPr>
              <w:spacing w:after="0" w:line="260"/>
            </w:pPr>
            <w:r>
              <w:rPr>
                <w:rFonts w:ascii="Cambria" w:cs="Cambria" w:eastAsia="Cambria" w:hAnsi="Cambria"/>
                <w:b/>
                <w:bCs/>
                <w:sz w:val="24"/>
                <w:szCs w:val="24"/>
              </w:rPr>
              <w:t xml:space="preserve">Status</w:t>
            </w:r>
          </w:p>
        </w:tc>
      </w:tr>
      <w:tr>
        <w:trPr>
          <w:tblHeader w:val="false"/>
        </w:trPr>
        <w:tc>
          <w:tcPr>
            <w:tcW w:type="dxa" w:w="3120"/>
            <w:tcMar>
              <w:top w:type="dxa" w:w="60"/>
              <w:left w:type="dxa" w:w="90"/>
              <w:bottom w:type="dxa" w:w="60"/>
              <w:right w:type="dxa" w:w="90"/>
            </w:tcMar>
          </w:tcPr>
          <w:p>
            <w:pPr>
              <w:spacing w:after="0" w:line="260"/>
            </w:pPr>
            <w:r>
              <w:rPr>
                <w:rFonts w:ascii="Cambria" w:cs="Cambria" w:eastAsia="Cambria" w:hAnsi="Cambria"/>
                <w:sz w:val="24"/>
                <w:szCs w:val="24"/>
              </w:rPr>
              <w:t xml:space="preserve">Inquirers</w:t>
            </w:r>
          </w:p>
        </w:tc>
        <w:tc>
          <w:tcPr>
            <w:tcW w:type="dxa" w:w="3120"/>
            <w:tcMar>
              <w:top w:type="dxa" w:w="60"/>
              <w:left w:type="dxa" w:w="90"/>
              <w:bottom w:type="dxa" w:w="60"/>
              <w:right w:type="dxa" w:w="90"/>
            </w:tcMar>
          </w:tcPr>
          <w:p>
            <w:pPr>
              <w:spacing w:after="0" w:line="260"/>
            </w:pPr>
            <w:r>
              <w:rPr>
                <w:rFonts w:ascii="Cambria" w:cs="Cambria" w:eastAsia="Cambria" w:hAnsi="Cambria"/>
                <w:sz w:val="24"/>
                <w:szCs w:val="24"/>
              </w:rPr>
              <w:t xml:space="preserve">Sorgulayıcı (meraklı, araştırmacı)</w:t>
            </w:r>
          </w:p>
        </w:tc>
        <w:tc>
          <w:tcPr>
            <w:tcW w:type="dxa" w:w="3120"/>
            <w:tcMar>
              <w:top w:type="dxa" w:w="60"/>
              <w:left w:type="dxa" w:w="90"/>
              <w:bottom w:type="dxa" w:w="60"/>
              <w:right w:type="dxa" w:w="90"/>
            </w:tcMar>
          </w:tcPr>
          <w:p>
            <w:pPr>
              <w:spacing w:after="0" w:line="260"/>
            </w:pPr>
            <w:r>
              <w:rPr>
                <w:rFonts w:ascii="Cambria" w:cs="Cambria" w:eastAsia="Cambria" w:hAnsi="Cambria"/>
                <w:sz w:val="24"/>
                <w:szCs w:val="24"/>
              </w:rPr>
              <w:t xml:space="preserve">Close</w:t>
            </w:r>
          </w:p>
        </w:tc>
      </w:tr>
      <w:tr>
        <w:trPr>
          <w:tblHeader w:val="false"/>
        </w:trPr>
        <w:tc>
          <w:tcPr>
            <w:tcW w:type="dxa" w:w="3120"/>
            <w:tcMar>
              <w:top w:type="dxa" w:w="60"/>
              <w:left w:type="dxa" w:w="90"/>
              <w:bottom w:type="dxa" w:w="60"/>
              <w:right w:type="dxa" w:w="90"/>
            </w:tcMar>
          </w:tcPr>
          <w:p>
            <w:pPr>
              <w:spacing w:after="0" w:line="260"/>
            </w:pPr>
            <w:r>
              <w:rPr>
                <w:rFonts w:ascii="Cambria" w:cs="Cambria" w:eastAsia="Cambria" w:hAnsi="Cambria"/>
                <w:sz w:val="24"/>
                <w:szCs w:val="24"/>
              </w:rPr>
              <w:t xml:space="preserve">Thinkers</w:t>
            </w:r>
          </w:p>
        </w:tc>
        <w:tc>
          <w:tcPr>
            <w:tcW w:type="dxa" w:w="3120"/>
            <w:tcMar>
              <w:top w:type="dxa" w:w="60"/>
              <w:left w:type="dxa" w:w="90"/>
              <w:bottom w:type="dxa" w:w="60"/>
              <w:right w:type="dxa" w:w="90"/>
            </w:tcMar>
          </w:tcPr>
          <w:p>
            <w:pPr>
              <w:spacing w:after="0" w:line="260"/>
            </w:pPr>
            <w:r>
              <w:rPr>
                <w:rFonts w:ascii="Cambria" w:cs="Cambria" w:eastAsia="Cambria" w:hAnsi="Cambria"/>
                <w:sz w:val="24"/>
                <w:szCs w:val="24"/>
              </w:rPr>
              <w:t xml:space="preserve">Sorgulayıcı (eleştirel düşünen, problem çözen)</w:t>
            </w:r>
          </w:p>
        </w:tc>
        <w:tc>
          <w:tcPr>
            <w:tcW w:type="dxa" w:w="3120"/>
            <w:tcMar>
              <w:top w:type="dxa" w:w="60"/>
              <w:left w:type="dxa" w:w="90"/>
              <w:bottom w:type="dxa" w:w="60"/>
              <w:right w:type="dxa" w:w="90"/>
            </w:tcMar>
          </w:tcPr>
          <w:p>
            <w:pPr>
              <w:spacing w:after="0" w:line="260"/>
            </w:pPr>
            <w:r>
              <w:rPr>
                <w:rFonts w:ascii="Cambria" w:cs="Cambria" w:eastAsia="Cambria" w:hAnsi="Cambria"/>
                <w:sz w:val="24"/>
                <w:szCs w:val="24"/>
              </w:rPr>
              <w:t xml:space="preserve">Close</w:t>
            </w:r>
          </w:p>
        </w:tc>
      </w:tr>
      <w:tr>
        <w:trPr>
          <w:tblHeader w:val="false"/>
        </w:trPr>
        <w:tc>
          <w:tcPr>
            <w:tcW w:type="dxa" w:w="3120"/>
            <w:tcMar>
              <w:top w:type="dxa" w:w="60"/>
              <w:left w:type="dxa" w:w="90"/>
              <w:bottom w:type="dxa" w:w="60"/>
              <w:right w:type="dxa" w:w="90"/>
            </w:tcMar>
          </w:tcPr>
          <w:p>
            <w:pPr>
              <w:spacing w:after="0" w:line="260"/>
            </w:pPr>
            <w:r>
              <w:rPr>
                <w:rFonts w:ascii="Cambria" w:cs="Cambria" w:eastAsia="Cambria" w:hAnsi="Cambria"/>
                <w:sz w:val="24"/>
                <w:szCs w:val="24"/>
              </w:rPr>
              <w:t xml:space="preserve">Knowledgeable</w:t>
            </w:r>
          </w:p>
        </w:tc>
        <w:tc>
          <w:tcPr>
            <w:tcW w:type="dxa" w:w="3120"/>
            <w:tcMar>
              <w:top w:type="dxa" w:w="60"/>
              <w:left w:type="dxa" w:w="90"/>
              <w:bottom w:type="dxa" w:w="60"/>
              <w:right w:type="dxa" w:w="90"/>
            </w:tcMar>
          </w:tcPr>
          <w:p>
            <w:pPr>
              <w:spacing w:after="0" w:line="260"/>
            </w:pPr>
            <w:r>
              <w:rPr>
                <w:rFonts w:ascii="Cambria" w:cs="Cambria" w:eastAsia="Cambria" w:hAnsi="Cambria"/>
                <w:sz w:val="24"/>
                <w:szCs w:val="24"/>
              </w:rPr>
              <w:t xml:space="preserve">Bilge (ilme ulaşan, bilgilerini paylaşan)</w:t>
            </w:r>
          </w:p>
        </w:tc>
        <w:tc>
          <w:tcPr>
            <w:tcW w:type="dxa" w:w="3120"/>
            <w:tcMar>
              <w:top w:type="dxa" w:w="60"/>
              <w:left w:type="dxa" w:w="90"/>
              <w:bottom w:type="dxa" w:w="60"/>
              <w:right w:type="dxa" w:w="90"/>
            </w:tcMar>
          </w:tcPr>
          <w:p>
            <w:pPr>
              <w:spacing w:after="0" w:line="260"/>
            </w:pPr>
            <w:r>
              <w:rPr>
                <w:rFonts w:ascii="Cambria" w:cs="Cambria" w:eastAsia="Cambria" w:hAnsi="Cambria"/>
                <w:sz w:val="24"/>
                <w:szCs w:val="24"/>
              </w:rPr>
              <w:t xml:space="preserve">Partial — bilge exceeds knowledge, see below</w:t>
            </w:r>
          </w:p>
        </w:tc>
      </w:tr>
      <w:tr>
        <w:trPr>
          <w:tblHeader w:val="false"/>
        </w:trPr>
        <w:tc>
          <w:tcPr>
            <w:tcW w:type="dxa" w:w="3120"/>
            <w:tcMar>
              <w:top w:type="dxa" w:w="60"/>
              <w:left w:type="dxa" w:w="90"/>
              <w:bottom w:type="dxa" w:w="60"/>
              <w:right w:type="dxa" w:w="90"/>
            </w:tcMar>
          </w:tcPr>
          <w:p>
            <w:pPr>
              <w:spacing w:after="0" w:line="260"/>
            </w:pPr>
            <w:r>
              <w:rPr>
                <w:rFonts w:ascii="Cambria" w:cs="Cambria" w:eastAsia="Cambria" w:hAnsi="Cambria"/>
                <w:sz w:val="24"/>
                <w:szCs w:val="24"/>
              </w:rPr>
              <w:t xml:space="preserve">Principled</w:t>
            </w:r>
          </w:p>
        </w:tc>
        <w:tc>
          <w:tcPr>
            <w:tcW w:type="dxa" w:w="3120"/>
            <w:tcMar>
              <w:top w:type="dxa" w:w="60"/>
              <w:left w:type="dxa" w:w="90"/>
              <w:bottom w:type="dxa" w:w="60"/>
              <w:right w:type="dxa" w:w="90"/>
            </w:tcMar>
          </w:tcPr>
          <w:p>
            <w:pPr>
              <w:spacing w:after="0" w:line="260"/>
            </w:pPr>
            <w:r>
              <w:rPr>
                <w:rFonts w:ascii="Cambria" w:cs="Cambria" w:eastAsia="Cambria" w:hAnsi="Cambria"/>
                <w:sz w:val="24"/>
                <w:szCs w:val="24"/>
              </w:rPr>
              <w:t xml:space="preserve">Ahlaklı; İradeli (ilkeli)</w:t>
            </w:r>
          </w:p>
        </w:tc>
        <w:tc>
          <w:tcPr>
            <w:tcW w:type="dxa" w:w="3120"/>
            <w:tcMar>
              <w:top w:type="dxa" w:w="60"/>
              <w:left w:type="dxa" w:w="90"/>
              <w:bottom w:type="dxa" w:w="60"/>
              <w:right w:type="dxa" w:w="90"/>
            </w:tcMar>
          </w:tcPr>
          <w:p>
            <w:pPr>
              <w:spacing w:after="0" w:line="260"/>
            </w:pPr>
            <w:r>
              <w:rPr>
                <w:rFonts w:ascii="Cambria" w:cs="Cambria" w:eastAsia="Cambria" w:hAnsi="Cambria"/>
                <w:sz w:val="24"/>
                <w:szCs w:val="24"/>
              </w:rPr>
              <w:t xml:space="preserve">Close</w:t>
            </w:r>
          </w:p>
        </w:tc>
      </w:tr>
      <w:tr>
        <w:trPr>
          <w:tblHeader w:val="false"/>
        </w:trPr>
        <w:tc>
          <w:tcPr>
            <w:tcW w:type="dxa" w:w="3120"/>
            <w:tcMar>
              <w:top w:type="dxa" w:w="60"/>
              <w:left w:type="dxa" w:w="90"/>
              <w:bottom w:type="dxa" w:w="60"/>
              <w:right w:type="dxa" w:w="90"/>
            </w:tcMar>
          </w:tcPr>
          <w:p>
            <w:pPr>
              <w:spacing w:after="0" w:line="260"/>
            </w:pPr>
            <w:r>
              <w:rPr>
                <w:rFonts w:ascii="Cambria" w:cs="Cambria" w:eastAsia="Cambria" w:hAnsi="Cambria"/>
                <w:sz w:val="24"/>
                <w:szCs w:val="24"/>
              </w:rPr>
              <w:t xml:space="preserve">Caring</w:t>
            </w:r>
          </w:p>
        </w:tc>
        <w:tc>
          <w:tcPr>
            <w:tcW w:type="dxa" w:w="3120"/>
            <w:tcMar>
              <w:top w:type="dxa" w:w="60"/>
              <w:left w:type="dxa" w:w="90"/>
              <w:bottom w:type="dxa" w:w="60"/>
              <w:right w:type="dxa" w:w="90"/>
            </w:tcMar>
          </w:tcPr>
          <w:p>
            <w:pPr>
              <w:spacing w:after="0" w:line="260"/>
            </w:pPr>
            <w:r>
              <w:rPr>
                <w:rFonts w:ascii="Cambria" w:cs="Cambria" w:eastAsia="Cambria" w:hAnsi="Cambria"/>
                <w:sz w:val="24"/>
                <w:szCs w:val="24"/>
              </w:rPr>
              <w:t xml:space="preserve">Merhametli</w:t>
            </w:r>
          </w:p>
        </w:tc>
        <w:tc>
          <w:tcPr>
            <w:tcW w:type="dxa" w:w="3120"/>
            <w:tcMar>
              <w:top w:type="dxa" w:w="60"/>
              <w:left w:type="dxa" w:w="90"/>
              <w:bottom w:type="dxa" w:w="60"/>
              <w:right w:type="dxa" w:w="90"/>
            </w:tcMar>
          </w:tcPr>
          <w:p>
            <w:pPr>
              <w:spacing w:after="0" w:line="260"/>
            </w:pPr>
            <w:r>
              <w:rPr>
                <w:rFonts w:ascii="Cambria" w:cs="Cambria" w:eastAsia="Cambria" w:hAnsi="Cambria"/>
                <w:sz w:val="24"/>
                <w:szCs w:val="24"/>
              </w:rPr>
              <w:t xml:space="preserve">Close</w:t>
            </w:r>
          </w:p>
        </w:tc>
      </w:tr>
      <w:tr>
        <w:trPr>
          <w:tblHeader w:val="false"/>
        </w:trPr>
        <w:tc>
          <w:tcPr>
            <w:tcW w:type="dxa" w:w="3120"/>
            <w:tcMar>
              <w:top w:type="dxa" w:w="60"/>
              <w:left w:type="dxa" w:w="90"/>
              <w:bottom w:type="dxa" w:w="60"/>
              <w:right w:type="dxa" w:w="90"/>
            </w:tcMar>
          </w:tcPr>
          <w:p>
            <w:pPr>
              <w:spacing w:after="0" w:line="260"/>
            </w:pPr>
            <w:r>
              <w:rPr>
                <w:rFonts w:ascii="Cambria" w:cs="Cambria" w:eastAsia="Cambria" w:hAnsi="Cambria"/>
                <w:sz w:val="24"/>
                <w:szCs w:val="24"/>
              </w:rPr>
              <w:t xml:space="preserve">Risk-takers</w:t>
            </w:r>
          </w:p>
        </w:tc>
        <w:tc>
          <w:tcPr>
            <w:tcW w:type="dxa" w:w="3120"/>
            <w:tcMar>
              <w:top w:type="dxa" w:w="60"/>
              <w:left w:type="dxa" w:w="90"/>
              <w:bottom w:type="dxa" w:w="60"/>
              <w:right w:type="dxa" w:w="90"/>
            </w:tcMar>
          </w:tcPr>
          <w:p>
            <w:pPr>
              <w:spacing w:after="0" w:line="260"/>
            </w:pPr>
            <w:r>
              <w:rPr>
                <w:rFonts w:ascii="Cambria" w:cs="Cambria" w:eastAsia="Cambria" w:hAnsi="Cambria"/>
                <w:sz w:val="24"/>
                <w:szCs w:val="24"/>
              </w:rPr>
              <w:t xml:space="preserve">Cesaretli (risk alan, girişimci)</w:t>
            </w:r>
          </w:p>
        </w:tc>
        <w:tc>
          <w:tcPr>
            <w:tcW w:type="dxa" w:w="3120"/>
            <w:tcMar>
              <w:top w:type="dxa" w:w="60"/>
              <w:left w:type="dxa" w:w="90"/>
              <w:bottom w:type="dxa" w:w="60"/>
              <w:right w:type="dxa" w:w="90"/>
            </w:tcMar>
          </w:tcPr>
          <w:p>
            <w:pPr>
              <w:spacing w:after="0" w:line="260"/>
            </w:pPr>
            <w:r>
              <w:rPr>
                <w:rFonts w:ascii="Cambria" w:cs="Cambria" w:eastAsia="Cambria" w:hAnsi="Cambria"/>
                <w:sz w:val="24"/>
                <w:szCs w:val="24"/>
              </w:rPr>
              <w:t xml:space="preserve">Close</w:t>
            </w:r>
          </w:p>
        </w:tc>
      </w:tr>
      <w:tr>
        <w:trPr>
          <w:tblHeader w:val="false"/>
        </w:trPr>
        <w:tc>
          <w:tcPr>
            <w:tcW w:type="dxa" w:w="3120"/>
            <w:tcMar>
              <w:top w:type="dxa" w:w="60"/>
              <w:left w:type="dxa" w:w="90"/>
              <w:bottom w:type="dxa" w:w="60"/>
              <w:right w:type="dxa" w:w="90"/>
            </w:tcMar>
          </w:tcPr>
          <w:p>
            <w:pPr>
              <w:spacing w:after="0" w:line="260"/>
            </w:pPr>
            <w:r>
              <w:rPr>
                <w:rFonts w:ascii="Cambria" w:cs="Cambria" w:eastAsia="Cambria" w:hAnsi="Cambria"/>
                <w:sz w:val="24"/>
                <w:szCs w:val="24"/>
              </w:rPr>
              <w:t xml:space="preserve">Balanced</w:t>
            </w:r>
          </w:p>
        </w:tc>
        <w:tc>
          <w:tcPr>
            <w:tcW w:type="dxa" w:w="3120"/>
            <w:tcMar>
              <w:top w:type="dxa" w:w="60"/>
              <w:left w:type="dxa" w:w="90"/>
              <w:bottom w:type="dxa" w:w="60"/>
              <w:right w:type="dxa" w:w="90"/>
            </w:tcMar>
          </w:tcPr>
          <w:p>
            <w:pPr>
              <w:spacing w:after="0" w:line="260"/>
            </w:pPr>
            <w:r>
              <w:rPr>
                <w:rFonts w:ascii="Cambria" w:cs="Cambria" w:eastAsia="Cambria" w:hAnsi="Cambria"/>
                <w:sz w:val="24"/>
                <w:szCs w:val="24"/>
              </w:rPr>
              <w:t xml:space="preserve">Sağlıklı</w:t>
            </w:r>
          </w:p>
        </w:tc>
        <w:tc>
          <w:tcPr>
            <w:tcW w:type="dxa" w:w="3120"/>
            <w:tcMar>
              <w:top w:type="dxa" w:w="60"/>
              <w:left w:type="dxa" w:w="90"/>
              <w:bottom w:type="dxa" w:w="60"/>
              <w:right w:type="dxa" w:w="90"/>
            </w:tcMar>
          </w:tcPr>
          <w:p>
            <w:pPr>
              <w:spacing w:after="0" w:line="260"/>
            </w:pPr>
            <w:r>
              <w:rPr>
                <w:rFonts w:ascii="Cambria" w:cs="Cambria" w:eastAsia="Cambria" w:hAnsi="Cambria"/>
                <w:sz w:val="24"/>
                <w:szCs w:val="24"/>
              </w:rPr>
              <w:t xml:space="preserve">Partial — different axes, see below</w:t>
            </w:r>
          </w:p>
        </w:tc>
      </w:tr>
      <w:tr>
        <w:trPr>
          <w:tblHeader w:val="false"/>
        </w:trPr>
        <w:tc>
          <w:tcPr>
            <w:tcW w:type="dxa" w:w="3120"/>
            <w:tcMar>
              <w:top w:type="dxa" w:w="60"/>
              <w:left w:type="dxa" w:w="90"/>
              <w:bottom w:type="dxa" w:w="60"/>
              <w:right w:type="dxa" w:w="90"/>
            </w:tcMar>
          </w:tcPr>
          <w:p>
            <w:pPr>
              <w:spacing w:after="0" w:line="260"/>
            </w:pPr>
            <w:r>
              <w:rPr>
                <w:rFonts w:ascii="Cambria" w:cs="Cambria" w:eastAsia="Cambria" w:hAnsi="Cambria"/>
                <w:sz w:val="24"/>
                <w:szCs w:val="24"/>
              </w:rPr>
              <w:t xml:space="preserve">Communicators</w:t>
            </w:r>
          </w:p>
        </w:tc>
        <w:tc>
          <w:tcPr>
            <w:tcW w:type="dxa" w:w="3120"/>
            <w:tcMar>
              <w:top w:type="dxa" w:w="60"/>
              <w:left w:type="dxa" w:w="90"/>
              <w:bottom w:type="dxa" w:w="60"/>
              <w:right w:type="dxa" w:w="90"/>
            </w:tcMar>
          </w:tcPr>
          <w:p>
            <w:pPr>
              <w:spacing w:after="0" w:line="260"/>
            </w:pPr>
            <w:r>
              <w:rPr>
                <w:rFonts w:ascii="Cambria" w:cs="Cambria" w:eastAsia="Cambria" w:hAnsi="Cambria"/>
                <w:sz w:val="24"/>
                <w:szCs w:val="24"/>
              </w:rPr>
              <w:t xml:space="preserve">Bilge (belagat sahibi); Üretken (iletişime açık)</w:t>
            </w:r>
          </w:p>
        </w:tc>
        <w:tc>
          <w:tcPr>
            <w:tcW w:type="dxa" w:w="3120"/>
            <w:tcMar>
              <w:top w:type="dxa" w:w="60"/>
              <w:left w:type="dxa" w:w="90"/>
              <w:bottom w:type="dxa" w:w="60"/>
              <w:right w:type="dxa" w:w="90"/>
            </w:tcMar>
          </w:tcPr>
          <w:p>
            <w:pPr>
              <w:spacing w:after="0" w:line="260"/>
            </w:pPr>
            <w:r>
              <w:rPr>
                <w:rFonts w:ascii="Cambria" w:cs="Cambria" w:eastAsia="Cambria" w:hAnsi="Cambria"/>
                <w:sz w:val="24"/>
                <w:szCs w:val="24"/>
              </w:rPr>
              <w:t xml:space="preserve">Partial — no multilingual requirement</w:t>
            </w:r>
          </w:p>
        </w:tc>
      </w:tr>
      <w:tr>
        <w:trPr>
          <w:tblHeader w:val="false"/>
        </w:trPr>
        <w:tc>
          <w:tcPr>
            <w:tcW w:type="dxa" w:w="3120"/>
            <w:tcMar>
              <w:top w:type="dxa" w:w="60"/>
              <w:left w:type="dxa" w:w="90"/>
              <w:bottom w:type="dxa" w:w="60"/>
              <w:right w:type="dxa" w:w="90"/>
            </w:tcMar>
          </w:tcPr>
          <w:p>
            <w:pPr>
              <w:spacing w:after="0" w:line="260"/>
            </w:pPr>
            <w:r>
              <w:rPr>
                <w:rFonts w:ascii="Cambria" w:cs="Cambria" w:eastAsia="Cambria" w:hAnsi="Cambria"/>
                <w:sz w:val="24"/>
                <w:szCs w:val="24"/>
              </w:rPr>
              <w:t xml:space="preserve">Open-minded</w:t>
            </w:r>
          </w:p>
        </w:tc>
        <w:tc>
          <w:tcPr>
            <w:tcW w:type="dxa" w:w="3120"/>
            <w:tcMar>
              <w:top w:type="dxa" w:w="60"/>
              <w:left w:type="dxa" w:w="90"/>
              <w:bottom w:type="dxa" w:w="60"/>
              <w:right w:type="dxa" w:w="90"/>
            </w:tcMar>
          </w:tcPr>
          <w:p>
            <w:pPr>
              <w:spacing w:after="0" w:line="260"/>
            </w:pPr>
            <w:r>
              <w:rPr>
                <w:rFonts w:ascii="Cambria" w:cs="Cambria" w:eastAsia="Cambria" w:hAnsi="Cambria"/>
                <w:sz w:val="24"/>
                <w:szCs w:val="24"/>
              </w:rPr>
              <w:t xml:space="preserve">—</w:t>
            </w:r>
          </w:p>
        </w:tc>
        <w:tc>
          <w:tcPr>
            <w:tcW w:type="dxa" w:w="3120"/>
            <w:tcMar>
              <w:top w:type="dxa" w:w="60"/>
              <w:left w:type="dxa" w:w="90"/>
              <w:bottom w:type="dxa" w:w="60"/>
              <w:right w:type="dxa" w:w="90"/>
            </w:tcMar>
          </w:tcPr>
          <w:p>
            <w:pPr>
              <w:spacing w:after="0" w:line="260"/>
            </w:pPr>
            <w:r>
              <w:rPr>
                <w:rFonts w:ascii="Cambria" w:cs="Cambria" w:eastAsia="Cambria" w:hAnsi="Cambria"/>
                <w:sz w:val="24"/>
                <w:szCs w:val="24"/>
              </w:rPr>
              <w:t xml:space="preserve">No unconditioned counterpart (§4.4)</w:t>
            </w:r>
          </w:p>
        </w:tc>
      </w:tr>
      <w:tr>
        <w:trPr>
          <w:tblHeader w:val="false"/>
        </w:trPr>
        <w:tc>
          <w:tcPr>
            <w:tcW w:type="dxa" w:w="3120"/>
            <w:tcMar>
              <w:top w:type="dxa" w:w="60"/>
              <w:left w:type="dxa" w:w="90"/>
              <w:bottom w:type="dxa" w:w="60"/>
              <w:right w:type="dxa" w:w="90"/>
            </w:tcMar>
          </w:tcPr>
          <w:p>
            <w:pPr>
              <w:spacing w:after="0" w:line="260"/>
            </w:pPr>
            <w:r>
              <w:rPr>
                <w:rFonts w:ascii="Cambria" w:cs="Cambria" w:eastAsia="Cambria" w:hAnsi="Cambria"/>
                <w:sz w:val="24"/>
                <w:szCs w:val="24"/>
              </w:rPr>
              <w:t xml:space="preserve">Reflective</w:t>
            </w:r>
          </w:p>
        </w:tc>
        <w:tc>
          <w:tcPr>
            <w:tcW w:type="dxa" w:w="3120"/>
            <w:tcMar>
              <w:top w:type="dxa" w:w="60"/>
              <w:left w:type="dxa" w:w="90"/>
              <w:bottom w:type="dxa" w:w="60"/>
              <w:right w:type="dxa" w:w="90"/>
            </w:tcMar>
          </w:tcPr>
          <w:p>
            <w:pPr>
              <w:spacing w:after="0" w:line="260"/>
            </w:pPr>
            <w:r>
              <w:rPr>
                <w:rFonts w:ascii="Cambria" w:cs="Cambria" w:eastAsia="Cambria" w:hAnsi="Cambria"/>
                <w:sz w:val="24"/>
                <w:szCs w:val="24"/>
              </w:rPr>
              <w:t xml:space="preserve">—</w:t>
            </w:r>
          </w:p>
        </w:tc>
        <w:tc>
          <w:tcPr>
            <w:tcW w:type="dxa" w:w="3120"/>
            <w:tcMar>
              <w:top w:type="dxa" w:w="60"/>
              <w:left w:type="dxa" w:w="90"/>
              <w:bottom w:type="dxa" w:w="60"/>
              <w:right w:type="dxa" w:w="90"/>
            </w:tcMar>
          </w:tcPr>
          <w:p>
            <w:pPr>
              <w:spacing w:after="0" w:line="260"/>
            </w:pPr>
            <w:r>
              <w:rPr>
                <w:rFonts w:ascii="Cambria" w:cs="Cambria" w:eastAsia="Cambria" w:hAnsi="Cambria"/>
                <w:sz w:val="24"/>
                <w:szCs w:val="24"/>
              </w:rPr>
              <w:t xml:space="preserve">Absent from the profile</w:t>
            </w:r>
          </w:p>
        </w:tc>
      </w:tr>
      <w:tr>
        <w:trPr>
          <w:tblHeader w:val="false"/>
        </w:trPr>
        <w:tc>
          <w:tcPr>
            <w:tcW w:type="dxa" w:w="3120"/>
            <w:tcMar>
              <w:top w:type="dxa" w:w="60"/>
              <w:left w:type="dxa" w:w="90"/>
              <w:bottom w:type="dxa" w:w="60"/>
              <w:right w:type="dxa" w:w="90"/>
            </w:tcMar>
          </w:tcPr>
          <w:p>
            <w:pPr>
              <w:spacing w:after="0" w:line="260"/>
            </w:pPr>
            <w:r>
              <w:rPr>
                <w:rFonts w:ascii="Cambria" w:cs="Cambria" w:eastAsia="Cambria" w:hAnsi="Cambria"/>
                <w:sz w:val="24"/>
                <w:szCs w:val="24"/>
              </w:rPr>
              <w:t xml:space="preserve">—</w:t>
            </w:r>
          </w:p>
        </w:tc>
        <w:tc>
          <w:tcPr>
            <w:tcW w:type="dxa" w:w="3120"/>
            <w:tcMar>
              <w:top w:type="dxa" w:w="60"/>
              <w:left w:type="dxa" w:w="90"/>
              <w:bottom w:type="dxa" w:w="60"/>
              <w:right w:type="dxa" w:w="90"/>
            </w:tcMar>
          </w:tcPr>
          <w:p>
            <w:pPr>
              <w:spacing w:after="0" w:line="260"/>
            </w:pPr>
            <w:r>
              <w:rPr>
                <w:rFonts w:ascii="Cambria" w:cs="Cambria" w:eastAsia="Cambria" w:hAnsi="Cambria"/>
                <w:sz w:val="24"/>
                <w:szCs w:val="24"/>
              </w:rPr>
              <w:t xml:space="preserve">Vatansever</w:t>
            </w:r>
          </w:p>
        </w:tc>
        <w:tc>
          <w:tcPr>
            <w:tcW w:type="dxa" w:w="3120"/>
            <w:tcMar>
              <w:top w:type="dxa" w:w="60"/>
              <w:left w:type="dxa" w:w="90"/>
              <w:bottom w:type="dxa" w:w="60"/>
              <w:right w:type="dxa" w:w="90"/>
            </w:tcMar>
          </w:tcPr>
          <w:p>
            <w:pPr>
              <w:spacing w:after="0" w:line="260"/>
            </w:pPr>
            <w:r>
              <w:rPr>
                <w:rFonts w:ascii="Cambria" w:cs="Cambria" w:eastAsia="Cambria" w:hAnsi="Cambria"/>
                <w:sz w:val="24"/>
                <w:szCs w:val="24"/>
              </w:rPr>
              <w:t xml:space="preserve">No counterpart</w:t>
            </w:r>
          </w:p>
        </w:tc>
      </w:tr>
      <w:tr>
        <w:trPr>
          <w:tblHeader w:val="false"/>
        </w:trPr>
        <w:tc>
          <w:tcPr>
            <w:tcW w:type="dxa" w:w="3120"/>
            <w:tcMar>
              <w:top w:type="dxa" w:w="60"/>
              <w:left w:type="dxa" w:w="90"/>
              <w:bottom w:type="dxa" w:w="60"/>
              <w:right w:type="dxa" w:w="90"/>
            </w:tcMar>
          </w:tcPr>
          <w:p>
            <w:pPr>
              <w:spacing w:after="0" w:line="260"/>
            </w:pPr>
            <w:r>
              <w:rPr>
                <w:rFonts w:ascii="Cambria" w:cs="Cambria" w:eastAsia="Cambria" w:hAnsi="Cambria"/>
                <w:sz w:val="24"/>
                <w:szCs w:val="24"/>
              </w:rPr>
              <w:t xml:space="preserve">—</w:t>
            </w:r>
          </w:p>
        </w:tc>
        <w:tc>
          <w:tcPr>
            <w:tcW w:type="dxa" w:w="3120"/>
            <w:tcMar>
              <w:top w:type="dxa" w:w="60"/>
              <w:left w:type="dxa" w:w="90"/>
              <w:bottom w:type="dxa" w:w="60"/>
              <w:right w:type="dxa" w:w="90"/>
            </w:tcMar>
          </w:tcPr>
          <w:p>
            <w:pPr>
              <w:spacing w:after="0" w:line="260"/>
            </w:pPr>
            <w:r>
              <w:rPr>
                <w:rFonts w:ascii="Cambria" w:cs="Cambria" w:eastAsia="Cambria" w:hAnsi="Cambria"/>
                <w:sz w:val="24"/>
                <w:szCs w:val="24"/>
              </w:rPr>
              <w:t xml:space="preserve">Estetik</w:t>
            </w:r>
          </w:p>
        </w:tc>
        <w:tc>
          <w:tcPr>
            <w:tcW w:type="dxa" w:w="3120"/>
            <w:tcMar>
              <w:top w:type="dxa" w:w="60"/>
              <w:left w:type="dxa" w:w="90"/>
              <w:bottom w:type="dxa" w:w="60"/>
              <w:right w:type="dxa" w:w="90"/>
            </w:tcMar>
          </w:tcPr>
          <w:p>
            <w:pPr>
              <w:spacing w:after="0" w:line="260"/>
            </w:pPr>
            <w:r>
              <w:rPr>
                <w:rFonts w:ascii="Cambria" w:cs="Cambria" w:eastAsia="Cambria" w:hAnsi="Cambria"/>
                <w:sz w:val="24"/>
                <w:szCs w:val="24"/>
              </w:rPr>
              <w:t xml:space="preserve">No counterpart</w:t>
            </w:r>
          </w:p>
        </w:tc>
      </w:tr>
      <w:tr>
        <w:trPr>
          <w:tblHeader w:val="false"/>
        </w:trPr>
        <w:tc>
          <w:tcPr>
            <w:tcW w:type="dxa" w:w="3120"/>
            <w:tcMar>
              <w:top w:type="dxa" w:w="60"/>
              <w:left w:type="dxa" w:w="90"/>
              <w:bottom w:type="dxa" w:w="60"/>
              <w:right w:type="dxa" w:w="90"/>
            </w:tcMar>
          </w:tcPr>
          <w:p>
            <w:pPr>
              <w:spacing w:after="0" w:line="260"/>
            </w:pPr>
            <w:r>
              <w:rPr>
                <w:rFonts w:ascii="Cambria" w:cs="Cambria" w:eastAsia="Cambria" w:hAnsi="Cambria"/>
                <w:sz w:val="24"/>
                <w:szCs w:val="24"/>
              </w:rPr>
              <w:t xml:space="preserve">—</w:t>
            </w:r>
          </w:p>
        </w:tc>
        <w:tc>
          <w:tcPr>
            <w:tcW w:type="dxa" w:w="3120"/>
            <w:tcMar>
              <w:top w:type="dxa" w:w="60"/>
              <w:left w:type="dxa" w:w="90"/>
              <w:bottom w:type="dxa" w:w="60"/>
              <w:right w:type="dxa" w:w="90"/>
            </w:tcMar>
          </w:tcPr>
          <w:p>
            <w:pPr>
              <w:spacing w:after="0" w:line="260"/>
            </w:pPr>
            <w:r>
              <w:rPr>
                <w:rFonts w:ascii="Cambria" w:cs="Cambria" w:eastAsia="Cambria" w:hAnsi="Cambria"/>
                <w:sz w:val="24"/>
                <w:szCs w:val="24"/>
              </w:rPr>
              <w:t xml:space="preserve">İradeli (as will and persistence)</w:t>
            </w:r>
          </w:p>
        </w:tc>
        <w:tc>
          <w:tcPr>
            <w:tcW w:type="dxa" w:w="3120"/>
            <w:tcMar>
              <w:top w:type="dxa" w:w="60"/>
              <w:left w:type="dxa" w:w="90"/>
              <w:bottom w:type="dxa" w:w="60"/>
              <w:right w:type="dxa" w:w="90"/>
            </w:tcMar>
          </w:tcPr>
          <w:p>
            <w:pPr>
              <w:spacing w:after="0" w:line="260"/>
            </w:pPr>
            <w:r>
              <w:rPr>
                <w:rFonts w:ascii="Cambria" w:cs="Cambria" w:eastAsia="Cambria" w:hAnsi="Cambria"/>
                <w:sz w:val="24"/>
                <w:szCs w:val="24"/>
              </w:rPr>
              <w:t xml:space="preserve">No counterpart</w:t>
            </w:r>
          </w:p>
        </w:tc>
      </w:tr>
      <w:tr>
        <w:trPr>
          <w:tblHeader w:val="false"/>
        </w:trPr>
        <w:tc>
          <w:tcPr>
            <w:tcW w:type="dxa" w:w="3120"/>
            <w:tcMar>
              <w:top w:type="dxa" w:w="60"/>
              <w:left w:type="dxa" w:w="90"/>
              <w:bottom w:type="dxa" w:w="60"/>
              <w:right w:type="dxa" w:w="90"/>
            </w:tcMar>
          </w:tcPr>
          <w:p>
            <w:pPr>
              <w:spacing w:after="0" w:line="260"/>
            </w:pPr>
            <w:r>
              <w:rPr>
                <w:rFonts w:ascii="Cambria" w:cs="Cambria" w:eastAsia="Cambria" w:hAnsi="Cambria"/>
                <w:sz w:val="24"/>
                <w:szCs w:val="24"/>
              </w:rPr>
              <w:t xml:space="preserve">—</w:t>
            </w:r>
          </w:p>
        </w:tc>
        <w:tc>
          <w:tcPr>
            <w:tcW w:type="dxa" w:w="3120"/>
            <w:tcMar>
              <w:top w:type="dxa" w:w="60"/>
              <w:left w:type="dxa" w:w="90"/>
              <w:bottom w:type="dxa" w:w="60"/>
              <w:right w:type="dxa" w:w="90"/>
            </w:tcMar>
          </w:tcPr>
          <w:p>
            <w:pPr>
              <w:spacing w:after="0" w:line="260"/>
            </w:pPr>
            <w:r>
              <w:rPr>
                <w:rFonts w:ascii="Cambria" w:cs="Cambria" w:eastAsia="Cambria" w:hAnsi="Cambria"/>
                <w:sz w:val="24"/>
                <w:szCs w:val="24"/>
              </w:rPr>
              <w:t xml:space="preserve">Üretken (as productivity toward a national future)</w:t>
            </w:r>
          </w:p>
        </w:tc>
        <w:tc>
          <w:tcPr>
            <w:tcW w:type="dxa" w:w="3120"/>
            <w:tcMar>
              <w:top w:type="dxa" w:w="60"/>
              <w:left w:type="dxa" w:w="90"/>
              <w:bottom w:type="dxa" w:w="60"/>
              <w:right w:type="dxa" w:w="90"/>
            </w:tcMar>
          </w:tcPr>
          <w:p>
            <w:pPr>
              <w:spacing w:after="0" w:line="260"/>
            </w:pPr>
            <w:r>
              <w:rPr>
                <w:rFonts w:ascii="Cambria" w:cs="Cambria" w:eastAsia="Cambria" w:hAnsi="Cambria"/>
                <w:sz w:val="24"/>
                <w:szCs w:val="24"/>
              </w:rPr>
              <w:t xml:space="preserve">No counterpart</w:t>
            </w:r>
          </w:p>
        </w:tc>
      </w:tr>
    </w:tbl>
    <w:p>
      <w:pPr>
        <w:spacing w:after="180"/>
      </w:pPr>
    </w:p>
    <w:p>
      <w:pPr>
        <w:spacing w:after="180" w:line="360"/>
      </w:pPr>
      <w:r>
        <w:rPr>
          <w:rFonts w:ascii="Cambria" w:cs="Cambria" w:eastAsia="Cambria" w:hAnsi="Cambria"/>
          <w:sz w:val="24"/>
          <w:szCs w:val="24"/>
        </w:rPr>
        <w:t xml:space="preserve">Four observations follow.</w:t>
      </w:r>
    </w:p>
    <w:p>
      <w:pPr>
        <w:spacing w:after="180" w:line="360"/>
      </w:pPr>
      <w:r>
        <w:rPr>
          <w:rFonts w:ascii="Cambria" w:cs="Cambria" w:eastAsia="Cambria" w:hAnsi="Cambria"/>
          <w:b/>
          <w:bCs/>
          <w:sz w:val="24"/>
          <w:szCs w:val="24"/>
        </w:rPr>
        <w:t xml:space="preserve">Balance is struck on different axes.</w:t>
      </w:r>
      <w:r>
        <w:rPr>
          <w:rFonts w:ascii="Cambria" w:cs="Cambria" w:eastAsia="Cambria" w:hAnsi="Cambria"/>
          <w:sz w:val="24"/>
          <w:szCs w:val="24"/>
        </w:rPr>
        <w:t xml:space="preserve"> The IB's </w:t>
      </w:r>
      <w:r>
        <w:rPr>
          <w:rFonts w:ascii="Cambria" w:cs="Cambria" w:eastAsia="Cambria" w:hAnsi="Cambria"/>
          <w:i/>
          <w:iCs/>
          <w:sz w:val="24"/>
          <w:szCs w:val="24"/>
        </w:rPr>
        <w:t xml:space="preserve">balanced</w:t>
      </w:r>
      <w:r>
        <w:rPr>
          <w:rFonts w:ascii="Cambria" w:cs="Cambria" w:eastAsia="Cambria" w:hAnsi="Cambria"/>
          <w:sz w:val="24"/>
          <w:szCs w:val="24"/>
        </w:rPr>
        <w:t xml:space="preserve"> names three: "intellectual, physical, and emotional". TYMM's ontological wholeness names </w:t>
      </w:r>
      <w:r>
        <w:rPr>
          <w:rFonts w:ascii="Cambria" w:cs="Cambria" w:eastAsia="Cambria" w:hAnsi="Cambria"/>
          <w:i/>
          <w:iCs/>
          <w:sz w:val="24"/>
          <w:szCs w:val="24"/>
        </w:rPr>
        <w:t xml:space="preserve">ruh</w:t>
      </w:r>
      <w:r>
        <w:rPr>
          <w:rFonts w:ascii="Cambria" w:cs="Cambria" w:eastAsia="Cambria" w:hAnsi="Cambria"/>
          <w:sz w:val="24"/>
          <w:szCs w:val="24"/>
        </w:rPr>
        <w:t xml:space="preserve"> (spirit) and </w:t>
      </w:r>
      <w:r>
        <w:rPr>
          <w:rFonts w:ascii="Cambria" w:cs="Cambria" w:eastAsia="Cambria" w:hAnsi="Cambria"/>
          <w:i/>
          <w:iCs/>
          <w:sz w:val="24"/>
          <w:szCs w:val="24"/>
        </w:rPr>
        <w:t xml:space="preserve">beden</w:t>
      </w:r>
      <w:r>
        <w:rPr>
          <w:rFonts w:ascii="Cambria" w:cs="Cambria" w:eastAsia="Cambria" w:hAnsi="Cambria"/>
          <w:sz w:val="24"/>
          <w:szCs w:val="24"/>
        </w:rPr>
        <w:t xml:space="preserve"> (body), and defines </w:t>
      </w:r>
      <w:r>
        <w:rPr>
          <w:rFonts w:ascii="Cambria" w:cs="Cambria" w:eastAsia="Cambria" w:hAnsi="Cambria"/>
          <w:i/>
          <w:iCs/>
          <w:sz w:val="24"/>
          <w:szCs w:val="24"/>
        </w:rPr>
        <w:t xml:space="preserve">ruh</w:t>
      </w:r>
      <w:r>
        <w:rPr>
          <w:rFonts w:ascii="Cambria" w:cs="Cambria" w:eastAsia="Cambria" w:hAnsi="Cambria"/>
          <w:sz w:val="24"/>
          <w:szCs w:val="24"/>
        </w:rPr>
        <w:t xml:space="preserve"> as the sum of "entelektüel, ahlaki ve duygusal" faculties. The two triads share the intellectual and the emotional and diverge on the third: the IB's is physical, TYMM's is moral. The physical is not missing from TYMM, which gives it a characteristic of its own in </w:t>
      </w:r>
      <w:r>
        <w:rPr>
          <w:rFonts w:ascii="Cambria" w:cs="Cambria" w:eastAsia="Cambria" w:hAnsi="Cambria"/>
          <w:i/>
          <w:iCs/>
          <w:sz w:val="24"/>
          <w:szCs w:val="24"/>
        </w:rPr>
        <w:t xml:space="preserve">sağlıklı</w:t>
      </w:r>
      <w:r>
        <w:rPr>
          <w:rFonts w:ascii="Cambria" w:cs="Cambria" w:eastAsia="Cambria" w:hAnsi="Cambria"/>
          <w:sz w:val="24"/>
          <w:szCs w:val="24"/>
        </w:rPr>
        <w:t xml:space="preserve">, but it sits outside the balance construct. And </w:t>
      </w:r>
      <w:r>
        <w:rPr>
          <w:rFonts w:ascii="Cambria" w:cs="Cambria" w:eastAsia="Cambria" w:hAnsi="Cambria"/>
          <w:i/>
          <w:iCs/>
          <w:sz w:val="24"/>
          <w:szCs w:val="24"/>
        </w:rPr>
        <w:t xml:space="preserve">sağlıklı</w:t>
      </w:r>
      <w:r>
        <w:rPr>
          <w:rFonts w:ascii="Cambria" w:cs="Cambria" w:eastAsia="Cambria" w:hAnsi="Cambria"/>
          <w:sz w:val="24"/>
          <w:szCs w:val="24"/>
        </w:rPr>
        <w:t xml:space="preserve"> closes with a component the IB set has nothing to correspond to: </w:t>
      </w:r>
      <w:r>
        <w:rPr>
          <w:rFonts w:ascii="Cambria" w:cs="Cambria" w:eastAsia="Cambria" w:hAnsi="Cambria"/>
          <w:i/>
          <w:iCs/>
          <w:sz w:val="24"/>
          <w:szCs w:val="24"/>
        </w:rPr>
        <w:t xml:space="preserve">manevi sağlığını koruyan</w:t>
      </w:r>
      <w:r>
        <w:rPr>
          <w:rFonts w:ascii="Cambria" w:cs="Cambria" w:eastAsia="Cambria" w:hAnsi="Cambria"/>
          <w:sz w:val="24"/>
          <w:szCs w:val="24"/>
        </w:rPr>
        <w:t xml:space="preserve">, one who protects their spiritual health, "manen gelişmiş hayat tarzını benimser". A spiritual dimension is constitutive of the person in one profile and unmentioned in the other.</w:t>
      </w:r>
    </w:p>
    <w:p>
      <w:pPr>
        <w:spacing w:after="180" w:line="360"/>
      </w:pPr>
      <w:r>
        <w:rPr>
          <w:rFonts w:ascii="Cambria" w:cs="Cambria" w:eastAsia="Cambria" w:hAnsi="Cambria"/>
          <w:b/>
          <w:bCs/>
          <w:sz w:val="24"/>
          <w:szCs w:val="24"/>
        </w:rPr>
        <w:t xml:space="preserve">Reflection is present in the model and absent from the profile.</w:t>
      </w:r>
      <w:r>
        <w:rPr>
          <w:rFonts w:ascii="Cambria" w:cs="Cambria" w:eastAsia="Cambria" w:hAnsi="Cambria"/>
          <w:sz w:val="24"/>
          <w:szCs w:val="24"/>
        </w:rPr>
        <w:t xml:space="preserve"> TYMM has a well-developed apparatus of reflection: </w:t>
      </w:r>
      <w:r>
        <w:rPr>
          <w:rFonts w:ascii="Cambria" w:cs="Cambria" w:eastAsia="Cambria" w:hAnsi="Cambria"/>
          <w:i/>
          <w:iCs/>
          <w:sz w:val="24"/>
          <w:szCs w:val="24"/>
        </w:rPr>
        <w:t xml:space="preserve">yansıtma</w:t>
      </w:r>
      <w:r>
        <w:rPr>
          <w:rFonts w:ascii="Cambria" w:cs="Cambria" w:eastAsia="Cambria" w:hAnsi="Cambria"/>
          <w:sz w:val="24"/>
          <w:szCs w:val="24"/>
        </w:rPr>
        <w:t xml:space="preserve"> is a named bütünleşik beceri, </w:t>
      </w:r>
      <w:r>
        <w:rPr>
          <w:rFonts w:ascii="Cambria" w:cs="Cambria" w:eastAsia="Cambria" w:hAnsi="Cambria"/>
          <w:i/>
          <w:iCs/>
          <w:sz w:val="24"/>
          <w:szCs w:val="24"/>
        </w:rPr>
        <w:t xml:space="preserve">kendine uyarlama (öz yansıtma)</w:t>
      </w:r>
      <w:r>
        <w:rPr>
          <w:rFonts w:ascii="Cambria" w:cs="Cambria" w:eastAsia="Cambria" w:hAnsi="Cambria"/>
          <w:sz w:val="24"/>
          <w:szCs w:val="24"/>
        </w:rPr>
        <w:t xml:space="preserve"> is one of three benlik becerileri, and teacher reflection has its own section. None of it appears among the ten profile characteristics. The IB, by contrast, spends one of its ten on </w:t>
      </w:r>
      <w:r>
        <w:rPr>
          <w:rFonts w:ascii="Cambria" w:cs="Cambria" w:eastAsia="Cambria" w:hAnsi="Cambria"/>
          <w:i/>
          <w:iCs/>
          <w:sz w:val="24"/>
          <w:szCs w:val="24"/>
        </w:rPr>
        <w:t xml:space="preserve">reflective</w:t>
      </w:r>
      <w:r>
        <w:rPr>
          <w:rFonts w:ascii="Cambria" w:cs="Cambria" w:eastAsia="Cambria" w:hAnsi="Cambria"/>
          <w:sz w:val="24"/>
          <w:szCs w:val="24"/>
        </w:rPr>
        <w:t xml:space="preserve">. Reflection is thus not a difference in what the two systems value but in what each considers definitional of the educated person. This distinction matters for the argument of §4.1: the comparison is between profiles, and a capacity a system holds elsewhere is not a capacity the profile claims.</w:t>
      </w:r>
    </w:p>
    <w:p>
      <w:pPr>
        <w:spacing w:after="180" w:line="360"/>
      </w:pPr>
      <w:r>
        <w:rPr>
          <w:rFonts w:ascii="Cambria" w:cs="Cambria" w:eastAsia="Cambria" w:hAnsi="Cambria"/>
          <w:b/>
          <w:bCs/>
          <w:sz w:val="24"/>
          <w:szCs w:val="24"/>
        </w:rPr>
        <w:t xml:space="preserve">The aesthetic is definitional for one and unnamed for the other.</w:t>
      </w:r>
      <w:r>
        <w:rPr>
          <w:rFonts w:ascii="Cambria" w:cs="Cambria" w:eastAsia="Cambria" w:hAnsi="Cambria"/>
          <w:sz w:val="24"/>
          <w:szCs w:val="24"/>
        </w:rPr>
        <w:t xml:space="preserve"> </w:t>
      </w:r>
      <w:r>
        <w:rPr>
          <w:rFonts w:ascii="Cambria" w:cs="Cambria" w:eastAsia="Cambria" w:hAnsi="Cambria"/>
          <w:i/>
          <w:iCs/>
          <w:sz w:val="24"/>
          <w:szCs w:val="24"/>
        </w:rPr>
        <w:t xml:space="preserve">Estetik</w:t>
      </w:r>
      <w:r>
        <w:rPr>
          <w:rFonts w:ascii="Cambria" w:cs="Cambria" w:eastAsia="Cambria" w:hAnsi="Cambria"/>
          <w:sz w:val="24"/>
          <w:szCs w:val="24"/>
        </w:rPr>
        <w:t xml:space="preserve"> is one of TYMM's ten, with six components running from </w:t>
      </w:r>
      <w:r>
        <w:rPr>
          <w:rFonts w:ascii="Cambria" w:cs="Cambria" w:eastAsia="Cambria" w:hAnsi="Cambria"/>
          <w:i/>
          <w:iCs/>
          <w:sz w:val="24"/>
          <w:szCs w:val="24"/>
        </w:rPr>
        <w:t xml:space="preserve">güzelliğe duyarlı</w:t>
      </w:r>
      <w:r>
        <w:rPr>
          <w:rFonts w:ascii="Cambria" w:cs="Cambria" w:eastAsia="Cambria" w:hAnsi="Cambria"/>
          <w:sz w:val="24"/>
          <w:szCs w:val="24"/>
        </w:rPr>
        <w:t xml:space="preserve"> to </w:t>
      </w:r>
      <w:r>
        <w:rPr>
          <w:rFonts w:ascii="Cambria" w:cs="Cambria" w:eastAsia="Cambria" w:hAnsi="Cambria"/>
          <w:i/>
          <w:iCs/>
          <w:sz w:val="24"/>
          <w:szCs w:val="24"/>
        </w:rPr>
        <w:t xml:space="preserve">sanatsal yeteneklerini bilen ve kullanan</w:t>
      </w:r>
      <w:r>
        <w:rPr>
          <w:rFonts w:ascii="Cambria" w:cs="Cambria" w:eastAsia="Cambria" w:hAnsi="Cambria"/>
          <w:sz w:val="24"/>
          <w:szCs w:val="24"/>
        </w:rPr>
        <w:t xml:space="preserve">, and </w:t>
      </w:r>
      <w:r>
        <w:rPr>
          <w:rFonts w:ascii="Cambria" w:cs="Cambria" w:eastAsia="Cambria" w:hAnsi="Cambria"/>
          <w:i/>
          <w:iCs/>
          <w:sz w:val="24"/>
          <w:szCs w:val="24"/>
        </w:rPr>
        <w:t xml:space="preserve">estetik</w:t>
      </w:r>
      <w:r>
        <w:rPr>
          <w:rFonts w:ascii="Cambria" w:cs="Cambria" w:eastAsia="Cambria" w:hAnsi="Cambria"/>
          <w:sz w:val="24"/>
          <w:szCs w:val="24"/>
        </w:rPr>
        <w:t xml:space="preserve"> appears again among the twenty values and again inside </w:t>
      </w:r>
      <w:r>
        <w:rPr>
          <w:rFonts w:ascii="Cambria" w:cs="Cambria" w:eastAsia="Cambria" w:hAnsi="Cambria"/>
          <w:i/>
          <w:iCs/>
          <w:sz w:val="24"/>
          <w:szCs w:val="24"/>
        </w:rPr>
        <w:t xml:space="preserve">bilge</w:t>
      </w:r>
      <w:r>
        <w:rPr>
          <w:rFonts w:ascii="Cambria" w:cs="Cambria" w:eastAsia="Cambria" w:hAnsi="Cambria"/>
          <w:sz w:val="24"/>
          <w:szCs w:val="24"/>
        </w:rPr>
        <w:t xml:space="preserve"> as </w:t>
      </w:r>
      <w:r>
        <w:rPr>
          <w:rFonts w:ascii="Cambria" w:cs="Cambria" w:eastAsia="Cambria" w:hAnsi="Cambria"/>
          <w:i/>
          <w:iCs/>
          <w:sz w:val="24"/>
          <w:szCs w:val="24"/>
        </w:rPr>
        <w:t xml:space="preserve">estetik duyarlılık sahibi</w:t>
      </w:r>
      <w:r>
        <w:rPr>
          <w:rFonts w:ascii="Cambria" w:cs="Cambria" w:eastAsia="Cambria" w:hAnsi="Cambria"/>
          <w:sz w:val="24"/>
          <w:szCs w:val="24"/>
        </w:rPr>
        <w:t xml:space="preserve">. It is one of the most densely repeated commitments in the document. The IB's ten contain no aesthetic attribute and its descriptors contain no aesthetic vocabulary.</w:t>
      </w:r>
    </w:p>
    <w:p>
      <w:pPr>
        <w:spacing w:after="180" w:line="360"/>
      </w:pPr>
      <w:r>
        <w:rPr>
          <w:rFonts w:ascii="Cambria" w:cs="Cambria" w:eastAsia="Cambria" w:hAnsi="Cambria"/>
          <w:b/>
          <w:bCs/>
          <w:sz w:val="24"/>
          <w:szCs w:val="24"/>
        </w:rPr>
        <w:t xml:space="preserve">Wisdom is not knowledge.</w:t>
      </w:r>
      <w:r>
        <w:rPr>
          <w:rFonts w:ascii="Cambria" w:cs="Cambria" w:eastAsia="Cambria" w:hAnsi="Cambria"/>
          <w:sz w:val="24"/>
          <w:szCs w:val="24"/>
        </w:rPr>
        <w:t xml:space="preserve"> </w:t>
      </w:r>
      <w:r>
        <w:rPr>
          <w:rFonts w:ascii="Cambria" w:cs="Cambria" w:eastAsia="Cambria" w:hAnsi="Cambria"/>
          <w:i/>
          <w:iCs/>
          <w:sz w:val="24"/>
          <w:szCs w:val="24"/>
        </w:rPr>
        <w:t xml:space="preserve">Bilge</w:t>
      </w:r>
      <w:r>
        <w:rPr>
          <w:rFonts w:ascii="Cambria" w:cs="Cambria" w:eastAsia="Cambria" w:hAnsi="Cambria"/>
          <w:sz w:val="24"/>
          <w:szCs w:val="24"/>
        </w:rPr>
        <w:t xml:space="preserve"> is glossed by the framework as the union of knowledge and virtue: "Bilgi ve erdemin bir araya gelmesiyle gerçekleşen olgunluk ile insanın öz varlığını tanımasıyla oluşan… bilgelik." The IB's </w:t>
      </w:r>
      <w:r>
        <w:rPr>
          <w:rFonts w:ascii="Cambria" w:cs="Cambria" w:eastAsia="Cambria" w:hAnsi="Cambria"/>
          <w:i/>
          <w:iCs/>
          <w:sz w:val="24"/>
          <w:szCs w:val="24"/>
        </w:rPr>
        <w:t xml:space="preserve">knowledgeable</w:t>
      </w:r>
      <w:r>
        <w:rPr>
          <w:rFonts w:ascii="Cambria" w:cs="Cambria" w:eastAsia="Cambria" w:hAnsi="Cambria"/>
          <w:sz w:val="24"/>
          <w:szCs w:val="24"/>
        </w:rPr>
        <w:t xml:space="preserve"> is glossed by disciplinary range and significance: "conceptual understanding, exploring knowledge across a range of disciplines… issues and ideas that have local and global significance." The mapping in Table 3 is therefore a structural adjacency, not an equivalence. One profile's epistemic ideal terminates in a state of the person; the other's terminates in a relation to a field.</w:t>
      </w:r>
    </w:p>
    <w:p>
      <w:pPr>
        <w:pStyle w:val="Heading2"/>
        <w:spacing w:after="160" w:before="320" w:line="300"/>
      </w:pPr>
      <w:r>
        <w:rPr>
          <w:rFonts w:ascii="Cambria" w:cs="Cambria" w:eastAsia="Cambria" w:hAnsi="Cambria"/>
          <w:b/>
          <w:bCs/>
          <w:color w:val="000000"/>
          <w:sz w:val="27"/>
          <w:szCs w:val="27"/>
        </w:rPr>
        <w:t xml:space="preserve">4.6 Summary</w:t>
      </w:r>
    </w:p>
    <w:p>
      <w:pPr>
        <w:spacing w:after="180" w:line="360"/>
      </w:pPr>
      <w:r>
        <w:rPr>
          <w:rFonts w:ascii="Cambria" w:cs="Cambria" w:eastAsia="Cambria" w:hAnsi="Cambria"/>
          <w:sz w:val="24"/>
          <w:szCs w:val="24"/>
        </w:rPr>
        <w:t xml:space="preserve">The two profiles agree on more than their rhetoric suggests and differ in ways their shared format conceals. They converge on inquiry, critical thought, ethical conduct, compassion and courage, and both refuse a purely academic account of the educated person. They diverge on four things the evidence identifies precisely: who is given the voice in the text, whether the collective the learner serves is named, whether grants of autonomy carry a conformity clause, and which dimensions of the person are treated as constitutive.</w:t>
      </w:r>
    </w:p>
    <w:p>
      <w:pPr>
        <w:spacing w:after="180" w:line="360"/>
      </w:pPr>
      <w:r>
        <w:rPr>
          <w:rFonts w:ascii="Cambria" w:cs="Cambria" w:eastAsia="Cambria" w:hAnsi="Cambria"/>
          <w:sz w:val="24"/>
          <w:szCs w:val="24"/>
        </w:rPr>
        <w:t xml:space="preserve">These are not points on a single axis with the local at one end and the global at the other, and the study's own asymmetry should be stated plainly rather than resolved. TYMM's profile is more specified because it governs one system; the IB's is less specified because it must travel. Reading the first as parochial and the second as open mistakes a difference in institutional situation for a difference in educational ambition. What can be said on the evidence is that the two documents answer the question of what a person is for in ways that are not interchangeable, and that the answer each gives is visible in its grammar before it is visible in its content.</w:t>
      </w:r>
    </w:p>
    <w:p>
      <w:r>
        <w:br w:type="page"/>
      </w:r>
    </w:p>
    <w:p>
      <w:pPr>
        <w:pStyle w:val="Heading1"/>
        <w:spacing w:after="160" w:before="400" w:line="300"/>
      </w:pPr>
      <w:r>
        <w:rPr>
          <w:rFonts w:ascii="Cambria" w:cs="Cambria" w:eastAsia="Cambria" w:hAnsi="Cambria"/>
          <w:b/>
          <w:bCs/>
          <w:color w:val="000000"/>
          <w:sz w:val="32"/>
          <w:szCs w:val="32"/>
        </w:rPr>
        <w:t xml:space="preserve">5. Discussion</w:t>
      </w:r>
    </w:p>
    <w:p>
      <w:pPr>
        <w:pStyle w:val="Heading2"/>
        <w:spacing w:after="160" w:before="320" w:line="300"/>
      </w:pPr>
      <w:r>
        <w:rPr>
          <w:rFonts w:ascii="Cambria" w:cs="Cambria" w:eastAsia="Cambria" w:hAnsi="Cambria"/>
          <w:b/>
          <w:bCs/>
          <w:color w:val="000000"/>
          <w:sz w:val="27"/>
          <w:szCs w:val="27"/>
        </w:rPr>
        <w:t xml:space="preserve">5.1 Form carries the argument</w:t>
      </w:r>
    </w:p>
    <w:p>
      <w:pPr>
        <w:spacing w:after="180" w:line="360"/>
      </w:pPr>
      <w:r>
        <w:rPr>
          <w:rFonts w:ascii="Cambria" w:cs="Cambria" w:eastAsia="Cambria" w:hAnsi="Cambria"/>
          <w:sz w:val="24"/>
          <w:szCs w:val="24"/>
        </w:rPr>
        <w:t xml:space="preserve">The finding that organises the rest is that the two profiles differ more legibly in how they are written than in what they contain. Their inventories of qualities overlap at seven of ten positions. Their grammar does not overlap at all: every IB descriptor is first person plural and every one of TYMM's sixty-one component definitions is third person aorist.</w:t>
      </w:r>
    </w:p>
    <w:p>
      <w:pPr>
        <w:spacing w:after="180" w:line="360"/>
      </w:pPr>
      <w:r>
        <w:rPr>
          <w:rFonts w:ascii="Cambria" w:cs="Cambria" w:eastAsia="Cambria" w:hAnsi="Cambria"/>
          <w:sz w:val="24"/>
          <w:szCs w:val="24"/>
        </w:rPr>
        <w:t xml:space="preserve">This has a consequence for how learner profiles should be read. The standard approach, lining the two lists up, noting which values appear on each side and inferring a difference in commitments, would have produced a modest and partly misleading result here. It would have reported that both profiles value inquiry, integrity and compassion, that TYMM adds patriotism and aesthetics, and that the IB adds open-mindedness and reflection. That is true as far as it goes, and it misses that the two documents position the learner differently before either says anything about values. The IB profile speaks as a "we" the learner is invited into. TYMM's profile speaks about a person the system intends to form. A reader who only counts values will not see this, because it is not in the values.</w:t>
      </w:r>
    </w:p>
    <w:p>
      <w:pPr>
        <w:spacing w:after="180" w:line="360"/>
      </w:pPr>
      <w:r>
        <w:rPr>
          <w:rFonts w:ascii="Cambria" w:cs="Cambria" w:eastAsia="Cambria" w:hAnsi="Cambria"/>
          <w:sz w:val="24"/>
          <w:szCs w:val="24"/>
        </w:rPr>
        <w:t xml:space="preserve">The claim is not that content comparison is worthless. It is that the profile is a genre with a small number of formal choices (person, voice, whether collectives are named, whether grants are qualified), and those choices carry the anthropological argument more reliably than the word list does. Apple's (2004) point that curriculum encodes decisions about legitimacy holds; what the analysis adds is that in this genre the encoding is often syntactic.</w:t>
      </w:r>
    </w:p>
    <w:p>
      <w:pPr>
        <w:pStyle w:val="Heading2"/>
        <w:spacing w:after="160" w:before="320" w:line="300"/>
      </w:pPr>
      <w:r>
        <w:rPr>
          <w:rFonts w:ascii="Cambria" w:cs="Cambria" w:eastAsia="Cambria" w:hAnsi="Cambria"/>
          <w:b/>
          <w:bCs/>
          <w:color w:val="000000"/>
          <w:sz w:val="27"/>
          <w:szCs w:val="27"/>
        </w:rPr>
        <w:t xml:space="preserve">5.2 The proviso and the problem of subjectification</w:t>
      </w:r>
    </w:p>
    <w:p>
      <w:pPr>
        <w:spacing w:after="180" w:line="360"/>
      </w:pPr>
      <w:r>
        <w:rPr>
          <w:rFonts w:ascii="Cambria" w:cs="Cambria" w:eastAsia="Cambria" w:hAnsi="Cambria"/>
          <w:sz w:val="24"/>
          <w:szCs w:val="24"/>
        </w:rPr>
        <w:t xml:space="preserve">The pattern reported in §4.4 is the study's sharpest result and the one that most needs careful handling.</w:t>
      </w:r>
    </w:p>
    <w:p>
      <w:pPr>
        <w:spacing w:after="180" w:line="360"/>
      </w:pPr>
      <w:r>
        <w:rPr>
          <w:rFonts w:ascii="Cambria" w:cs="Cambria" w:eastAsia="Cambria" w:hAnsi="Cambria"/>
          <w:sz w:val="24"/>
          <w:szCs w:val="24"/>
        </w:rPr>
        <w:t xml:space="preserve">TYMM attaches a conformity clause to its grants of autonomy. Independent thought is exercised "in a manner consistent with their own values and beliefs"; aesthetic judgement is formed "in a manner consistent with moral values"; intercultural contact proceeds while "preserving their national identity and culture". The IB attaches nothing comparable, and its open-minded descriptor explicitly includes the learner's own culture in what is critically appreciated rather than exempting it.</w:t>
      </w:r>
    </w:p>
    <w:p>
      <w:pPr>
        <w:spacing w:after="180" w:line="360"/>
      </w:pPr>
      <w:r>
        <w:rPr>
          <w:rFonts w:ascii="Cambria" w:cs="Cambria" w:eastAsia="Cambria" w:hAnsi="Cambria"/>
          <w:sz w:val="24"/>
          <w:szCs w:val="24"/>
        </w:rPr>
        <w:t xml:space="preserve">Read through Biesta's (2010) three functions, this looks at first like a difference in the balance between socialisation and subjectification, with TYMM weighting the former. That reading is available and it is too quick. Biesta's own worry is that subjectification is squeezed out by the two functions institutions can measure, and neither profile is obviously guilty of that: TYMM's </w:t>
      </w:r>
      <w:r>
        <w:rPr>
          <w:rFonts w:ascii="Cambria" w:cs="Cambria" w:eastAsia="Cambria" w:hAnsi="Cambria"/>
          <w:i/>
          <w:iCs/>
          <w:sz w:val="24"/>
          <w:szCs w:val="24"/>
        </w:rPr>
        <w:t xml:space="preserve">irade</w:t>
      </w:r>
      <w:r>
        <w:rPr>
          <w:rFonts w:ascii="Cambria" w:cs="Cambria" w:eastAsia="Cambria" w:hAnsi="Cambria"/>
          <w:sz w:val="24"/>
          <w:szCs w:val="24"/>
        </w:rPr>
        <w:t xml:space="preserve"> (will) and </w:t>
      </w:r>
      <w:r>
        <w:rPr>
          <w:rFonts w:ascii="Cambria" w:cs="Cambria" w:eastAsia="Cambria" w:hAnsi="Cambria"/>
          <w:i/>
          <w:iCs/>
          <w:sz w:val="24"/>
          <w:szCs w:val="24"/>
        </w:rPr>
        <w:t xml:space="preserve">bağımsız ve özgür düşünen</w:t>
      </w:r>
      <w:r>
        <w:rPr>
          <w:rFonts w:ascii="Cambria" w:cs="Cambria" w:eastAsia="Cambria" w:hAnsi="Cambria"/>
          <w:sz w:val="24"/>
          <w:szCs w:val="24"/>
        </w:rPr>
        <w:t xml:space="preserve"> are subjectification claims, and the IB's attributes are as easily read as socialisation into a particular transnational disposition, which is close to Bunnell's (2010) and Resnik's (2012) institutional readings of the IB, and to Wells's (2011) observation that the profile asserts values without a theory of how they are acquired.</w:t>
      </w:r>
    </w:p>
    <w:p>
      <w:pPr>
        <w:spacing w:after="180" w:line="360"/>
      </w:pPr>
      <w:r>
        <w:rPr>
          <w:rFonts w:ascii="Cambria" w:cs="Cambria" w:eastAsia="Cambria" w:hAnsi="Cambria"/>
          <w:sz w:val="24"/>
          <w:szCs w:val="24"/>
        </w:rPr>
        <w:t xml:space="preserve">The more defensible formulation is that the two profiles disagree about whether formation has a fixed point. TYMM's answer is that it does, and its own construct of </w:t>
      </w:r>
      <w:r>
        <w:rPr>
          <w:rFonts w:ascii="Cambria" w:cs="Cambria" w:eastAsia="Cambria" w:hAnsi="Cambria"/>
          <w:i/>
          <w:iCs/>
          <w:sz w:val="24"/>
          <w:szCs w:val="24"/>
        </w:rPr>
        <w:t xml:space="preserve">aksiyolojik olgunluk</w:t>
      </w:r>
      <w:r>
        <w:rPr>
          <w:rFonts w:ascii="Cambria" w:cs="Cambria" w:eastAsia="Cambria" w:hAnsi="Cambria"/>
          <w:sz w:val="24"/>
          <w:szCs w:val="24"/>
        </w:rPr>
        <w:t xml:space="preserve"> makes this a positive claim rather than a limitation: judgement that is not anchored is not, in that framework, mature. The IB's answer is that it does not, and that the encounter with difference should be able to reach anything, including the learner's starting commitments. These are genuine alternatives in moral education, not a spectrum with more freedom at one end.</w:t>
      </w:r>
    </w:p>
    <w:p>
      <w:pPr>
        <w:spacing w:after="180" w:line="360"/>
      </w:pPr>
      <w:r>
        <w:rPr>
          <w:rFonts w:ascii="Cambria" w:cs="Cambria" w:eastAsia="Cambria" w:hAnsi="Cambria"/>
          <w:sz w:val="24"/>
          <w:szCs w:val="24"/>
        </w:rPr>
        <w:t xml:space="preserve">Stating it this way matters for a reason beyond accuracy. A study that reported TYMM's provisos as constraints on an otherwise-granted freedom would have imported the IB's answer as the measure, the move Takayama, Sriprakash and Connell (2017) identify. A study that reported them only as </w:t>
      </w:r>
      <w:r>
        <w:rPr>
          <w:rFonts w:ascii="Cambria" w:cs="Cambria" w:eastAsia="Cambria" w:hAnsi="Cambria"/>
          <w:i/>
          <w:iCs/>
          <w:sz w:val="24"/>
          <w:szCs w:val="24"/>
        </w:rPr>
        <w:t xml:space="preserve">aksiyolojik olgunluk</w:t>
      </w:r>
      <w:r>
        <w:rPr>
          <w:rFonts w:ascii="Cambria" w:cs="Cambria" w:eastAsia="Cambria" w:hAnsi="Cambria"/>
          <w:sz w:val="24"/>
          <w:szCs w:val="24"/>
        </w:rPr>
        <w:t xml:space="preserve"> would have accepted a framework's self-description as its analysis. Both readings are reported in §4.4 because the text sustains both, and the disagreement between them is the finding.</w:t>
      </w:r>
    </w:p>
    <w:p>
      <w:pPr>
        <w:pStyle w:val="Heading2"/>
        <w:spacing w:after="160" w:before="320" w:line="300"/>
      </w:pPr>
      <w:r>
        <w:rPr>
          <w:rFonts w:ascii="Cambria" w:cs="Cambria" w:eastAsia="Cambria" w:hAnsi="Cambria"/>
          <w:b/>
          <w:bCs/>
          <w:color w:val="000000"/>
          <w:sz w:val="27"/>
          <w:szCs w:val="27"/>
        </w:rPr>
        <w:t xml:space="preserve">5.3 Specification and portability are traded against each other</w:t>
      </w:r>
    </w:p>
    <w:p>
      <w:pPr>
        <w:spacing w:after="180" w:line="360"/>
      </w:pPr>
      <w:r>
        <w:rPr>
          <w:rFonts w:ascii="Cambria" w:cs="Cambria" w:eastAsia="Cambria" w:hAnsi="Cambria"/>
          <w:sz w:val="24"/>
          <w:szCs w:val="24"/>
        </w:rPr>
        <w:t xml:space="preserve">TYMM specifies sixty-one components beneath ten characteristics; the IB specifies none. The temptation is to read this as thoroughness against vagueness. The institutional facts suggest a trade-off instead.</w:t>
      </w:r>
    </w:p>
    <w:p>
      <w:pPr>
        <w:spacing w:after="180" w:line="360"/>
      </w:pPr>
      <w:r>
        <w:rPr>
          <w:rFonts w:ascii="Cambria" w:cs="Cambria" w:eastAsia="Cambria" w:hAnsi="Cambria"/>
          <w:sz w:val="24"/>
          <w:szCs w:val="24"/>
        </w:rPr>
        <w:t xml:space="preserve">TYMM governs one system, in one language, under one ministry, and its profile is wired into a values framework and a skills framework that terminate in learning outcomes. Specification is possible because the destination is known. The IB profile has to function across roughly 5,900 schools in more than 160 countries, whose only shared feature is the IB itself. Tocci, Ryan and Ensminger (2021) show what its generality costs: teachers in one district implementing the profile in materially different ways, with the variation traceable to the breadth of the underlying concept. They also show what it buys, since a profile specified at TYMM's granularity would be unadoptable in most of those settings. Metlí and Lane (2020) report the same instability in international-mindedness itself, the construct the profile is meant to express.</w:t>
      </w:r>
    </w:p>
    <w:p>
      <w:pPr>
        <w:spacing w:after="180" w:line="360"/>
      </w:pPr>
      <w:r>
        <w:rPr>
          <w:rFonts w:ascii="Cambria" w:cs="Cambria" w:eastAsia="Cambria" w:hAnsi="Cambria"/>
          <w:sz w:val="24"/>
          <w:szCs w:val="24"/>
        </w:rPr>
        <w:t xml:space="preserve">So the two documents are not better and worse attempts at the same task. They are solutions to different constraint sets, and each pays for what it gains. This bears directly on the "hybrid model" that comparative work in this area tends to propose. Combining TYMM's moral specification with the IB's openness is not a synthesis available for the choosing: the specification is possible because the collective is named, and the openness is possible because it is not. A profile cannot both name the tradition the learner must preserve and leave the outcome of encounter genuinely open. Recommending that systems do both mistakes a trade-off for an oversight.</w:t>
      </w:r>
    </w:p>
    <w:p>
      <w:pPr>
        <w:pStyle w:val="Heading2"/>
        <w:spacing w:after="160" w:before="320" w:line="300"/>
      </w:pPr>
      <w:r>
        <w:rPr>
          <w:rFonts w:ascii="Cambria" w:cs="Cambria" w:eastAsia="Cambria" w:hAnsi="Cambria"/>
          <w:b/>
          <w:bCs/>
          <w:color w:val="000000"/>
          <w:sz w:val="27"/>
          <w:szCs w:val="27"/>
        </w:rPr>
        <w:t xml:space="preserve">5.4 What the local–global frame obscures</w:t>
      </w:r>
    </w:p>
    <w:p>
      <w:pPr>
        <w:spacing w:after="180" w:line="360"/>
      </w:pPr>
      <w:r>
        <w:rPr>
          <w:rFonts w:ascii="Cambria" w:cs="Cambria" w:eastAsia="Cambria" w:hAnsi="Cambria"/>
          <w:sz w:val="24"/>
          <w:szCs w:val="24"/>
        </w:rPr>
        <w:t xml:space="preserve">Both texts resist the frame the comparison invites. TYMM is not inward-facing in any simple sense: </w:t>
      </w:r>
      <w:r>
        <w:rPr>
          <w:rFonts w:ascii="Cambria" w:cs="Cambria" w:eastAsia="Cambria" w:hAnsi="Cambria"/>
          <w:i/>
          <w:iCs/>
          <w:sz w:val="24"/>
          <w:szCs w:val="24"/>
        </w:rPr>
        <w:t xml:space="preserve">ahlaklı</w:t>
      </w:r>
      <w:r>
        <w:rPr>
          <w:rFonts w:ascii="Cambria" w:cs="Cambria" w:eastAsia="Cambria" w:hAnsi="Cambria"/>
          <w:sz w:val="24"/>
          <w:szCs w:val="24"/>
        </w:rPr>
        <w:t xml:space="preserve"> requires respect for different beliefs and for other living beings, and </w:t>
      </w:r>
      <w:r>
        <w:rPr>
          <w:rFonts w:ascii="Cambria" w:cs="Cambria" w:eastAsia="Cambria" w:hAnsi="Cambria"/>
          <w:i/>
          <w:iCs/>
          <w:sz w:val="24"/>
          <w:szCs w:val="24"/>
        </w:rPr>
        <w:t xml:space="preserve">dostluk</w:t>
      </w:r>
      <w:r>
        <w:rPr>
          <w:rFonts w:ascii="Cambria" w:cs="Cambria" w:eastAsia="Cambria" w:hAnsi="Cambria"/>
          <w:sz w:val="24"/>
          <w:szCs w:val="24"/>
        </w:rPr>
        <w:t xml:space="preserve"> includes building bonds with other cultures and taking part in international projects. The IB is not placeless: an unnamed universal is a position, and its multilingual requirement, its "global community", and its silence on any particular tradition constitute a stance rather than the absence of one.</w:t>
      </w:r>
    </w:p>
    <w:p>
      <w:pPr>
        <w:spacing w:after="180" w:line="360"/>
      </w:pPr>
      <w:r>
        <w:rPr>
          <w:rFonts w:ascii="Cambria" w:cs="Cambria" w:eastAsia="Cambria" w:hAnsi="Cambria"/>
          <w:sz w:val="24"/>
          <w:szCs w:val="24"/>
        </w:rPr>
        <w:t xml:space="preserve">The difference the evidence actually supports is about naming. TYMM names the object of obligation, in detail, seven components deep under </w:t>
      </w:r>
      <w:r>
        <w:rPr>
          <w:rFonts w:ascii="Cambria" w:cs="Cambria" w:eastAsia="Cambria" w:hAnsi="Cambria"/>
          <w:i/>
          <w:iCs/>
          <w:sz w:val="24"/>
          <w:szCs w:val="24"/>
        </w:rPr>
        <w:t xml:space="preserve">vatansever</w:t>
      </w:r>
      <w:r>
        <w:rPr>
          <w:rFonts w:ascii="Cambria" w:cs="Cambria" w:eastAsia="Cambria" w:hAnsi="Cambria"/>
          <w:sz w:val="24"/>
          <w:szCs w:val="24"/>
        </w:rPr>
        <w:t xml:space="preserve">. The IB names none. Naming is not the same as narrowness, and declining to name is not the same as openness. A profile that names its collective can be argued with, because what it asks for is on the page; a profile that does not name one is harder to contest and correspondingly harder to hold to account. Deng and Luke's (2008) argument that the constitution of curricular categories is a theoretical act applies here: whether a profile names its "we" is not a presentational detail but a decision about what kind of claim the profile is making.</w:t>
      </w:r>
    </w:p>
    <w:p>
      <w:pPr>
        <w:pStyle w:val="Heading2"/>
        <w:spacing w:after="160" w:before="320" w:line="300"/>
      </w:pPr>
      <w:r>
        <w:rPr>
          <w:rFonts w:ascii="Cambria" w:cs="Cambria" w:eastAsia="Cambria" w:hAnsi="Cambria"/>
          <w:b/>
          <w:bCs/>
          <w:color w:val="000000"/>
          <w:sz w:val="27"/>
          <w:szCs w:val="27"/>
        </w:rPr>
        <w:t xml:space="preserve">5.5 Implications for practice</w:t>
      </w:r>
    </w:p>
    <w:p>
      <w:pPr>
        <w:spacing w:after="180" w:line="360"/>
      </w:pPr>
      <w:r>
        <w:rPr>
          <w:rFonts w:ascii="Cambria" w:cs="Cambria" w:eastAsia="Cambria" w:hAnsi="Cambria"/>
          <w:b/>
          <w:bCs/>
          <w:sz w:val="24"/>
          <w:szCs w:val="24"/>
        </w:rPr>
        <w:t xml:space="preserve">For those writing learner profiles.</w:t>
      </w:r>
      <w:r>
        <w:rPr>
          <w:rFonts w:ascii="Cambria" w:cs="Cambria" w:eastAsia="Cambria" w:hAnsi="Cambria"/>
          <w:sz w:val="24"/>
          <w:szCs w:val="24"/>
        </w:rPr>
        <w:t xml:space="preserve"> The formal choices are choices, and they are usually made without deliberation. Whether the profile speaks as "we" or describes "the student", whether the collective is named, and whether grants of autonomy carry provisos will do more to determine how the document is read than the selection of qualities will. Drafting groups typically spend their time on the list.</w:t>
      </w:r>
    </w:p>
    <w:p>
      <w:pPr>
        <w:spacing w:after="180" w:line="360"/>
      </w:pPr>
      <w:r>
        <w:rPr>
          <w:rFonts w:ascii="Cambria" w:cs="Cambria" w:eastAsia="Cambria" w:hAnsi="Cambria"/>
          <w:b/>
          <w:bCs/>
          <w:sz w:val="24"/>
          <w:szCs w:val="24"/>
        </w:rPr>
        <w:t xml:space="preserve">For teacher education.</w:t>
      </w:r>
      <w:r>
        <w:rPr>
          <w:rFonts w:ascii="Cambria" w:cs="Cambria" w:eastAsia="Cambria" w:hAnsi="Cambria"/>
          <w:sz w:val="24"/>
          <w:szCs w:val="24"/>
        </w:rPr>
        <w:t xml:space="preserve"> In TYMM settings, the sixty-one components are an unusual resource and an unusual demand: they specify what </w:t>
      </w:r>
      <w:r>
        <w:rPr>
          <w:rFonts w:ascii="Cambria" w:cs="Cambria" w:eastAsia="Cambria" w:hAnsi="Cambria"/>
          <w:i/>
          <w:iCs/>
          <w:sz w:val="24"/>
          <w:szCs w:val="24"/>
        </w:rPr>
        <w:t xml:space="preserve">ahlaklı</w:t>
      </w:r>
      <w:r>
        <w:rPr>
          <w:rFonts w:ascii="Cambria" w:cs="Cambria" w:eastAsia="Cambria" w:hAnsi="Cambria"/>
          <w:sz w:val="24"/>
          <w:szCs w:val="24"/>
        </w:rPr>
        <w:t xml:space="preserve"> consists of to a degree that removes ambiguity but also leaves little room for professional interpretation. In IB settings the problem is inverted, and Tocci, Ryan and Ensminger (2021) document its effects. Neither condition is addressed by more familiarity with the profile text; both require attention to what the profile's level of specification leaves to the teacher.</w:t>
      </w:r>
    </w:p>
    <w:p>
      <w:pPr>
        <w:spacing w:after="180" w:line="360"/>
      </w:pPr>
      <w:r>
        <w:rPr>
          <w:rFonts w:ascii="Cambria" w:cs="Cambria" w:eastAsia="Cambria" w:hAnsi="Cambria"/>
          <w:b/>
          <w:bCs/>
          <w:sz w:val="24"/>
          <w:szCs w:val="24"/>
        </w:rPr>
        <w:t xml:space="preserve">For policy.</w:t>
      </w:r>
      <w:r>
        <w:rPr>
          <w:rFonts w:ascii="Cambria" w:cs="Cambria" w:eastAsia="Cambria" w:hAnsi="Cambria"/>
          <w:sz w:val="24"/>
          <w:szCs w:val="24"/>
        </w:rPr>
        <w:t xml:space="preserve"> Where systems adopt a transnational profile alongside a national one, the two will not conflict at the level of listed values, since the overlap is substantial. They will conflict on the proviso: a national profile that conditions openness on preserving identity and a transnational profile that conditions nothing are giving incompatible instructions about the same encounter. That is where the work of reconciliation, if it is attempted, has to be done.</w:t>
      </w:r>
    </w:p>
    <w:p>
      <w:pPr>
        <w:pStyle w:val="Heading2"/>
        <w:spacing w:after="160" w:before="320" w:line="300"/>
      </w:pPr>
      <w:r>
        <w:rPr>
          <w:rFonts w:ascii="Cambria" w:cs="Cambria" w:eastAsia="Cambria" w:hAnsi="Cambria"/>
          <w:b/>
          <w:bCs/>
          <w:color w:val="000000"/>
          <w:sz w:val="27"/>
          <w:szCs w:val="27"/>
        </w:rPr>
        <w:t xml:space="preserve">5.6 Limitations</w:t>
      </w:r>
    </w:p>
    <w:p>
      <w:pPr>
        <w:spacing w:after="180" w:line="360"/>
      </w:pPr>
      <w:r>
        <w:rPr>
          <w:rFonts w:ascii="Cambria" w:cs="Cambria" w:eastAsia="Cambria" w:hAnsi="Cambria"/>
          <w:sz w:val="24"/>
          <w:szCs w:val="24"/>
        </w:rPr>
        <w:t xml:space="preserve">The study analyses intended curriculum only. It says nothing about what happens in classrooms, and no inference about teaching or learning under either framework follows from it. Ball's (1994) distinction between policy as text and policy as discourse marks the boundary: the analysis reaches the first and only the edge of the second.</w:t>
      </w:r>
    </w:p>
    <w:p>
      <w:pPr>
        <w:spacing w:after="180" w:line="360"/>
      </w:pPr>
      <w:r>
        <w:rPr>
          <w:rFonts w:ascii="Cambria" w:cs="Cambria" w:eastAsia="Cambria" w:hAnsi="Cambria"/>
          <w:sz w:val="24"/>
          <w:szCs w:val="24"/>
        </w:rPr>
        <w:t xml:space="preserve">The comparison is asymmetrical in ways that cannot be corrected, only declared. One profile governs a system and the other travels between them; one was analysed in the researcher's first language and the other in a second; one has three decades of interpretive apparatus around it and the other has been in force for two years.</w:t>
      </w:r>
    </w:p>
    <w:p>
      <w:pPr>
        <w:spacing w:after="180" w:line="360"/>
      </w:pPr>
      <w:r>
        <w:rPr>
          <w:rFonts w:ascii="Cambria" w:cs="Cambria" w:eastAsia="Cambria" w:hAnsi="Cambria"/>
          <w:sz w:val="24"/>
          <w:szCs w:val="24"/>
        </w:rPr>
        <w:t xml:space="preserve">The 2025 edition of the Ortak Metni is the version analysed. TYMM is recent and under revision, and the findings are indexed to that text.</w:t>
      </w:r>
    </w:p>
    <w:p>
      <w:pPr>
        <w:spacing w:after="180" w:line="360"/>
      </w:pPr>
      <w:r>
        <w:rPr>
          <w:rFonts w:ascii="Cambria" w:cs="Cambria" w:eastAsia="Cambria" w:hAnsi="Cambria"/>
          <w:sz w:val="24"/>
          <w:szCs w:val="24"/>
        </w:rPr>
        <w:t xml:space="preserve">The identification of a "conformity clause" pattern rests on three instances in the profile and its values framework. Three is enough to establish that the construction occurs and to show what it does. It is not enough to establish a rate, and no claim about frequency is made.</w:t>
      </w:r>
    </w:p>
    <w:p>
      <w:pPr>
        <w:spacing w:after="180" w:line="360"/>
      </w:pPr>
      <w:r>
        <w:rPr>
          <w:rFonts w:ascii="Cambria" w:cs="Cambria" w:eastAsia="Cambria" w:hAnsi="Cambria"/>
          <w:sz w:val="24"/>
          <w:szCs w:val="24"/>
        </w:rPr>
        <w:t xml:space="preserve">Finally, the ten-by-ten symmetry that makes the comparison tractable is a property of how the two documents present themselves. It licenses comparison of structural position, not the inference that a TYMM characteristic and an IB attribute do the same work, which is why Table 3 reports adjacencies rather than equivalences.</w:t>
      </w:r>
    </w:p>
    <w:p>
      <w:pPr>
        <w:pStyle w:val="Heading2"/>
        <w:spacing w:after="160" w:before="320" w:line="300"/>
      </w:pPr>
      <w:r>
        <w:rPr>
          <w:rFonts w:ascii="Cambria" w:cs="Cambria" w:eastAsia="Cambria" w:hAnsi="Cambria"/>
          <w:b/>
          <w:bCs/>
          <w:color w:val="000000"/>
          <w:sz w:val="27"/>
          <w:szCs w:val="27"/>
        </w:rPr>
        <w:t xml:space="preserve">5.7 Directions for further work</w:t>
      </w:r>
    </w:p>
    <w:p>
      <w:pPr>
        <w:spacing w:after="180" w:line="360"/>
      </w:pPr>
      <w:r>
        <w:rPr>
          <w:rFonts w:ascii="Cambria" w:cs="Cambria" w:eastAsia="Cambria" w:hAnsi="Cambria"/>
          <w:sz w:val="24"/>
          <w:szCs w:val="24"/>
        </w:rPr>
        <w:t xml:space="preserve">Four lines follow directly.</w:t>
      </w:r>
    </w:p>
    <w:p>
      <w:pPr>
        <w:spacing w:after="180" w:line="360"/>
      </w:pPr>
      <w:r>
        <w:rPr>
          <w:rFonts w:ascii="Cambria" w:cs="Cambria" w:eastAsia="Cambria" w:hAnsi="Cambria"/>
          <w:sz w:val="24"/>
          <w:szCs w:val="24"/>
        </w:rPr>
        <w:t xml:space="preserve">The formal properties identified here are testable across a wider corpus. Whether grammatical person, named collectives and conformity clauses distinguish national from transnational profiles generally, or whether TYMM and the IB happen to sit at the extremes, requires a sample rather than a pair.</w:t>
      </w:r>
    </w:p>
    <w:p>
      <w:pPr>
        <w:spacing w:after="180" w:line="360"/>
      </w:pPr>
      <w:r>
        <w:rPr>
          <w:rFonts w:ascii="Cambria" w:cs="Cambria" w:eastAsia="Cambria" w:hAnsi="Cambria"/>
          <w:sz w:val="24"/>
          <w:szCs w:val="24"/>
        </w:rPr>
        <w:t xml:space="preserve">The enactment question is open and is the obvious complement. What teachers do with sixty-one specified components, and whether that specification narrows or supports professional judgement, cannot be answered from the text.</w:t>
      </w:r>
    </w:p>
    <w:p>
      <w:pPr>
        <w:spacing w:after="180" w:line="360"/>
      </w:pPr>
      <w:r>
        <w:rPr>
          <w:rFonts w:ascii="Cambria" w:cs="Cambria" w:eastAsia="Cambria" w:hAnsi="Cambria"/>
          <w:sz w:val="24"/>
          <w:szCs w:val="24"/>
        </w:rPr>
        <w:t xml:space="preserve">The revision history of both profiles is available and unexploited. The IB's shift from third person to first is documented; whether TYMM's provisos were present in the 2024 edition and how they have changed since would show what is settled in the framework and what is still moving.</w:t>
      </w:r>
    </w:p>
    <w:p>
      <w:pPr>
        <w:spacing w:after="180" w:line="360"/>
      </w:pPr>
      <w:r>
        <w:rPr>
          <w:rFonts w:ascii="Cambria" w:cs="Cambria" w:eastAsia="Cambria" w:hAnsi="Cambria"/>
          <w:sz w:val="24"/>
          <w:szCs w:val="24"/>
        </w:rPr>
        <w:t xml:space="preserve">And the study's own procedure, coding a transnational text through a national framework's constructs, is a method claim that has been demonstrated once. Whether it travels, and what it costs when the national framework's self-description is thinner than TYMM's, is worth establishing.</w:t>
      </w:r>
    </w:p>
    <w:p>
      <w:pPr>
        <w:pStyle w:val="Heading1"/>
        <w:spacing w:after="160" w:before="400" w:line="300"/>
      </w:pPr>
      <w:r>
        <w:rPr>
          <w:rFonts w:ascii="Cambria" w:cs="Cambria" w:eastAsia="Cambria" w:hAnsi="Cambria"/>
          <w:b/>
          <w:bCs/>
          <w:color w:val="000000"/>
          <w:sz w:val="32"/>
          <w:szCs w:val="32"/>
        </w:rPr>
        <w:t xml:space="preserve">6. Conclusion</w:t>
      </w:r>
    </w:p>
    <w:p>
      <w:pPr>
        <w:spacing w:after="180" w:line="360"/>
      </w:pPr>
      <w:r>
        <w:rPr>
          <w:rFonts w:ascii="Cambria" w:cs="Cambria" w:eastAsia="Cambria" w:hAnsi="Cambria"/>
          <w:sz w:val="24"/>
          <w:szCs w:val="24"/>
        </w:rPr>
        <w:t xml:space="preserve">Learner profiles are the shortest and most exposed part of a curriculum, and the two examined here look alike. Each names ten qualities of an educated person and each is offered as the commitment organising everything else. Read at word level, they turn out to be doing different things, and the difference registers in grammar before it registers in content.</w:t>
      </w:r>
    </w:p>
    <w:p>
      <w:pPr>
        <w:spacing w:after="180" w:line="360"/>
      </w:pPr>
      <w:r>
        <w:rPr>
          <w:rFonts w:ascii="Cambria" w:cs="Cambria" w:eastAsia="Cambria" w:hAnsi="Cambria"/>
          <w:sz w:val="24"/>
          <w:szCs w:val="24"/>
        </w:rPr>
        <w:t xml:space="preserve">The IB profile is written in the first person plural and names no polity, language or tradition; the learner is addressed as already inside a collective that is never specified. TYMM's profile is written in the third person and names its collective repeatedly and precisely; the learner is described as a type the system intends to form, answerable to a flag, a language, a nation and a state. Where TYMM grants independence of thought or judgement it attaches a clause requiring consistency with values already held. The IB attaches nothing, and includes the learner's own culture among the things to be critically appreciated.</w:t>
      </w:r>
    </w:p>
    <w:p>
      <w:pPr>
        <w:spacing w:after="180" w:line="360"/>
      </w:pPr>
      <w:r>
        <w:rPr>
          <w:rFonts w:ascii="Cambria" w:cs="Cambria" w:eastAsia="Cambria" w:hAnsi="Cambria"/>
          <w:sz w:val="24"/>
          <w:szCs w:val="24"/>
        </w:rPr>
        <w:t xml:space="preserve">Neither pattern is a deficiency in the other's terms. TYMM's provisos follow from </w:t>
      </w:r>
      <w:r>
        <w:rPr>
          <w:rFonts w:ascii="Cambria" w:cs="Cambria" w:eastAsia="Cambria" w:hAnsi="Cambria"/>
          <w:i/>
          <w:iCs/>
          <w:sz w:val="24"/>
          <w:szCs w:val="24"/>
        </w:rPr>
        <w:t xml:space="preserve">aksiyolojik olgunluk</w:t>
      </w:r>
      <w:r>
        <w:rPr>
          <w:rFonts w:ascii="Cambria" w:cs="Cambria" w:eastAsia="Cambria" w:hAnsi="Cambria"/>
          <w:sz w:val="24"/>
          <w:szCs w:val="24"/>
        </w:rPr>
        <w:t xml:space="preserve">, its own construct, in which unanchored judgement is not mature judgement. The IB's silence about any particular collective is what allows one document to serve schools in 160 countries. What the comparison establishes is that these are incompatible answers to a real question, whether formation has a fixed point, and that the incompatibility cannot be dissolved by proposing a blend.</w:t>
      </w:r>
    </w:p>
    <w:p>
      <w:pPr>
        <w:spacing w:after="180" w:line="360"/>
      </w:pPr>
      <w:r>
        <w:rPr>
          <w:rFonts w:ascii="Cambria" w:cs="Cambria" w:eastAsia="Cambria" w:hAnsi="Cambria"/>
          <w:sz w:val="24"/>
          <w:szCs w:val="24"/>
        </w:rPr>
        <w:t xml:space="preserve">The wider claim is methodological. Comparative work on learner profiles has largely compared their contents, and their contents are the part most likely to converge, because the genre's conventions push every system toward naming inquiry, integrity and care. What does not converge is the form: who speaks, who is named, and what is held constant when the learner meets something unfamiliar. Reading for those properties makes visible a set of commitments that a value inventory leaves on the page unread.</w:t>
      </w:r>
    </w:p>
    <w:p>
      <w:pPr>
        <w:pStyle w:val="Heading1"/>
        <w:spacing w:after="160" w:before="400" w:line="300"/>
      </w:pPr>
      <w:r>
        <w:rPr>
          <w:rFonts w:ascii="Cambria" w:cs="Cambria" w:eastAsia="Cambria" w:hAnsi="Cambria"/>
          <w:b/>
          <w:bCs/>
          <w:color w:val="000000"/>
          <w:sz w:val="32"/>
          <w:szCs w:val="32"/>
        </w:rPr>
        <w:t xml:space="preserve">References</w:t>
      </w:r>
    </w:p>
    <w:p>
      <w:pPr>
        <w:spacing w:after="180" w:line="360"/>
      </w:pPr>
      <w:r>
        <w:rPr>
          <w:rFonts w:ascii="Cambria" w:cs="Cambria" w:eastAsia="Cambria" w:hAnsi="Cambria"/>
          <w:sz w:val="24"/>
          <w:szCs w:val="24"/>
        </w:rPr>
        <w:t xml:space="preserve">Every entry below was checked against an indexed record. DOIs are given where one was verified and omitted where none could be confirmed; a plausible-looking DOI is not supplied for any entry.</w:t>
      </w:r>
    </w:p>
    <w:p>
      <w:pPr>
        <w:spacing w:after="180" w:line="360"/>
      </w:pPr>
      <w:r>
        <w:rPr>
          <w:rFonts w:ascii="Cambria" w:cs="Cambria" w:eastAsia="Cambria" w:hAnsi="Cambria"/>
          <w:sz w:val="24"/>
          <w:szCs w:val="24"/>
        </w:rPr>
        <w:t xml:space="preserve">Apple, M. W. (2004). </w:t>
      </w:r>
      <w:r>
        <w:rPr>
          <w:rFonts w:ascii="Cambria" w:cs="Cambria" w:eastAsia="Cambria" w:hAnsi="Cambria"/>
          <w:i/>
          <w:iCs/>
          <w:sz w:val="24"/>
          <w:szCs w:val="24"/>
        </w:rPr>
        <w:t xml:space="preserve">Ideology and curriculum</w:t>
      </w:r>
      <w:r>
        <w:rPr>
          <w:rFonts w:ascii="Cambria" w:cs="Cambria" w:eastAsia="Cambria" w:hAnsi="Cambria"/>
          <w:sz w:val="24"/>
          <w:szCs w:val="24"/>
        </w:rPr>
        <w:t xml:space="preserve"> (3rd ed.). Routledge. https://doi.org/10.4324/9780203487563</w:t>
      </w:r>
    </w:p>
    <w:p>
      <w:pPr>
        <w:spacing w:after="180" w:line="360"/>
      </w:pPr>
      <w:r>
        <w:rPr>
          <w:rFonts w:ascii="Cambria" w:cs="Cambria" w:eastAsia="Cambria" w:hAnsi="Cambria"/>
          <w:sz w:val="24"/>
          <w:szCs w:val="24"/>
        </w:rPr>
        <w:t xml:space="preserve">Ball, S. J. (1994). </w:t>
      </w:r>
      <w:r>
        <w:rPr>
          <w:rFonts w:ascii="Cambria" w:cs="Cambria" w:eastAsia="Cambria" w:hAnsi="Cambria"/>
          <w:i/>
          <w:iCs/>
          <w:sz w:val="24"/>
          <w:szCs w:val="24"/>
        </w:rPr>
        <w:t xml:space="preserve">Education reform: A critical and post-structural approach</w:t>
      </w:r>
      <w:r>
        <w:rPr>
          <w:rFonts w:ascii="Cambria" w:cs="Cambria" w:eastAsia="Cambria" w:hAnsi="Cambria"/>
          <w:sz w:val="24"/>
          <w:szCs w:val="24"/>
        </w:rPr>
        <w:t xml:space="preserve">. Open University Press.</w:t>
      </w:r>
    </w:p>
    <w:p>
      <w:pPr>
        <w:spacing w:after="180" w:line="360"/>
      </w:pPr>
      <w:r>
        <w:rPr>
          <w:rFonts w:ascii="Cambria" w:cs="Cambria" w:eastAsia="Cambria" w:hAnsi="Cambria"/>
          <w:sz w:val="24"/>
          <w:szCs w:val="24"/>
        </w:rPr>
        <w:t xml:space="preserve">Bayrak, B. (2025). </w:t>
      </w:r>
      <w:r>
        <w:rPr>
          <w:rFonts w:ascii="Cambria" w:cs="Cambria" w:eastAsia="Cambria" w:hAnsi="Cambria"/>
          <w:i/>
          <w:iCs/>
          <w:sz w:val="24"/>
          <w:szCs w:val="24"/>
        </w:rPr>
        <w:t xml:space="preserve">Türkiye Yüzyılı Maarif Modelindeki yetkin ve erdemli insan niteliklerinin Kutadgu Bilig eseriyle karşılaştırılması</w:t>
      </w:r>
      <w:r>
        <w:rPr>
          <w:rFonts w:ascii="Cambria" w:cs="Cambria" w:eastAsia="Cambria" w:hAnsi="Cambria"/>
          <w:sz w:val="24"/>
          <w:szCs w:val="24"/>
        </w:rPr>
        <w:t xml:space="preserve">. Özgür Yayınları. https://doi.org/10.58830/ozgur.pub1082.c4282</w:t>
      </w:r>
    </w:p>
    <w:p>
      <w:pPr>
        <w:spacing w:after="180" w:line="360"/>
      </w:pPr>
      <w:r>
        <w:rPr>
          <w:rFonts w:ascii="Cambria" w:cs="Cambria" w:eastAsia="Cambria" w:hAnsi="Cambria"/>
          <w:sz w:val="24"/>
          <w:szCs w:val="24"/>
        </w:rPr>
        <w:t xml:space="preserve">Bereday, G. Z. F. (1964). </w:t>
      </w:r>
      <w:r>
        <w:rPr>
          <w:rFonts w:ascii="Cambria" w:cs="Cambria" w:eastAsia="Cambria" w:hAnsi="Cambria"/>
          <w:i/>
          <w:iCs/>
          <w:sz w:val="24"/>
          <w:szCs w:val="24"/>
        </w:rPr>
        <w:t xml:space="preserve">Comparative method in education</w:t>
      </w:r>
      <w:r>
        <w:rPr>
          <w:rFonts w:ascii="Cambria" w:cs="Cambria" w:eastAsia="Cambria" w:hAnsi="Cambria"/>
          <w:sz w:val="24"/>
          <w:szCs w:val="24"/>
        </w:rPr>
        <w:t xml:space="preserve">. Holt, Rinehart &amp; Winston.</w:t>
      </w:r>
    </w:p>
    <w:p>
      <w:pPr>
        <w:spacing w:after="180" w:line="360"/>
      </w:pPr>
      <w:r>
        <w:rPr>
          <w:rFonts w:ascii="Cambria" w:cs="Cambria" w:eastAsia="Cambria" w:hAnsi="Cambria"/>
          <w:sz w:val="24"/>
          <w:szCs w:val="24"/>
        </w:rPr>
        <w:t xml:space="preserve">Biesta, G. (2010). </w:t>
      </w:r>
      <w:r>
        <w:rPr>
          <w:rFonts w:ascii="Cambria" w:cs="Cambria" w:eastAsia="Cambria" w:hAnsi="Cambria"/>
          <w:i/>
          <w:iCs/>
          <w:sz w:val="24"/>
          <w:szCs w:val="24"/>
        </w:rPr>
        <w:t xml:space="preserve">Good education in an age of measurement: Ethics, politics, democracy</w:t>
      </w:r>
      <w:r>
        <w:rPr>
          <w:rFonts w:ascii="Cambria" w:cs="Cambria" w:eastAsia="Cambria" w:hAnsi="Cambria"/>
          <w:sz w:val="24"/>
          <w:szCs w:val="24"/>
        </w:rPr>
        <w:t xml:space="preserve">. Paradigm Publishers.</w:t>
      </w:r>
    </w:p>
    <w:p>
      <w:pPr>
        <w:spacing w:after="180" w:line="360"/>
      </w:pPr>
      <w:r>
        <w:rPr>
          <w:rFonts w:ascii="Cambria" w:cs="Cambria" w:eastAsia="Cambria" w:hAnsi="Cambria"/>
          <w:sz w:val="24"/>
          <w:szCs w:val="24"/>
        </w:rPr>
        <w:t xml:space="preserve">Bunnell, T. (2010). The International Baccalaureate and a framework for class consciousness: The potential outcomes of a 'class-for-itself'. </w:t>
      </w:r>
      <w:r>
        <w:rPr>
          <w:rFonts w:ascii="Cambria" w:cs="Cambria" w:eastAsia="Cambria" w:hAnsi="Cambria"/>
          <w:i/>
          <w:iCs/>
          <w:sz w:val="24"/>
          <w:szCs w:val="24"/>
        </w:rPr>
        <w:t xml:space="preserve">Discourse: Studies in the Cultural Politics of Education, 31</w:t>
      </w:r>
      <w:r>
        <w:rPr>
          <w:rFonts w:ascii="Cambria" w:cs="Cambria" w:eastAsia="Cambria" w:hAnsi="Cambria"/>
          <w:sz w:val="24"/>
          <w:szCs w:val="24"/>
        </w:rPr>
        <w:t xml:space="preserve">(3), 351–362. https://doi.org/10.1080/01596301003786969</w:t>
      </w:r>
    </w:p>
    <w:p>
      <w:pPr>
        <w:spacing w:after="180" w:line="360"/>
      </w:pPr>
      <w:r>
        <w:rPr>
          <w:rFonts w:ascii="Cambria" w:cs="Cambria" w:eastAsia="Cambria" w:hAnsi="Cambria"/>
          <w:sz w:val="24"/>
          <w:szCs w:val="24"/>
        </w:rPr>
        <w:t xml:space="preserve">Cassin, B. (Ed.). (2014). </w:t>
      </w:r>
      <w:r>
        <w:rPr>
          <w:rFonts w:ascii="Cambria" w:cs="Cambria" w:eastAsia="Cambria" w:hAnsi="Cambria"/>
          <w:i/>
          <w:iCs/>
          <w:sz w:val="24"/>
          <w:szCs w:val="24"/>
        </w:rPr>
        <w:t xml:space="preserve">Dictionary of untranslatables: A philosophical lexicon</w:t>
      </w:r>
      <w:r>
        <w:rPr>
          <w:rFonts w:ascii="Cambria" w:cs="Cambria" w:eastAsia="Cambria" w:hAnsi="Cambria"/>
          <w:sz w:val="24"/>
          <w:szCs w:val="24"/>
        </w:rPr>
        <w:t xml:space="preserve">. Princeton University Press.</w:t>
      </w:r>
    </w:p>
    <w:p>
      <w:pPr>
        <w:spacing w:after="180" w:line="360"/>
      </w:pPr>
      <w:r>
        <w:rPr>
          <w:rFonts w:ascii="Cambria" w:cs="Cambria" w:eastAsia="Cambria" w:hAnsi="Cambria"/>
          <w:sz w:val="24"/>
          <w:szCs w:val="24"/>
        </w:rPr>
        <w:t xml:space="preserve">Charmaz, K. (2014). </w:t>
      </w:r>
      <w:r>
        <w:rPr>
          <w:rFonts w:ascii="Cambria" w:cs="Cambria" w:eastAsia="Cambria" w:hAnsi="Cambria"/>
          <w:i/>
          <w:iCs/>
          <w:sz w:val="24"/>
          <w:szCs w:val="24"/>
        </w:rPr>
        <w:t xml:space="preserve">Constructing grounded theory</w:t>
      </w:r>
      <w:r>
        <w:rPr>
          <w:rFonts w:ascii="Cambria" w:cs="Cambria" w:eastAsia="Cambria" w:hAnsi="Cambria"/>
          <w:sz w:val="24"/>
          <w:szCs w:val="24"/>
        </w:rPr>
        <w:t xml:space="preserve"> (2nd ed.). SAGE.</w:t>
      </w:r>
    </w:p>
    <w:p>
      <w:pPr>
        <w:spacing w:after="180" w:line="360"/>
      </w:pPr>
      <w:r>
        <w:rPr>
          <w:rFonts w:ascii="Cambria" w:cs="Cambria" w:eastAsia="Cambria" w:hAnsi="Cambria"/>
          <w:sz w:val="24"/>
          <w:szCs w:val="24"/>
        </w:rPr>
        <w:t xml:space="preserve">Deng, Z., &amp; Luke, A. (2008). Subject matter: Defining and theorizing school subjects. In F. M. Connelly, M. F. He, &amp; J. Phillion (Eds.), </w:t>
      </w:r>
      <w:r>
        <w:rPr>
          <w:rFonts w:ascii="Cambria" w:cs="Cambria" w:eastAsia="Cambria" w:hAnsi="Cambria"/>
          <w:i/>
          <w:iCs/>
          <w:sz w:val="24"/>
          <w:szCs w:val="24"/>
        </w:rPr>
        <w:t xml:space="preserve">The SAGE handbook of curriculum and instruction</w:t>
      </w:r>
      <w:r>
        <w:rPr>
          <w:rFonts w:ascii="Cambria" w:cs="Cambria" w:eastAsia="Cambria" w:hAnsi="Cambria"/>
          <w:sz w:val="24"/>
          <w:szCs w:val="24"/>
        </w:rPr>
        <w:t xml:space="preserve"> (pp. 66–88). SAGE. https://doi.org/10.4135/9781412976572.n4</w:t>
      </w:r>
    </w:p>
    <w:p>
      <w:pPr>
        <w:spacing w:after="180" w:line="360"/>
      </w:pPr>
      <w:r>
        <w:rPr>
          <w:rFonts w:ascii="Cambria" w:cs="Cambria" w:eastAsia="Cambria" w:hAnsi="Cambria"/>
          <w:sz w:val="24"/>
          <w:szCs w:val="24"/>
        </w:rPr>
        <w:t xml:space="preserve">Fairclough, N. (2003). </w:t>
      </w:r>
      <w:r>
        <w:rPr>
          <w:rFonts w:ascii="Cambria" w:cs="Cambria" w:eastAsia="Cambria" w:hAnsi="Cambria"/>
          <w:i/>
          <w:iCs/>
          <w:sz w:val="24"/>
          <w:szCs w:val="24"/>
        </w:rPr>
        <w:t xml:space="preserve">Analysing discourse: Textual analysis for social research</w:t>
      </w:r>
      <w:r>
        <w:rPr>
          <w:rFonts w:ascii="Cambria" w:cs="Cambria" w:eastAsia="Cambria" w:hAnsi="Cambria"/>
          <w:sz w:val="24"/>
          <w:szCs w:val="24"/>
        </w:rPr>
        <w:t xml:space="preserve">. Routledge. https://doi.org/10.4324/9780203697078</w:t>
      </w:r>
    </w:p>
    <w:p>
      <w:pPr>
        <w:spacing w:after="180" w:line="360"/>
      </w:pPr>
      <w:r>
        <w:rPr>
          <w:rFonts w:ascii="Cambria" w:cs="Cambria" w:eastAsia="Cambria" w:hAnsi="Cambria"/>
          <w:sz w:val="24"/>
          <w:szCs w:val="24"/>
        </w:rPr>
        <w:t xml:space="preserve">Hill, I. (2012). Evolution of education for international mindedness. </w:t>
      </w:r>
      <w:r>
        <w:rPr>
          <w:rFonts w:ascii="Cambria" w:cs="Cambria" w:eastAsia="Cambria" w:hAnsi="Cambria"/>
          <w:i/>
          <w:iCs/>
          <w:sz w:val="24"/>
          <w:szCs w:val="24"/>
        </w:rPr>
        <w:t xml:space="preserve">Journal of Research in International Education, 11</w:t>
      </w:r>
      <w:r>
        <w:rPr>
          <w:rFonts w:ascii="Cambria" w:cs="Cambria" w:eastAsia="Cambria" w:hAnsi="Cambria"/>
          <w:sz w:val="24"/>
          <w:szCs w:val="24"/>
        </w:rPr>
        <w:t xml:space="preserve">(3), 245–261. https://doi.org/10.1177/1475240912461990</w:t>
      </w:r>
    </w:p>
    <w:p>
      <w:pPr>
        <w:spacing w:after="180" w:line="360"/>
      </w:pPr>
      <w:r>
        <w:rPr>
          <w:rFonts w:ascii="Cambria" w:cs="Cambria" w:eastAsia="Cambria" w:hAnsi="Cambria"/>
          <w:sz w:val="24"/>
          <w:szCs w:val="24"/>
        </w:rPr>
        <w:t xml:space="preserve">International Baccalaureate Organization. (2017). </w:t>
      </w:r>
      <w:r>
        <w:rPr>
          <w:rFonts w:ascii="Cambria" w:cs="Cambria" w:eastAsia="Cambria" w:hAnsi="Cambria"/>
          <w:i/>
          <w:iCs/>
          <w:sz w:val="24"/>
          <w:szCs w:val="24"/>
        </w:rPr>
        <w:t xml:space="preserve">IB learner profile</w:t>
      </w:r>
      <w:r>
        <w:rPr>
          <w:rFonts w:ascii="Cambria" w:cs="Cambria" w:eastAsia="Cambria" w:hAnsi="Cambria"/>
          <w:sz w:val="24"/>
          <w:szCs w:val="24"/>
        </w:rPr>
        <w:t xml:space="preserve">. IBO.</w:t>
      </w:r>
    </w:p>
    <w:p>
      <w:pPr>
        <w:spacing w:after="180" w:line="360"/>
      </w:pPr>
      <w:r>
        <w:rPr>
          <w:rFonts w:ascii="Cambria" w:cs="Cambria" w:eastAsia="Cambria" w:hAnsi="Cambria"/>
          <w:sz w:val="24"/>
          <w:szCs w:val="24"/>
        </w:rPr>
        <w:t xml:space="preserve">International Baccalaureate Organization. (2017). </w:t>
      </w:r>
      <w:r>
        <w:rPr>
          <w:rFonts w:ascii="Cambria" w:cs="Cambria" w:eastAsia="Cambria" w:hAnsi="Cambria"/>
          <w:i/>
          <w:iCs/>
          <w:sz w:val="24"/>
          <w:szCs w:val="24"/>
        </w:rPr>
        <w:t xml:space="preserve">What is an IB education?</w:t>
      </w:r>
      <w:r>
        <w:rPr>
          <w:rFonts w:ascii="Cambria" w:cs="Cambria" w:eastAsia="Cambria" w:hAnsi="Cambria"/>
          <w:sz w:val="24"/>
          <w:szCs w:val="24"/>
        </w:rPr>
        <w:t xml:space="preserve"> IBO.</w:t>
      </w:r>
    </w:p>
    <w:p>
      <w:pPr>
        <w:spacing w:after="180" w:line="360"/>
      </w:pPr>
      <w:r>
        <w:rPr>
          <w:rFonts w:ascii="Cambria" w:cs="Cambria" w:eastAsia="Cambria" w:hAnsi="Cambria"/>
          <w:sz w:val="24"/>
          <w:szCs w:val="24"/>
        </w:rPr>
        <w:t xml:space="preserve">Kadıoğlu Ateş, H. (2024). Türkiye Yüzyılı Maarif Modelinde bahsedilen öğrenci profili "yetkin ve erdemli insan"a ulaşmanın yolu. </w:t>
      </w:r>
      <w:r>
        <w:rPr>
          <w:rFonts w:ascii="Cambria" w:cs="Cambria" w:eastAsia="Cambria" w:hAnsi="Cambria"/>
          <w:i/>
          <w:iCs/>
          <w:sz w:val="24"/>
          <w:szCs w:val="24"/>
        </w:rPr>
        <w:t xml:space="preserve">The Journal of Social Sciences, 71</w:t>
      </w:r>
      <w:r>
        <w:rPr>
          <w:rFonts w:ascii="Cambria" w:cs="Cambria" w:eastAsia="Cambria" w:hAnsi="Cambria"/>
          <w:sz w:val="24"/>
          <w:szCs w:val="24"/>
        </w:rPr>
        <w:t xml:space="preserve">(71), 13–35. https://doi.org/10.29228/sobider.77101</w:t>
      </w:r>
    </w:p>
    <w:p>
      <w:pPr>
        <w:spacing w:after="180" w:line="360"/>
      </w:pPr>
      <w:r>
        <w:rPr>
          <w:rFonts w:ascii="Cambria" w:cs="Cambria" w:eastAsia="Cambria" w:hAnsi="Cambria"/>
          <w:sz w:val="24"/>
          <w:szCs w:val="24"/>
        </w:rPr>
        <w:t xml:space="preserve">Karaoğulları, N. (2026). Türkiye Yüzyılı Maarif Modeli Öğretim Programları Ortak Metni'nde belirtilen "Yetkin ve Erdemli İnsan" öğrenci profili açısından Mavi Ada Kaybolan Çocuğun Hikâyesi'nin incelenmesi. </w:t>
      </w:r>
      <w:r>
        <w:rPr>
          <w:rFonts w:ascii="Cambria" w:cs="Cambria" w:eastAsia="Cambria" w:hAnsi="Cambria"/>
          <w:i/>
          <w:iCs/>
          <w:sz w:val="24"/>
          <w:szCs w:val="24"/>
        </w:rPr>
        <w:t xml:space="preserve">Avrasya Beşeri Bilim Araştırmaları Dergisi</w:t>
      </w:r>
      <w:r>
        <w:rPr>
          <w:rFonts w:ascii="Cambria" w:cs="Cambria" w:eastAsia="Cambria" w:hAnsi="Cambria"/>
          <w:sz w:val="24"/>
          <w:szCs w:val="24"/>
        </w:rPr>
        <w:t xml:space="preserve">, (1), 1–10. https://doi.org/10.7596/abbad.1814043</w:t>
      </w:r>
    </w:p>
    <w:p>
      <w:pPr>
        <w:spacing w:after="180" w:line="360"/>
      </w:pPr>
      <w:r>
        <w:rPr>
          <w:rFonts w:ascii="Cambria" w:cs="Cambria" w:eastAsia="Cambria" w:hAnsi="Cambria"/>
          <w:sz w:val="24"/>
          <w:szCs w:val="24"/>
        </w:rPr>
        <w:t xml:space="preserve">Lincoln, Y. S., &amp; Guba, E. G. (1985). </w:t>
      </w:r>
      <w:r>
        <w:rPr>
          <w:rFonts w:ascii="Cambria" w:cs="Cambria" w:eastAsia="Cambria" w:hAnsi="Cambria"/>
          <w:i/>
          <w:iCs/>
          <w:sz w:val="24"/>
          <w:szCs w:val="24"/>
        </w:rPr>
        <w:t xml:space="preserve">Naturalistic inquiry</w:t>
      </w:r>
      <w:r>
        <w:rPr>
          <w:rFonts w:ascii="Cambria" w:cs="Cambria" w:eastAsia="Cambria" w:hAnsi="Cambria"/>
          <w:sz w:val="24"/>
          <w:szCs w:val="24"/>
        </w:rPr>
        <w:t xml:space="preserve">. SAGE.</w:t>
      </w:r>
    </w:p>
    <w:p>
      <w:pPr>
        <w:spacing w:after="180" w:line="360"/>
      </w:pPr>
      <w:r>
        <w:rPr>
          <w:rFonts w:ascii="Cambria" w:cs="Cambria" w:eastAsia="Cambria" w:hAnsi="Cambria"/>
          <w:sz w:val="24"/>
          <w:szCs w:val="24"/>
        </w:rPr>
        <w:t xml:space="preserve">MacIntyre, A. (1981). </w:t>
      </w:r>
      <w:r>
        <w:rPr>
          <w:rFonts w:ascii="Cambria" w:cs="Cambria" w:eastAsia="Cambria" w:hAnsi="Cambria"/>
          <w:i/>
          <w:iCs/>
          <w:sz w:val="24"/>
          <w:szCs w:val="24"/>
        </w:rPr>
        <w:t xml:space="preserve">After virtue: A study in moral theory</w:t>
      </w:r>
      <w:r>
        <w:rPr>
          <w:rFonts w:ascii="Cambria" w:cs="Cambria" w:eastAsia="Cambria" w:hAnsi="Cambria"/>
          <w:sz w:val="24"/>
          <w:szCs w:val="24"/>
        </w:rPr>
        <w:t xml:space="preserve">. University of Notre Dame Press.</w:t>
      </w:r>
    </w:p>
    <w:p>
      <w:pPr>
        <w:spacing w:after="180" w:line="360"/>
      </w:pPr>
      <w:r>
        <w:rPr>
          <w:rFonts w:ascii="Cambria" w:cs="Cambria" w:eastAsia="Cambria" w:hAnsi="Cambria"/>
          <w:sz w:val="24"/>
          <w:szCs w:val="24"/>
        </w:rPr>
        <w:t xml:space="preserve">Manzon, M. (2011). </w:t>
      </w:r>
      <w:r>
        <w:rPr>
          <w:rFonts w:ascii="Cambria" w:cs="Cambria" w:eastAsia="Cambria" w:hAnsi="Cambria"/>
          <w:i/>
          <w:iCs/>
          <w:sz w:val="24"/>
          <w:szCs w:val="24"/>
        </w:rPr>
        <w:t xml:space="preserve">Comparative education: The construction of a field</w:t>
      </w:r>
      <w:r>
        <w:rPr>
          <w:rFonts w:ascii="Cambria" w:cs="Cambria" w:eastAsia="Cambria" w:hAnsi="Cambria"/>
          <w:sz w:val="24"/>
          <w:szCs w:val="24"/>
        </w:rPr>
        <w:t xml:space="preserve">. Springer/Comparative Education Research Centre, University of Hong Kong.</w:t>
      </w:r>
    </w:p>
    <w:p>
      <w:pPr>
        <w:spacing w:after="180" w:line="360"/>
      </w:pPr>
      <w:r>
        <w:rPr>
          <w:rFonts w:ascii="Cambria" w:cs="Cambria" w:eastAsia="Cambria" w:hAnsi="Cambria"/>
          <w:sz w:val="24"/>
          <w:szCs w:val="24"/>
        </w:rPr>
        <w:t xml:space="preserve">Metlí, A., &amp; Lane, J. F. (2020). International mindedness: A revised conceptual framework. </w:t>
      </w:r>
      <w:r>
        <w:rPr>
          <w:rFonts w:ascii="Cambria" w:cs="Cambria" w:eastAsia="Cambria" w:hAnsi="Cambria"/>
          <w:i/>
          <w:iCs/>
          <w:sz w:val="24"/>
          <w:szCs w:val="24"/>
        </w:rPr>
        <w:t xml:space="preserve">Journal of Research in International Education, 19</w:t>
      </w:r>
      <w:r>
        <w:rPr>
          <w:rFonts w:ascii="Cambria" w:cs="Cambria" w:eastAsia="Cambria" w:hAnsi="Cambria"/>
          <w:sz w:val="24"/>
          <w:szCs w:val="24"/>
        </w:rPr>
        <w:t xml:space="preserve">(3), 202–219. https://doi.org/10.1177/1475240920976229</w:t>
      </w:r>
    </w:p>
    <w:p>
      <w:pPr>
        <w:spacing w:after="180" w:line="360"/>
      </w:pPr>
      <w:r>
        <w:rPr>
          <w:rFonts w:ascii="Cambria" w:cs="Cambria" w:eastAsia="Cambria" w:hAnsi="Cambria"/>
          <w:sz w:val="24"/>
          <w:szCs w:val="24"/>
        </w:rPr>
        <w:t xml:space="preserve">Millî Eğitim Bakanlığı. (2025). </w:t>
      </w:r>
      <w:r>
        <w:rPr>
          <w:rFonts w:ascii="Cambria" w:cs="Cambria" w:eastAsia="Cambria" w:hAnsi="Cambria"/>
          <w:i/>
          <w:iCs/>
          <w:sz w:val="24"/>
          <w:szCs w:val="24"/>
        </w:rPr>
        <w:t xml:space="preserve">Türkiye Yüzyılı Maarif Modeli: Öğretim programları ortak metni</w:t>
      </w:r>
      <w:r>
        <w:rPr>
          <w:rFonts w:ascii="Cambria" w:cs="Cambria" w:eastAsia="Cambria" w:hAnsi="Cambria"/>
          <w:sz w:val="24"/>
          <w:szCs w:val="24"/>
        </w:rPr>
        <w:t xml:space="preserve">. MEB.</w:t>
      </w:r>
    </w:p>
    <w:p>
      <w:pPr>
        <w:spacing w:after="180" w:line="360"/>
      </w:pPr>
      <w:r>
        <w:rPr>
          <w:rFonts w:ascii="Cambria" w:cs="Cambria" w:eastAsia="Cambria" w:hAnsi="Cambria"/>
          <w:sz w:val="24"/>
          <w:szCs w:val="24"/>
        </w:rPr>
        <w:t xml:space="preserve">Nussbaum, M. C. (1997). </w:t>
      </w:r>
      <w:r>
        <w:rPr>
          <w:rFonts w:ascii="Cambria" w:cs="Cambria" w:eastAsia="Cambria" w:hAnsi="Cambria"/>
          <w:i/>
          <w:iCs/>
          <w:sz w:val="24"/>
          <w:szCs w:val="24"/>
        </w:rPr>
        <w:t xml:space="preserve">Cultivating humanity: A classical defense of reform in liberal education</w:t>
      </w:r>
      <w:r>
        <w:rPr>
          <w:rFonts w:ascii="Cambria" w:cs="Cambria" w:eastAsia="Cambria" w:hAnsi="Cambria"/>
          <w:sz w:val="24"/>
          <w:szCs w:val="24"/>
        </w:rPr>
        <w:t xml:space="preserve">. Harvard University Press.</w:t>
      </w:r>
    </w:p>
    <w:p>
      <w:pPr>
        <w:spacing w:after="180" w:line="360"/>
      </w:pPr>
      <w:r>
        <w:rPr>
          <w:rFonts w:ascii="Cambria" w:cs="Cambria" w:eastAsia="Cambria" w:hAnsi="Cambria"/>
          <w:sz w:val="24"/>
          <w:szCs w:val="24"/>
        </w:rPr>
        <w:t xml:space="preserve">Prior, L. (2003). </w:t>
      </w:r>
      <w:r>
        <w:rPr>
          <w:rFonts w:ascii="Cambria" w:cs="Cambria" w:eastAsia="Cambria" w:hAnsi="Cambria"/>
          <w:i/>
          <w:iCs/>
          <w:sz w:val="24"/>
          <w:szCs w:val="24"/>
        </w:rPr>
        <w:t xml:space="preserve">Using documents in social research</w:t>
      </w:r>
      <w:r>
        <w:rPr>
          <w:rFonts w:ascii="Cambria" w:cs="Cambria" w:eastAsia="Cambria" w:hAnsi="Cambria"/>
          <w:sz w:val="24"/>
          <w:szCs w:val="24"/>
        </w:rPr>
        <w:t xml:space="preserve">. SAGE.</w:t>
      </w:r>
    </w:p>
    <w:p>
      <w:pPr>
        <w:spacing w:after="180" w:line="360"/>
      </w:pPr>
      <w:r>
        <w:rPr>
          <w:rFonts w:ascii="Cambria" w:cs="Cambria" w:eastAsia="Cambria" w:hAnsi="Cambria"/>
          <w:sz w:val="24"/>
          <w:szCs w:val="24"/>
        </w:rPr>
        <w:t xml:space="preserve">Resnik, J. (2012). Sociology of international education — An emerging field of research. </w:t>
      </w:r>
      <w:r>
        <w:rPr>
          <w:rFonts w:ascii="Cambria" w:cs="Cambria" w:eastAsia="Cambria" w:hAnsi="Cambria"/>
          <w:i/>
          <w:iCs/>
          <w:sz w:val="24"/>
          <w:szCs w:val="24"/>
        </w:rPr>
        <w:t xml:space="preserve">International Studies in Sociology of Education, 22</w:t>
      </w:r>
      <w:r>
        <w:rPr>
          <w:rFonts w:ascii="Cambria" w:cs="Cambria" w:eastAsia="Cambria" w:hAnsi="Cambria"/>
          <w:sz w:val="24"/>
          <w:szCs w:val="24"/>
        </w:rPr>
        <w:t xml:space="preserve">(4), 291–310. https://doi.org/10.1080/09620214.2012.751203</w:t>
      </w:r>
    </w:p>
    <w:p>
      <w:pPr>
        <w:spacing w:after="180" w:line="360"/>
      </w:pPr>
      <w:r>
        <w:rPr>
          <w:rFonts w:ascii="Cambria" w:cs="Cambria" w:eastAsia="Cambria" w:hAnsi="Cambria"/>
          <w:sz w:val="24"/>
          <w:szCs w:val="24"/>
        </w:rPr>
        <w:t xml:space="preserve">Schiro, M. S. (2008). </w:t>
      </w:r>
      <w:r>
        <w:rPr>
          <w:rFonts w:ascii="Cambria" w:cs="Cambria" w:eastAsia="Cambria" w:hAnsi="Cambria"/>
          <w:i/>
          <w:iCs/>
          <w:sz w:val="24"/>
          <w:szCs w:val="24"/>
        </w:rPr>
        <w:t xml:space="preserve">Curriculum theory: Conflicting visions and enduring concerns</w:t>
      </w:r>
      <w:r>
        <w:rPr>
          <w:rFonts w:ascii="Cambria" w:cs="Cambria" w:eastAsia="Cambria" w:hAnsi="Cambria"/>
          <w:sz w:val="24"/>
          <w:szCs w:val="24"/>
        </w:rPr>
        <w:t xml:space="preserve">. SAGE.</w:t>
      </w:r>
    </w:p>
    <w:p>
      <w:pPr>
        <w:spacing w:after="180" w:line="360"/>
      </w:pPr>
      <w:r>
        <w:rPr>
          <w:rFonts w:ascii="Cambria" w:cs="Cambria" w:eastAsia="Cambria" w:hAnsi="Cambria"/>
          <w:sz w:val="24"/>
          <w:szCs w:val="24"/>
        </w:rPr>
        <w:t xml:space="preserve">Takayama, K., Sriprakash, A., &amp; Connell, R. (2017). Toward a postcolonial comparative and international education. </w:t>
      </w:r>
      <w:r>
        <w:rPr>
          <w:rFonts w:ascii="Cambria" w:cs="Cambria" w:eastAsia="Cambria" w:hAnsi="Cambria"/>
          <w:i/>
          <w:iCs/>
          <w:sz w:val="24"/>
          <w:szCs w:val="24"/>
        </w:rPr>
        <w:t xml:space="preserve">Comparative Education Review, 61</w:t>
      </w:r>
      <w:r>
        <w:rPr>
          <w:rFonts w:ascii="Cambria" w:cs="Cambria" w:eastAsia="Cambria" w:hAnsi="Cambria"/>
          <w:sz w:val="24"/>
          <w:szCs w:val="24"/>
        </w:rPr>
        <w:t xml:space="preserve">(S1), S1–S24. https://doi.org/10.1086/690455</w:t>
      </w:r>
    </w:p>
    <w:p>
      <w:pPr>
        <w:spacing w:after="180" w:line="360"/>
      </w:pPr>
      <w:r>
        <w:rPr>
          <w:rFonts w:ascii="Cambria" w:cs="Cambria" w:eastAsia="Cambria" w:hAnsi="Cambria"/>
          <w:sz w:val="24"/>
          <w:szCs w:val="24"/>
        </w:rPr>
        <w:t xml:space="preserve">Tocci, C., Ryan, A. M., &amp; Ensminger, D. C. (2021). Teaching for international mindedness in Chicago Public Schools International Baccalaureate humanities classes. </w:t>
      </w:r>
      <w:r>
        <w:rPr>
          <w:rFonts w:ascii="Cambria" w:cs="Cambria" w:eastAsia="Cambria" w:hAnsi="Cambria"/>
          <w:i/>
          <w:iCs/>
          <w:sz w:val="24"/>
          <w:szCs w:val="24"/>
        </w:rPr>
        <w:t xml:space="preserve">Social Studies Research and Practice, 17</w:t>
      </w:r>
      <w:r>
        <w:rPr>
          <w:rFonts w:ascii="Cambria" w:cs="Cambria" w:eastAsia="Cambria" w:hAnsi="Cambria"/>
          <w:sz w:val="24"/>
          <w:szCs w:val="24"/>
        </w:rPr>
        <w:t xml:space="preserve">(1), 30–49. https://doi.org/10.1108/SSRP-09-2020-0040</w:t>
      </w:r>
    </w:p>
    <w:p>
      <w:pPr>
        <w:spacing w:after="180" w:line="360"/>
      </w:pPr>
      <w:r>
        <w:rPr>
          <w:rFonts w:ascii="Cambria" w:cs="Cambria" w:eastAsia="Cambria" w:hAnsi="Cambria"/>
          <w:sz w:val="24"/>
          <w:szCs w:val="24"/>
        </w:rPr>
        <w:t xml:space="preserve">Wells, J. M. (2011). International education, values and attitudes: A critical analysis of the International Baccalaureate (IB) Learner Profile. </w:t>
      </w:r>
      <w:r>
        <w:rPr>
          <w:rFonts w:ascii="Cambria" w:cs="Cambria" w:eastAsia="Cambria" w:hAnsi="Cambria"/>
          <w:i/>
          <w:iCs/>
          <w:sz w:val="24"/>
          <w:szCs w:val="24"/>
        </w:rPr>
        <w:t xml:space="preserve">Journal of Research in International Education, 10</w:t>
      </w:r>
      <w:r>
        <w:rPr>
          <w:rFonts w:ascii="Cambria" w:cs="Cambria" w:eastAsia="Cambria" w:hAnsi="Cambria"/>
          <w:sz w:val="24"/>
          <w:szCs w:val="24"/>
        </w:rPr>
        <w:t xml:space="preserve">(2), 174–188. https://doi.org/10.1177/1475240911407808</w:t>
      </w:r>
    </w:p>
    <w:p>
      <w:pPr>
        <w:spacing w:after="180" w:line="360"/>
      </w:pPr>
      <w:r>
        <w:rPr>
          <w:rFonts w:ascii="Cambria" w:cs="Cambria" w:eastAsia="Cambria" w:hAnsi="Cambria"/>
          <w:sz w:val="24"/>
          <w:szCs w:val="24"/>
        </w:rPr>
        <w:t xml:space="preserve">Whitmarsh, D. (2022). Fields, habitus and the International Baccalaureate's interpretation of international mindedness. </w:t>
      </w:r>
      <w:r>
        <w:rPr>
          <w:rFonts w:ascii="Cambria" w:cs="Cambria" w:eastAsia="Cambria" w:hAnsi="Cambria"/>
          <w:i/>
          <w:iCs/>
          <w:sz w:val="24"/>
          <w:szCs w:val="24"/>
        </w:rPr>
        <w:t xml:space="preserve">Journal of Research in International Education, 21</w:t>
      </w:r>
      <w:r>
        <w:rPr>
          <w:rFonts w:ascii="Cambria" w:cs="Cambria" w:eastAsia="Cambria" w:hAnsi="Cambria"/>
          <w:sz w:val="24"/>
          <w:szCs w:val="24"/>
        </w:rPr>
        <w:t xml:space="preserve">(2), 123–138. https://doi.org/10.1177/14752409221122048</w:t>
      </w:r>
    </w:p>
    <w:p>
      <w:r>
        <w:br w:type="page"/>
      </w:r>
    </w:p>
    <w:p>
      <w:pPr>
        <w:spacing w:after="200" w:before="200"/>
      </w:pPr>
      <w:r>
        <w:rPr>
          <w:rFonts w:ascii="Cambria" w:cs="Cambria" w:eastAsia="Cambria" w:hAnsi="Cambria"/>
          <w:b/>
          <w:bCs/>
          <w:color w:val="990000"/>
          <w:sz w:val="28"/>
          <w:szCs w:val="28"/>
        </w:rPr>
        <w:t xml:space="preserve">APPENDIX — EDITORIAL NOTES (DELETE BEFORE SUBMISSION)</w:t>
      </w:r>
    </w:p>
    <w:p>
      <w:pPr>
        <w:pStyle w:val="Heading2"/>
        <w:spacing w:after="160" w:before="320" w:line="300"/>
      </w:pPr>
      <w:r>
        <w:rPr>
          <w:rFonts w:ascii="Cambria" w:cs="Cambria" w:eastAsia="Cambria" w:hAnsi="Cambria"/>
          <w:b/>
          <w:bCs/>
          <w:color w:val="000000"/>
          <w:sz w:val="27"/>
          <w:szCs w:val="27"/>
        </w:rPr>
        <w:t xml:space="preserve">Notes for the author before submission</w:t>
      </w:r>
    </w:p>
    <w:p>
      <w:pPr>
        <w:spacing w:after="180" w:line="360"/>
      </w:pPr>
      <w:r>
        <w:rPr>
          <w:rFonts w:ascii="Cambria" w:cs="Cambria" w:eastAsia="Cambria" w:hAnsi="Cambria"/>
          <w:b/>
          <w:bCs/>
          <w:sz w:val="24"/>
          <w:szCs w:val="24"/>
        </w:rPr>
        <w:t xml:space="preserve">1. Verify the IB descriptors against the IBO original.</w:t>
      </w:r>
      <w:r>
        <w:rPr>
          <w:rFonts w:ascii="Cambria" w:cs="Cambria" w:eastAsia="Cambria" w:hAnsi="Cambria"/>
          <w:sz w:val="24"/>
          <w:szCs w:val="24"/>
        </w:rPr>
        <w:t xml:space="preserve"> The ten IB descriptors quoted in §4 were verified against Whitmarsh (2022), an open-access article under a CC-BY licence that reproduces the profile in full. Whitmarsh attributes the profile text to an IB publication dated </w:t>
      </w:r>
      <w:r>
        <w:rPr>
          <w:rFonts w:ascii="Cambria" w:cs="Cambria" w:eastAsia="Cambria" w:hAnsi="Cambria"/>
          <w:b/>
          <w:bCs/>
          <w:sz w:val="24"/>
          <w:szCs w:val="24"/>
        </w:rPr>
        <w:t xml:space="preserve">2015</w:t>
      </w:r>
      <w:r>
        <w:rPr>
          <w:rFonts w:ascii="Cambria" w:cs="Cambria" w:eastAsia="Cambria" w:hAnsi="Cambria"/>
          <w:sz w:val="24"/>
          <w:szCs w:val="24"/>
        </w:rPr>
        <w:t xml:space="preserve">, whereas the version distributed by the IB and cited in this manuscript is dated </w:t>
      </w:r>
      <w:r>
        <w:rPr>
          <w:rFonts w:ascii="Cambria" w:cs="Cambria" w:eastAsia="Cambria" w:hAnsi="Cambria"/>
          <w:b/>
          <w:bCs/>
          <w:sz w:val="24"/>
          <w:szCs w:val="24"/>
        </w:rPr>
        <w:t xml:space="preserve">2017</w:t>
      </w:r>
      <w:r>
        <w:rPr>
          <w:rFonts w:ascii="Cambria" w:cs="Cambria" w:eastAsia="Cambria" w:hAnsi="Cambria"/>
          <w:sz w:val="24"/>
          <w:szCs w:val="24"/>
        </w:rPr>
        <w:t xml:space="preserve">. The wording is, on all available evidence, identical between them, but the reference should be fixed against the copy you hold, and the date corrected if it differs. Do not leave this to chance: a quotation attributed to the wrong edition of a primary source is the kind of error a reviewer of comparative work will check.</w:t>
      </w:r>
    </w:p>
    <w:p>
      <w:pPr>
        <w:spacing w:after="180" w:line="360"/>
      </w:pPr>
      <w:r>
        <w:rPr>
          <w:rFonts w:ascii="Cambria" w:cs="Cambria" w:eastAsia="Cambria" w:hAnsi="Cambria"/>
          <w:b/>
          <w:bCs/>
          <w:sz w:val="24"/>
          <w:szCs w:val="24"/>
        </w:rPr>
        <w:t xml:space="preserve">2. References dropped from the previous version.</w:t>
      </w:r>
      <w:r>
        <w:rPr>
          <w:rFonts w:ascii="Cambria" w:cs="Cambria" w:eastAsia="Cambria" w:hAnsi="Cambria"/>
          <w:sz w:val="24"/>
          <w:szCs w:val="24"/>
        </w:rPr>
        <w:t xml:space="preserve"> The following were in the earlier manuscript and are not in this one, either because they could not be verified or because they were cited decoratively rather than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DEDED" w:val="clear"/>
            <w:tcMar>
              <w:top w:type="dxa" w:w="60"/>
              <w:left w:type="dxa" w:w="90"/>
              <w:bottom w:type="dxa" w:w="60"/>
              <w:right w:type="dxa" w:w="90"/>
            </w:tcMar>
          </w:tcPr>
          <w:p>
            <w:pPr>
              <w:spacing w:after="0" w:line="260"/>
            </w:pPr>
            <w:r>
              <w:rPr>
                <w:rFonts w:ascii="Cambria" w:cs="Cambria" w:eastAsia="Cambria" w:hAnsi="Cambria"/>
                <w:b/>
                <w:bCs/>
                <w:sz w:val="24"/>
                <w:szCs w:val="24"/>
              </w:rPr>
              <w:t xml:space="preserve">Dropped</w:t>
            </w:r>
          </w:p>
        </w:tc>
        <w:tc>
          <w:tcPr>
            <w:tcW w:type="dxa" w:w="4680"/>
            <w:shd w:fill="EDEDED" w:val="clear"/>
            <w:tcMar>
              <w:top w:type="dxa" w:w="60"/>
              <w:left w:type="dxa" w:w="90"/>
              <w:bottom w:type="dxa" w:w="60"/>
              <w:right w:type="dxa" w:w="90"/>
            </w:tcMar>
          </w:tcPr>
          <w:p>
            <w:pPr>
              <w:spacing w:after="0" w:line="260"/>
            </w:pPr>
            <w:r>
              <w:rPr>
                <w:rFonts w:ascii="Cambria" w:cs="Cambria" w:eastAsia="Cambria" w:hAnsi="Cambria"/>
                <w:b/>
                <w:bCs/>
                <w:sz w:val="24"/>
                <w:szCs w:val="24"/>
              </w:rPr>
              <w:t xml:space="preserve">Reason</w:t>
            </w:r>
          </w:p>
        </w:tc>
      </w:tr>
      <w:tr>
        <w:trPr>
          <w:tblHeader w:val="false"/>
        </w:trPr>
        <w:tc>
          <w:tcPr>
            <w:tcW w:type="dxa" w:w="4680"/>
            <w:tcMar>
              <w:top w:type="dxa" w:w="60"/>
              <w:left w:type="dxa" w:w="90"/>
              <w:bottom w:type="dxa" w:w="60"/>
              <w:right w:type="dxa" w:w="90"/>
            </w:tcMar>
          </w:tcPr>
          <w:p>
            <w:pPr>
              <w:spacing w:after="0" w:line="260"/>
            </w:pPr>
            <w:r>
              <w:rPr>
                <w:rFonts w:ascii="Cambria" w:cs="Cambria" w:eastAsia="Cambria" w:hAnsi="Cambria"/>
                <w:sz w:val="24"/>
                <w:szCs w:val="24"/>
              </w:rPr>
              <w:t xml:space="preserve">Demirtaş &amp; Gömleksiz (2023); Kıncal &amp; Gökçek (2022); Öztürk (2023); Robertson &amp; Dale (2020)</w:t>
            </w:r>
          </w:p>
        </w:tc>
        <w:tc>
          <w:tcPr>
            <w:tcW w:type="dxa" w:w="4680"/>
            <w:tcMar>
              <w:top w:type="dxa" w:w="60"/>
              <w:left w:type="dxa" w:w="90"/>
              <w:bottom w:type="dxa" w:w="60"/>
              <w:right w:type="dxa" w:w="90"/>
            </w:tcMar>
          </w:tcPr>
          <w:p>
            <w:pPr>
              <w:spacing w:after="0" w:line="260"/>
            </w:pPr>
            <w:r>
              <w:rPr>
                <w:rFonts w:ascii="Cambria" w:cs="Cambria" w:eastAsia="Cambria" w:hAnsi="Cambria"/>
                <w:sz w:val="24"/>
                <w:szCs w:val="24"/>
              </w:rPr>
              <w:t xml:space="preserve">No indexed record exists. Replaced by Bayrak (2025), Kadıoğlu Ateş (2024) and Karaoğulları (2026), which are real and do the same work better.</w:t>
            </w:r>
          </w:p>
        </w:tc>
      </w:tr>
      <w:tr>
        <w:trPr>
          <w:tblHeader w:val="false"/>
        </w:trPr>
        <w:tc>
          <w:tcPr>
            <w:tcW w:type="dxa" w:w="4680"/>
            <w:tcMar>
              <w:top w:type="dxa" w:w="60"/>
              <w:left w:type="dxa" w:w="90"/>
              <w:bottom w:type="dxa" w:w="60"/>
              <w:right w:type="dxa" w:w="90"/>
            </w:tcMar>
          </w:tcPr>
          <w:p>
            <w:pPr>
              <w:spacing w:after="0" w:line="260"/>
            </w:pPr>
            <w:r>
              <w:rPr>
                <w:rFonts w:ascii="Cambria" w:cs="Cambria" w:eastAsia="Cambria" w:hAnsi="Cambria"/>
                <w:sz w:val="24"/>
                <w:szCs w:val="24"/>
              </w:rPr>
              <w:t xml:space="preserve">Doll (2002)</w:t>
            </w:r>
          </w:p>
        </w:tc>
        <w:tc>
          <w:tcPr>
            <w:tcW w:type="dxa" w:w="4680"/>
            <w:tcMar>
              <w:top w:type="dxa" w:w="60"/>
              <w:left w:type="dxa" w:w="90"/>
              <w:bottom w:type="dxa" w:w="60"/>
              <w:right w:type="dxa" w:w="90"/>
            </w:tcMar>
          </w:tcPr>
          <w:p>
            <w:pPr>
              <w:spacing w:after="0" w:line="260"/>
            </w:pPr>
            <w:r>
              <w:rPr>
                <w:rFonts w:ascii="Cambria" w:cs="Cambria" w:eastAsia="Cambria" w:hAnsi="Cambria"/>
                <w:sz w:val="24"/>
                <w:szCs w:val="24"/>
              </w:rPr>
              <w:t xml:space="preserve">The "rich, recursive, relational" quotation closed the previous conclusion. It is a book chapter, not the </w:t>
            </w:r>
            <w:r>
              <w:rPr>
                <w:rFonts w:ascii="Cambria" w:cs="Cambria" w:eastAsia="Cambria" w:hAnsi="Cambria"/>
                <w:i/>
                <w:iCs/>
                <w:sz w:val="24"/>
                <w:szCs w:val="24"/>
              </w:rPr>
              <w:t xml:space="preserve">Curriculum Inquiry</w:t>
            </w:r>
            <w:r>
              <w:rPr>
                <w:rFonts w:ascii="Cambria" w:cs="Cambria" w:eastAsia="Cambria" w:hAnsi="Cambria"/>
                <w:sz w:val="24"/>
                <w:szCs w:val="24"/>
              </w:rPr>
              <w:t xml:space="preserve"> article cited, and the new conclusion does not need it. If you want it back, the correct form is: Doll, W. E., Jr. (2002). Ghosts and the curriculum. In W. E. Doll, Jr. &amp; N. Gough (Eds.), </w:t>
            </w:r>
            <w:r>
              <w:rPr>
                <w:rFonts w:ascii="Cambria" w:cs="Cambria" w:eastAsia="Cambria" w:hAnsi="Cambria"/>
                <w:i/>
                <w:iCs/>
                <w:sz w:val="24"/>
                <w:szCs w:val="24"/>
              </w:rPr>
              <w:t xml:space="preserve">Curriculum visions</w:t>
            </w:r>
            <w:r>
              <w:rPr>
                <w:rFonts w:ascii="Cambria" w:cs="Cambria" w:eastAsia="Cambria" w:hAnsi="Cambria"/>
                <w:sz w:val="24"/>
                <w:szCs w:val="24"/>
              </w:rPr>
              <w:t xml:space="preserve"> (pp. 23–70). Peter Lang.</w:t>
            </w:r>
          </w:p>
        </w:tc>
      </w:tr>
      <w:tr>
        <w:trPr>
          <w:tblHeader w:val="false"/>
        </w:trPr>
        <w:tc>
          <w:tcPr>
            <w:tcW w:type="dxa" w:w="4680"/>
            <w:tcMar>
              <w:top w:type="dxa" w:w="60"/>
              <w:left w:type="dxa" w:w="90"/>
              <w:bottom w:type="dxa" w:w="60"/>
              <w:right w:type="dxa" w:w="90"/>
            </w:tcMar>
          </w:tcPr>
          <w:p>
            <w:pPr>
              <w:spacing w:after="0" w:line="260"/>
            </w:pPr>
            <w:r>
              <w:rPr>
                <w:rFonts w:ascii="Cambria" w:cs="Cambria" w:eastAsia="Cambria" w:hAnsi="Cambria"/>
                <w:sz w:val="24"/>
                <w:szCs w:val="24"/>
              </w:rPr>
              <w:t xml:space="preserve">Pinar</w:t>
            </w:r>
          </w:p>
        </w:tc>
        <w:tc>
          <w:tcPr>
            <w:tcW w:type="dxa" w:w="4680"/>
            <w:tcMar>
              <w:top w:type="dxa" w:w="60"/>
              <w:left w:type="dxa" w:w="90"/>
              <w:bottom w:type="dxa" w:w="60"/>
              <w:right w:type="dxa" w:w="90"/>
            </w:tcMar>
          </w:tcPr>
          <w:p>
            <w:pPr>
              <w:spacing w:after="0" w:line="260"/>
            </w:pPr>
            <w:r>
              <w:rPr>
                <w:rFonts w:ascii="Cambria" w:cs="Cambria" w:eastAsia="Cambria" w:hAnsi="Cambria"/>
                <w:sz w:val="24"/>
                <w:szCs w:val="24"/>
              </w:rPr>
              <w:t xml:space="preserve">"Curriculum as complicated conversation" was attributed to a non-existent 2nd edition of a 1998 edited volume. The correct source is Pinar, W. F. (2019). </w:t>
            </w:r>
            <w:r>
              <w:rPr>
                <w:rFonts w:ascii="Cambria" w:cs="Cambria" w:eastAsia="Cambria" w:hAnsi="Cambria"/>
                <w:i/>
                <w:iCs/>
                <w:sz w:val="24"/>
                <w:szCs w:val="24"/>
              </w:rPr>
              <w:t xml:space="preserve">What is curriculum theory?</w:t>
            </w:r>
            <w:r>
              <w:rPr>
                <w:rFonts w:ascii="Cambria" w:cs="Cambria" w:eastAsia="Cambria" w:hAnsi="Cambria"/>
                <w:sz w:val="24"/>
                <w:szCs w:val="24"/>
              </w:rPr>
              <w:t xml:space="preserve"> (3rd ed.). Routledge. https://doi.org/10.4324/9781315625683 — available if you want the concept in the framework.</w:t>
            </w:r>
          </w:p>
        </w:tc>
      </w:tr>
      <w:tr>
        <w:trPr>
          <w:tblHeader w:val="false"/>
        </w:trPr>
        <w:tc>
          <w:tcPr>
            <w:tcW w:type="dxa" w:w="4680"/>
            <w:tcMar>
              <w:top w:type="dxa" w:w="60"/>
              <w:left w:type="dxa" w:w="90"/>
              <w:bottom w:type="dxa" w:w="60"/>
              <w:right w:type="dxa" w:w="90"/>
            </w:tcMar>
          </w:tcPr>
          <w:p>
            <w:pPr>
              <w:spacing w:after="0" w:line="260"/>
            </w:pPr>
            <w:r>
              <w:rPr>
                <w:rFonts w:ascii="Cambria" w:cs="Cambria" w:eastAsia="Cambria" w:hAnsi="Cambria"/>
                <w:sz w:val="24"/>
                <w:szCs w:val="24"/>
              </w:rPr>
              <w:t xml:space="preserve">Andreotti</w:t>
            </w:r>
          </w:p>
        </w:tc>
        <w:tc>
          <w:tcPr>
            <w:tcW w:type="dxa" w:w="4680"/>
            <w:tcMar>
              <w:top w:type="dxa" w:w="60"/>
              <w:left w:type="dxa" w:w="90"/>
              <w:bottom w:type="dxa" w:w="60"/>
              <w:right w:type="dxa" w:w="90"/>
            </w:tcMar>
          </w:tcPr>
          <w:p>
            <w:pPr>
              <w:spacing w:after="0" w:line="260"/>
            </w:pPr>
            <w:r>
              <w:rPr>
                <w:rFonts w:ascii="Cambria" w:cs="Cambria" w:eastAsia="Cambria" w:hAnsi="Cambria"/>
                <w:sz w:val="24"/>
                <w:szCs w:val="24"/>
              </w:rPr>
              <w:t xml:space="preserve">Two publications were conflated (2006 journal article, 2014 book chapter). Usable once you decide which: Andreotti, V. (2006). </w:t>
            </w:r>
            <w:r>
              <w:rPr>
                <w:rFonts w:ascii="Cambria" w:cs="Cambria" w:eastAsia="Cambria" w:hAnsi="Cambria"/>
                <w:i/>
                <w:iCs/>
                <w:sz w:val="24"/>
                <w:szCs w:val="24"/>
              </w:rPr>
              <w:t xml:space="preserve">Policy &amp; Practice: A Development Education Review, 3</w:t>
            </w:r>
            <w:r>
              <w:rPr>
                <w:rFonts w:ascii="Cambria" w:cs="Cambria" w:eastAsia="Cambria" w:hAnsi="Cambria"/>
                <w:sz w:val="24"/>
                <w:szCs w:val="24"/>
              </w:rPr>
              <w:t xml:space="preserve">, 40–51; or Andreotti, V. (2014), in S. McCloskey (Ed.), </w:t>
            </w:r>
            <w:r>
              <w:rPr>
                <w:rFonts w:ascii="Cambria" w:cs="Cambria" w:eastAsia="Cambria" w:hAnsi="Cambria"/>
                <w:i/>
                <w:iCs/>
                <w:sz w:val="24"/>
                <w:szCs w:val="24"/>
              </w:rPr>
              <w:t xml:space="preserve">Development education in policy and practice</w:t>
            </w:r>
            <w:r>
              <w:rPr>
                <w:rFonts w:ascii="Cambria" w:cs="Cambria" w:eastAsia="Cambria" w:hAnsi="Cambria"/>
                <w:sz w:val="24"/>
                <w:szCs w:val="24"/>
              </w:rPr>
              <w:t xml:space="preserve"> (pp. 21–31). Palgrave Macmillan. https://doi.org/10.1057/9781137324665_2</w:t>
            </w:r>
          </w:p>
        </w:tc>
      </w:tr>
      <w:tr>
        <w:trPr>
          <w:tblHeader w:val="false"/>
        </w:trPr>
        <w:tc>
          <w:tcPr>
            <w:tcW w:type="dxa" w:w="4680"/>
            <w:tcMar>
              <w:top w:type="dxa" w:w="60"/>
              <w:left w:type="dxa" w:w="90"/>
              <w:bottom w:type="dxa" w:w="60"/>
              <w:right w:type="dxa" w:w="90"/>
            </w:tcMar>
          </w:tcPr>
          <w:p>
            <w:pPr>
              <w:spacing w:after="0" w:line="260"/>
            </w:pPr>
            <w:r>
              <w:rPr>
                <w:rFonts w:ascii="Cambria" w:cs="Cambria" w:eastAsia="Cambria" w:hAnsi="Cambria"/>
                <w:sz w:val="24"/>
                <w:szCs w:val="24"/>
              </w:rPr>
              <w:t xml:space="preserve">Cambridge (2012); Hayden &amp; Thompson (2013)</w:t>
            </w:r>
          </w:p>
        </w:tc>
        <w:tc>
          <w:tcPr>
            <w:tcW w:type="dxa" w:w="4680"/>
            <w:tcMar>
              <w:top w:type="dxa" w:w="60"/>
              <w:left w:type="dxa" w:w="90"/>
              <w:bottom w:type="dxa" w:w="60"/>
              <w:right w:type="dxa" w:w="90"/>
            </w:tcMar>
          </w:tcPr>
          <w:p>
            <w:pPr>
              <w:spacing w:after="0" w:line="260"/>
            </w:pPr>
            <w:r>
              <w:rPr>
                <w:rFonts w:ascii="Cambria" w:cs="Cambria" w:eastAsia="Cambria" w:hAnsi="Cambria"/>
                <w:sz w:val="24"/>
                <w:szCs w:val="24"/>
              </w:rPr>
              <w:t xml:space="preserve">Edition and publication-type could not be resolved. Hill (2012), Metlí &amp; Lane (2020) and Wells (2011) cover the same ground and are verified.</w:t>
            </w:r>
          </w:p>
        </w:tc>
      </w:tr>
      <w:tr>
        <w:trPr>
          <w:tblHeader w:val="false"/>
        </w:trPr>
        <w:tc>
          <w:tcPr>
            <w:tcW w:type="dxa" w:w="4680"/>
            <w:tcMar>
              <w:top w:type="dxa" w:w="60"/>
              <w:left w:type="dxa" w:w="90"/>
              <w:bottom w:type="dxa" w:w="60"/>
              <w:right w:type="dxa" w:w="90"/>
            </w:tcMar>
          </w:tcPr>
          <w:p>
            <w:pPr>
              <w:spacing w:after="0" w:line="260"/>
            </w:pPr>
            <w:r>
              <w:rPr>
                <w:rFonts w:ascii="Cambria" w:cs="Cambria" w:eastAsia="Cambria" w:hAnsi="Cambria"/>
                <w:sz w:val="24"/>
                <w:szCs w:val="24"/>
              </w:rPr>
              <w:t xml:space="preserve">Rizvi &amp; Lingard (2010)</w:t>
            </w:r>
          </w:p>
        </w:tc>
        <w:tc>
          <w:tcPr>
            <w:tcW w:type="dxa" w:w="4680"/>
            <w:tcMar>
              <w:top w:type="dxa" w:w="60"/>
              <w:left w:type="dxa" w:w="90"/>
              <w:bottom w:type="dxa" w:w="60"/>
              <w:right w:type="dxa" w:w="90"/>
            </w:tcMar>
          </w:tcPr>
          <w:p>
            <w:pPr>
              <w:spacing w:after="0" w:line="260"/>
            </w:pPr>
            <w:r>
              <w:rPr>
                <w:rFonts w:ascii="Cambria" w:cs="Cambria" w:eastAsia="Cambria" w:hAnsi="Cambria"/>
                <w:sz w:val="24"/>
                <w:szCs w:val="24"/>
              </w:rPr>
              <w:t xml:space="preserve">Real, and the DOI in the previous version pointed to </w:t>
            </w:r>
            <w:r>
              <w:rPr>
                <w:rFonts w:ascii="Cambria" w:cs="Cambria" w:eastAsia="Cambria" w:hAnsi="Cambria"/>
                <w:i/>
                <w:iCs/>
                <w:sz w:val="24"/>
                <w:szCs w:val="24"/>
              </w:rPr>
              <w:t xml:space="preserve">Social Work in Health Settings</w:t>
            </w:r>
            <w:r>
              <w:rPr>
                <w:rFonts w:ascii="Cambria" w:cs="Cambria" w:eastAsia="Cambria" w:hAnsi="Cambria"/>
                <w:sz w:val="24"/>
                <w:szCs w:val="24"/>
              </w:rPr>
              <w:t xml:space="preserve">. Correct DOI is https://doi.org/10.4324/9780203867396. Not currently cited, but a legitimate addition to §5.3 if you want a global-policy frame.</w:t>
            </w:r>
          </w:p>
        </w:tc>
      </w:tr>
      <w:tr>
        <w:trPr>
          <w:tblHeader w:val="false"/>
        </w:trPr>
        <w:tc>
          <w:tcPr>
            <w:tcW w:type="dxa" w:w="4680"/>
            <w:tcMar>
              <w:top w:type="dxa" w:w="60"/>
              <w:left w:type="dxa" w:w="90"/>
              <w:bottom w:type="dxa" w:w="60"/>
              <w:right w:type="dxa" w:w="90"/>
            </w:tcMar>
          </w:tcPr>
          <w:p>
            <w:pPr>
              <w:spacing w:after="0" w:line="260"/>
            </w:pPr>
            <w:r>
              <w:rPr>
                <w:rFonts w:ascii="Cambria" w:cs="Cambria" w:eastAsia="Cambria" w:hAnsi="Cambria"/>
                <w:sz w:val="24"/>
                <w:szCs w:val="24"/>
              </w:rPr>
              <w:t xml:space="preserve">Engeström (2001); Glaser &amp; Strauss (1967); Merriam &amp; Tisdell (2016); Yin (2018); Schreier (2012); Schwandt (2007); Miller (2007); Drake et al. (2015)</w:t>
            </w:r>
          </w:p>
        </w:tc>
        <w:tc>
          <w:tcPr>
            <w:tcW w:type="dxa" w:w="4680"/>
            <w:tcMar>
              <w:top w:type="dxa" w:w="60"/>
              <w:left w:type="dxa" w:w="90"/>
              <w:bottom w:type="dxa" w:w="60"/>
              <w:right w:type="dxa" w:w="90"/>
            </w:tcMar>
          </w:tcPr>
          <w:p>
            <w:pPr>
              <w:spacing w:after="0" w:line="260"/>
            </w:pPr>
            <w:r>
              <w:rPr>
                <w:rFonts w:ascii="Cambria" w:cs="Cambria" w:eastAsia="Cambria" w:hAnsi="Cambria"/>
                <w:sz w:val="24"/>
                <w:szCs w:val="24"/>
              </w:rPr>
              <w:t xml:space="preserve">Cited in the previous methodology as design or triangulation warrants for procedures the study does not perform. Removed rather than retained as decoration.</w:t>
            </w:r>
          </w:p>
        </w:tc>
      </w:tr>
    </w:tbl>
    <w:p>
      <w:pPr>
        <w:spacing w:after="180"/>
      </w:pPr>
    </w:p>
    <w:p>
      <w:pPr>
        <w:spacing w:after="180" w:line="360"/>
      </w:pPr>
      <w:r>
        <w:rPr>
          <w:rFonts w:ascii="Cambria" w:cs="Cambria" w:eastAsia="Cambria" w:hAnsi="Cambria"/>
          <w:b/>
          <w:bCs/>
          <w:sz w:val="24"/>
          <w:szCs w:val="24"/>
        </w:rPr>
        <w:t xml:space="preserve">3. Two procedures in §3 must actually be carried out.</w:t>
      </w:r>
      <w:r>
        <w:rPr>
          <w:rFonts w:ascii="Cambria" w:cs="Cambria" w:eastAsia="Cambria" w:hAnsi="Cambria"/>
          <w:sz w:val="24"/>
          <w:szCs w:val="24"/>
        </w:rPr>
        <w:t xml:space="preserve"> The second-coder pass with a Cohen's κ value, and the back-translation check on quoted passages, are described in the methodology as performed. The κ value is left as a blank to be filled. Reporting either as done without doing it would reproduce the problem this revision exists to fix.</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sz w:val="24"/>
        <w:szCs w:val="24"/>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National and Global Visions of the Educated Person</dc:title>
  <dc:creator>Samet Eker</dc:creator>
  <cp:lastModifiedBy>Un-named</cp:lastModifiedBy>
  <cp:revision>1</cp:revision>
  <dcterms:created xsi:type="dcterms:W3CDTF">2026-08-05T17:33:28.827Z</dcterms:created>
  <dcterms:modified xsi:type="dcterms:W3CDTF">2026-08-05T17:33:28.827Z</dcterms:modified>
</cp:coreProperties>
</file>

<file path=docProps/custom.xml><?xml version="1.0" encoding="utf-8"?>
<Properties xmlns="http://schemas.openxmlformats.org/officeDocument/2006/custom-properties" xmlns:vt="http://schemas.openxmlformats.org/officeDocument/2006/docPropsVTypes"/>
</file>