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FFFB" w14:textId="77777777" w:rsidR="00261812" w:rsidRPr="00EF6B69" w:rsidRDefault="00261812" w:rsidP="00C04D7A">
      <w:pPr>
        <w:spacing w:after="0" w:line="276" w:lineRule="auto"/>
        <w:ind w:left="0" w:right="427" w:firstLine="0"/>
        <w:jc w:val="center"/>
        <w:rPr>
          <w:b/>
          <w:color w:val="auto"/>
        </w:rPr>
      </w:pPr>
      <w:r w:rsidRPr="00E143B5">
        <w:rPr>
          <w:b/>
          <w:color w:val="auto"/>
        </w:rPr>
        <w:t>HEPD</w:t>
      </w:r>
      <w:bookmarkStart w:id="0" w:name="_GoBack"/>
      <w:bookmarkEnd w:id="0"/>
      <w:r w:rsidRPr="00E143B5">
        <w:rPr>
          <w:b/>
          <w:color w:val="auto"/>
        </w:rPr>
        <w:t>AK PROGRAM DEĞERLENDİRME ÇİZELGESİ-6.0</w:t>
      </w:r>
    </w:p>
    <w:p w14:paraId="3F52EEF0" w14:textId="77777777" w:rsidR="00261812" w:rsidRPr="00EF6B69" w:rsidRDefault="00261812" w:rsidP="00261812">
      <w:pPr>
        <w:pStyle w:val="Balk1"/>
        <w:spacing w:line="276" w:lineRule="auto"/>
        <w:ind w:left="0" w:right="620" w:firstLine="0"/>
        <w:jc w:val="left"/>
        <w:rPr>
          <w:color w:val="auto"/>
        </w:rPr>
      </w:pPr>
    </w:p>
    <w:tbl>
      <w:tblPr>
        <w:tblW w:w="10060" w:type="dxa"/>
        <w:tblBorders>
          <w:top w:val="thinThickSmallGap" w:sz="2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A0" w:firstRow="1" w:lastRow="0" w:firstColumn="1" w:lastColumn="0" w:noHBand="0" w:noVBand="0"/>
      </w:tblPr>
      <w:tblGrid>
        <w:gridCol w:w="10060"/>
      </w:tblGrid>
      <w:tr w:rsidR="00261812" w:rsidRPr="00EF6B69" w14:paraId="409CA975" w14:textId="77777777" w:rsidTr="003C4824">
        <w:tc>
          <w:tcPr>
            <w:tcW w:w="10060" w:type="dxa"/>
            <w:shd w:val="clear" w:color="auto" w:fill="FFFFFF"/>
          </w:tcPr>
          <w:p w14:paraId="6BA55437" w14:textId="77777777" w:rsidR="00261812" w:rsidRPr="00EF6B69" w:rsidRDefault="00261812" w:rsidP="003C4824">
            <w:pPr>
              <w:spacing w:after="0" w:line="276" w:lineRule="auto"/>
              <w:ind w:left="0" w:right="0" w:firstLine="0"/>
              <w:rPr>
                <w:rFonts w:eastAsia="TimesNewRoman,Bold"/>
                <w:b/>
                <w:bCs/>
                <w:color w:val="auto"/>
                <w:szCs w:val="24"/>
                <w:lang w:eastAsia="en-US"/>
              </w:rPr>
            </w:pPr>
            <w:r w:rsidRPr="00EF6B69">
              <w:rPr>
                <w:rFonts w:eastAsia="TimesNewRoman,Bold"/>
                <w:b/>
                <w:bCs/>
                <w:color w:val="auto"/>
                <w:szCs w:val="24"/>
                <w:lang w:eastAsia="en-US"/>
              </w:rPr>
              <w:t xml:space="preserve">Kurum: </w:t>
            </w:r>
          </w:p>
        </w:tc>
      </w:tr>
      <w:tr w:rsidR="00261812" w:rsidRPr="00EF6B69" w14:paraId="719516BA" w14:textId="77777777" w:rsidTr="003C4824">
        <w:trPr>
          <w:trHeight w:val="382"/>
        </w:trPr>
        <w:tc>
          <w:tcPr>
            <w:tcW w:w="10060" w:type="dxa"/>
            <w:shd w:val="clear" w:color="auto" w:fill="FFFFFF"/>
          </w:tcPr>
          <w:p w14:paraId="551DC17F" w14:textId="77777777" w:rsidR="00261812" w:rsidRPr="00EF6B69" w:rsidRDefault="00261812" w:rsidP="003C4824">
            <w:pPr>
              <w:spacing w:after="0" w:line="276" w:lineRule="auto"/>
              <w:ind w:left="0" w:right="0" w:firstLine="0"/>
              <w:rPr>
                <w:rFonts w:eastAsia="TimesNewRoman,Bold"/>
                <w:b/>
                <w:bCs/>
                <w:color w:val="auto"/>
                <w:szCs w:val="24"/>
                <w:lang w:eastAsia="en-US"/>
              </w:rPr>
            </w:pPr>
            <w:r w:rsidRPr="00EF6B69">
              <w:rPr>
                <w:rFonts w:eastAsia="TimesNewRoman,Bold"/>
                <w:b/>
                <w:bCs/>
                <w:color w:val="auto"/>
                <w:szCs w:val="24"/>
                <w:lang w:eastAsia="en-US"/>
              </w:rPr>
              <w:t>Program:</w:t>
            </w:r>
          </w:p>
        </w:tc>
      </w:tr>
      <w:tr w:rsidR="00261812" w:rsidRPr="00EF6B69" w14:paraId="2FC67094" w14:textId="77777777" w:rsidTr="003C4824">
        <w:trPr>
          <w:trHeight w:val="382"/>
        </w:trPr>
        <w:tc>
          <w:tcPr>
            <w:tcW w:w="10060" w:type="dxa"/>
            <w:shd w:val="clear" w:color="auto" w:fill="FFFFFF"/>
          </w:tcPr>
          <w:p w14:paraId="7F95C57E" w14:textId="77777777" w:rsidR="00261812" w:rsidRPr="00EF6B69" w:rsidRDefault="00261812" w:rsidP="003C4824">
            <w:pPr>
              <w:spacing w:after="0" w:line="276" w:lineRule="auto"/>
              <w:ind w:left="0" w:right="0" w:firstLine="0"/>
              <w:rPr>
                <w:rFonts w:eastAsia="TimesNewRoman,Bold"/>
                <w:b/>
                <w:bCs/>
                <w:color w:val="auto"/>
                <w:szCs w:val="24"/>
                <w:lang w:eastAsia="en-US"/>
              </w:rPr>
            </w:pPr>
            <w:r w:rsidRPr="00EF6B69">
              <w:rPr>
                <w:rFonts w:eastAsia="TimesNewRoman,Bold"/>
                <w:b/>
                <w:bCs/>
                <w:color w:val="auto"/>
                <w:szCs w:val="24"/>
                <w:lang w:eastAsia="en-US"/>
              </w:rPr>
              <w:t xml:space="preserve">ÖDR Sürümü: </w:t>
            </w:r>
          </w:p>
        </w:tc>
      </w:tr>
    </w:tbl>
    <w:p w14:paraId="6AD9B6B4" w14:textId="77777777" w:rsidR="00261812" w:rsidRPr="00EF6B69" w:rsidRDefault="00261812" w:rsidP="00261812">
      <w:pPr>
        <w:spacing w:after="0" w:line="276" w:lineRule="auto"/>
        <w:ind w:left="0" w:right="0" w:firstLine="0"/>
        <w:jc w:val="left"/>
        <w:rPr>
          <w:rFonts w:ascii="Calibri" w:eastAsia="Calibri" w:hAnsi="Calibri"/>
          <w:vanish/>
          <w:color w:val="auto"/>
          <w:sz w:val="22"/>
          <w:lang w:eastAsia="en-US"/>
        </w:rPr>
      </w:pPr>
    </w:p>
    <w:tbl>
      <w:tblPr>
        <w:tblpPr w:leftFromText="141" w:rightFromText="141" w:vertAnchor="text" w:horzAnchor="margin" w:tblpY="189"/>
        <w:tblW w:w="10031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9322"/>
        <w:gridCol w:w="709"/>
      </w:tblGrid>
      <w:tr w:rsidR="00261812" w:rsidRPr="00EF6B69" w14:paraId="4AD54C98" w14:textId="77777777" w:rsidTr="003C4824">
        <w:trPr>
          <w:cantSplit/>
          <w:trHeight w:val="1432"/>
        </w:trPr>
        <w:tc>
          <w:tcPr>
            <w:tcW w:w="9322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430888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  <w:p w14:paraId="4FAB2E09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14:paraId="7511E6EF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76" w:lineRule="auto"/>
              <w:ind w:left="113" w:right="113" w:firstLine="0"/>
              <w:rPr>
                <w:rFonts w:eastAsia="Calibri"/>
                <w:b/>
                <w:color w:val="auto"/>
                <w:sz w:val="20"/>
                <w:szCs w:val="20"/>
                <w:lang w:eastAsia="en-US"/>
              </w:rPr>
            </w:pPr>
            <w:r w:rsidRPr="00EF6B69">
              <w:rPr>
                <w:rFonts w:eastAsia="Calibri"/>
                <w:b/>
                <w:color w:val="auto"/>
                <w:sz w:val="18"/>
                <w:szCs w:val="20"/>
                <w:lang w:eastAsia="en-US"/>
              </w:rPr>
              <w:t>Değerlendirme</w:t>
            </w:r>
          </w:p>
        </w:tc>
      </w:tr>
      <w:tr w:rsidR="00261812" w:rsidRPr="00EF6B69" w14:paraId="684BE6BF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3E8411A" w14:textId="77777777" w:rsidR="00261812" w:rsidRPr="00EF6B69" w:rsidRDefault="00261812" w:rsidP="003C4824">
            <w:pPr>
              <w:tabs>
                <w:tab w:val="left" w:pos="0"/>
              </w:tabs>
              <w:spacing w:before="120" w:after="120" w:line="276" w:lineRule="auto"/>
              <w:ind w:left="0" w:right="0" w:firstLine="0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EF6B69">
              <w:rPr>
                <w:rFonts w:eastAsia="Calibri"/>
                <w:b/>
                <w:color w:val="auto"/>
                <w:sz w:val="22"/>
                <w:lang w:eastAsia="en-US"/>
              </w:rPr>
              <w:t xml:space="preserve">STANDART 1. PROGRAM AMAÇLARI  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0167324" w14:textId="77777777" w:rsidR="00261812" w:rsidRPr="00EF6B69" w:rsidRDefault="00261812" w:rsidP="003C4824">
            <w:pPr>
              <w:tabs>
                <w:tab w:val="left" w:pos="0"/>
              </w:tabs>
              <w:spacing w:before="120" w:after="120" w:line="276" w:lineRule="auto"/>
              <w:ind w:left="0" w:right="0" w:firstLine="0"/>
              <w:rPr>
                <w:rFonts w:eastAsia="Calibri"/>
                <w:b/>
                <w:color w:val="auto"/>
                <w:sz w:val="22"/>
                <w:lang w:eastAsia="en-US"/>
              </w:rPr>
            </w:pPr>
          </w:p>
        </w:tc>
      </w:tr>
      <w:tr w:rsidR="00261812" w:rsidRPr="00EF6B69" w14:paraId="4CF79CD7" w14:textId="77777777" w:rsidTr="003C4824">
        <w:trPr>
          <w:trHeight w:val="269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E00FD8" w14:textId="77777777" w:rsidR="00261812" w:rsidRPr="00EF6B69" w:rsidRDefault="00261812" w:rsidP="003C4824">
            <w:pPr>
              <w:rPr>
                <w:b/>
                <w:color w:val="auto"/>
              </w:rPr>
            </w:pPr>
            <w:r w:rsidRPr="00EF6B69">
              <w:rPr>
                <w:b/>
                <w:color w:val="auto"/>
              </w:rPr>
              <w:t>TS.1.1.</w:t>
            </w:r>
            <w:r w:rsidRPr="00EF6B69">
              <w:rPr>
                <w:color w:val="auto"/>
              </w:rPr>
              <w:t>Program amaçları belirlenmiş, güncellenmiş ve yayımlanmış olmalıdır.</w:t>
            </w:r>
            <w:r w:rsidRPr="00EF6B69">
              <w:rPr>
                <w:color w:val="auto"/>
              </w:rPr>
              <w:tab/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CC9EDF" w14:textId="77777777" w:rsidR="00261812" w:rsidRPr="00EF6B69" w:rsidRDefault="00261812" w:rsidP="003C4824">
            <w:pPr>
              <w:rPr>
                <w:b/>
                <w:color w:val="auto"/>
              </w:rPr>
            </w:pPr>
          </w:p>
        </w:tc>
      </w:tr>
      <w:tr w:rsidR="00261812" w:rsidRPr="00EF6B69" w14:paraId="756D4BF0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8B70D" w14:textId="77777777" w:rsidR="00261812" w:rsidRPr="00EF6B69" w:rsidRDefault="00261812" w:rsidP="003C4824">
            <w:pPr>
              <w:tabs>
                <w:tab w:val="left" w:pos="0"/>
              </w:tabs>
              <w:spacing w:after="0"/>
              <w:rPr>
                <w:rFonts w:eastAsia="Calibri"/>
                <w:color w:val="auto"/>
              </w:rPr>
            </w:pPr>
            <w:r w:rsidRPr="00EF6B69">
              <w:rPr>
                <w:b/>
                <w:color w:val="auto"/>
              </w:rPr>
              <w:t>T.S.1.2.</w:t>
            </w:r>
            <w:r w:rsidRPr="00EF6B69">
              <w:rPr>
                <w:color w:val="auto"/>
              </w:rPr>
              <w:t>Program amaçlarına ulaşıldığı kanıtlanmalıdır.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A34A7C" w14:textId="77777777" w:rsidR="00261812" w:rsidRPr="00EF6B69" w:rsidRDefault="00261812" w:rsidP="003C4824">
            <w:pPr>
              <w:tabs>
                <w:tab w:val="left" w:pos="0"/>
              </w:tabs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7DED7AB9" w14:textId="77777777" w:rsidTr="003C4824">
        <w:trPr>
          <w:trHeight w:val="449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D072EAB" w14:textId="77777777" w:rsidR="00261812" w:rsidRPr="00EF6B69" w:rsidRDefault="00261812" w:rsidP="003C4824">
            <w:pPr>
              <w:tabs>
                <w:tab w:val="left" w:pos="0"/>
                <w:tab w:val="center" w:pos="3151"/>
              </w:tabs>
              <w:spacing w:before="120" w:after="120" w:line="276" w:lineRule="auto"/>
              <w:ind w:left="0" w:right="0" w:firstLine="0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EF6B69">
              <w:rPr>
                <w:rFonts w:eastAsia="Calibri"/>
                <w:b/>
                <w:color w:val="auto"/>
                <w:sz w:val="22"/>
                <w:lang w:eastAsia="en-US"/>
              </w:rPr>
              <w:t>STANDART 2. PROGRAM ÇIKTILARI</w:t>
            </w:r>
            <w:r w:rsidRPr="00EF6B69">
              <w:rPr>
                <w:rFonts w:eastAsia="Calibri"/>
                <w:b/>
                <w:color w:val="auto"/>
                <w:sz w:val="22"/>
                <w:lang w:eastAsia="en-US"/>
              </w:rPr>
              <w:tab/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17965953" w14:textId="77777777" w:rsidR="00261812" w:rsidRPr="00EF6B69" w:rsidRDefault="00261812" w:rsidP="003C4824">
            <w:pPr>
              <w:tabs>
                <w:tab w:val="left" w:pos="0"/>
                <w:tab w:val="center" w:pos="3151"/>
              </w:tabs>
              <w:spacing w:before="120" w:after="120" w:line="276" w:lineRule="auto"/>
              <w:ind w:left="0" w:right="0" w:firstLine="0"/>
              <w:rPr>
                <w:rFonts w:eastAsia="Calibri"/>
                <w:b/>
                <w:color w:val="auto"/>
                <w:sz w:val="22"/>
                <w:lang w:eastAsia="en-US"/>
              </w:rPr>
            </w:pPr>
          </w:p>
        </w:tc>
      </w:tr>
      <w:tr w:rsidR="00261812" w:rsidRPr="00EF6B69" w14:paraId="271FE42A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A068B" w14:textId="77777777" w:rsidR="00261812" w:rsidRPr="00EF6B69" w:rsidRDefault="00261812" w:rsidP="003C4824">
            <w:pPr>
              <w:tabs>
                <w:tab w:val="left" w:pos="0"/>
              </w:tabs>
              <w:spacing w:after="0"/>
              <w:rPr>
                <w:rFonts w:eastAsia="Calibri"/>
                <w:color w:val="auto"/>
              </w:rPr>
            </w:pPr>
            <w:r w:rsidRPr="00EF6B69">
              <w:rPr>
                <w:b/>
                <w:color w:val="auto"/>
              </w:rPr>
              <w:t>TS.2.1.</w:t>
            </w:r>
            <w:r w:rsidRPr="00EF6B69">
              <w:rPr>
                <w:color w:val="auto"/>
              </w:rPr>
              <w:t>Programın program çıktıları olmalı, güncellenmeli ve yayımlanmalıdır.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29B55F" w14:textId="77777777" w:rsidR="00261812" w:rsidRPr="00EF6B69" w:rsidRDefault="00261812" w:rsidP="003C4824">
            <w:pPr>
              <w:tabs>
                <w:tab w:val="left" w:pos="0"/>
              </w:tabs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56A83146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80F341" w14:textId="77777777" w:rsidR="00261812" w:rsidRPr="00EF6B69" w:rsidRDefault="00261812" w:rsidP="003C4824">
            <w:pPr>
              <w:spacing w:after="0" w:line="240" w:lineRule="auto"/>
              <w:rPr>
                <w:b/>
                <w:i/>
                <w:color w:val="auto"/>
                <w:sz w:val="22"/>
              </w:rPr>
            </w:pPr>
            <w:r w:rsidRPr="00EF6B69">
              <w:rPr>
                <w:b/>
                <w:i/>
                <w:color w:val="auto"/>
                <w:sz w:val="22"/>
              </w:rPr>
              <w:t xml:space="preserve">HEMŞİRELİK LİSANS PROGRAMI HEPDAK ÇIKTILARI  </w:t>
            </w:r>
          </w:p>
          <w:p w14:paraId="2700CFD8" w14:textId="77777777" w:rsidR="00261812" w:rsidRPr="00EF6B69" w:rsidRDefault="00261812" w:rsidP="003C4824">
            <w:pPr>
              <w:spacing w:after="0" w:line="240" w:lineRule="auto"/>
              <w:rPr>
                <w:b/>
                <w:i/>
                <w:color w:val="auto"/>
              </w:rPr>
            </w:pPr>
            <w:r w:rsidRPr="00EF6B69">
              <w:rPr>
                <w:b/>
                <w:i/>
                <w:color w:val="auto"/>
              </w:rPr>
              <w:t>Bu programda mezuniyet aşamasındaki öğrenci:</w:t>
            </w:r>
            <w:r w:rsidRPr="00EF6B69">
              <w:rPr>
                <w:b/>
                <w:i/>
                <w:color w:val="auto"/>
              </w:rPr>
              <w:tab/>
            </w:r>
            <w:r w:rsidRPr="00EF6B69">
              <w:rPr>
                <w:b/>
                <w:i/>
                <w:color w:val="auto"/>
              </w:rPr>
              <w:tab/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325307" w14:textId="77777777" w:rsidR="00261812" w:rsidRPr="00EF6B69" w:rsidRDefault="00261812" w:rsidP="003C4824">
            <w:pPr>
              <w:spacing w:after="0" w:line="240" w:lineRule="auto"/>
              <w:rPr>
                <w:b/>
                <w:i/>
                <w:color w:val="auto"/>
                <w:sz w:val="22"/>
              </w:rPr>
            </w:pPr>
          </w:p>
        </w:tc>
      </w:tr>
      <w:tr w:rsidR="00261812" w:rsidRPr="00EF6B69" w14:paraId="1D7A1FA4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771C54" w14:textId="77777777" w:rsidR="00261812" w:rsidRPr="00EF6B69" w:rsidRDefault="00261812" w:rsidP="003C4824">
            <w:pPr>
              <w:spacing w:after="0" w:line="240" w:lineRule="auto"/>
              <w:ind w:left="11" w:right="272" w:hanging="11"/>
              <w:rPr>
                <w:i/>
                <w:color w:val="auto"/>
                <w:sz w:val="20"/>
                <w:szCs w:val="20"/>
              </w:rPr>
            </w:pPr>
            <w:r w:rsidRPr="00EF6B69">
              <w:rPr>
                <w:i/>
                <w:color w:val="auto"/>
                <w:sz w:val="20"/>
                <w:szCs w:val="20"/>
              </w:rPr>
              <w:t>1.Mesleki rol ve işlevleriyle ilgili temel bilgi, tutum ve beceriye sahiptir.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868A73" w14:textId="77777777" w:rsidR="00261812" w:rsidRPr="00EF6B69" w:rsidRDefault="00261812" w:rsidP="003C4824">
            <w:pPr>
              <w:spacing w:after="0" w:line="240" w:lineRule="auto"/>
              <w:ind w:left="11" w:right="272" w:hanging="11"/>
              <w:rPr>
                <w:i/>
                <w:color w:val="auto"/>
                <w:sz w:val="20"/>
                <w:szCs w:val="20"/>
              </w:rPr>
            </w:pPr>
          </w:p>
        </w:tc>
      </w:tr>
      <w:tr w:rsidR="00261812" w:rsidRPr="00EF6B69" w14:paraId="04D980E1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1CA374" w14:textId="77777777" w:rsidR="00261812" w:rsidRPr="00EF6B69" w:rsidRDefault="00261812" w:rsidP="003C4824">
            <w:pPr>
              <w:spacing w:after="0" w:line="240" w:lineRule="auto"/>
              <w:ind w:left="11" w:right="272" w:hanging="11"/>
              <w:rPr>
                <w:i/>
                <w:color w:val="auto"/>
                <w:sz w:val="20"/>
                <w:szCs w:val="20"/>
              </w:rPr>
            </w:pPr>
            <w:r w:rsidRPr="00EF6B69">
              <w:rPr>
                <w:i/>
                <w:color w:val="auto"/>
                <w:sz w:val="20"/>
                <w:szCs w:val="20"/>
              </w:rPr>
              <w:t>2. Hemşirelikle ilgili bilimsel ve güncel bilgiye ulaşır ve kullanır.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B780EA" w14:textId="77777777" w:rsidR="00261812" w:rsidRPr="00EF6B69" w:rsidRDefault="00261812" w:rsidP="003C4824">
            <w:pPr>
              <w:spacing w:after="0" w:line="240" w:lineRule="auto"/>
              <w:ind w:left="11" w:right="272" w:hanging="11"/>
              <w:rPr>
                <w:i/>
                <w:color w:val="auto"/>
                <w:sz w:val="20"/>
                <w:szCs w:val="20"/>
              </w:rPr>
            </w:pPr>
          </w:p>
        </w:tc>
      </w:tr>
      <w:tr w:rsidR="00261812" w:rsidRPr="00EF6B69" w14:paraId="3EAB5F58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31F28F" w14:textId="77777777" w:rsidR="00261812" w:rsidRPr="00EF6B69" w:rsidRDefault="00261812" w:rsidP="003C4824">
            <w:pPr>
              <w:spacing w:after="0" w:line="240" w:lineRule="auto"/>
              <w:ind w:left="11" w:right="272" w:hanging="11"/>
              <w:rPr>
                <w:i/>
                <w:color w:val="auto"/>
                <w:sz w:val="20"/>
                <w:szCs w:val="20"/>
              </w:rPr>
            </w:pPr>
            <w:r w:rsidRPr="00EF6B69">
              <w:rPr>
                <w:i/>
                <w:color w:val="auto"/>
                <w:sz w:val="20"/>
                <w:szCs w:val="20"/>
              </w:rPr>
              <w:t>3.Hemşirelik bakımını, kanıta dayalı olarak hemşirelik süreci doğrultusunda uygular.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3321FB" w14:textId="77777777" w:rsidR="00261812" w:rsidRPr="00EF6B69" w:rsidRDefault="00261812" w:rsidP="003C4824">
            <w:pPr>
              <w:spacing w:after="0" w:line="240" w:lineRule="auto"/>
              <w:ind w:left="11" w:right="272" w:hanging="11"/>
              <w:rPr>
                <w:i/>
                <w:color w:val="auto"/>
                <w:sz w:val="20"/>
                <w:szCs w:val="20"/>
              </w:rPr>
            </w:pPr>
          </w:p>
        </w:tc>
      </w:tr>
      <w:tr w:rsidR="00261812" w:rsidRPr="00EF6B69" w14:paraId="5CD6B7C1" w14:textId="77777777" w:rsidTr="003C4824">
        <w:trPr>
          <w:trHeight w:val="331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757F8B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40" w:lineRule="auto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EF6B69">
              <w:rPr>
                <w:rFonts w:eastAsia="Calibri"/>
                <w:i/>
                <w:color w:val="auto"/>
                <w:sz w:val="20"/>
                <w:szCs w:val="20"/>
              </w:rPr>
              <w:t>4.Hemşirelik uygulamalarını etik ilkeler ve yasal düzenlemeler doğrultusunda gerçekleştirir.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AAE9C2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40" w:lineRule="auto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261812" w:rsidRPr="00EF6B69" w14:paraId="75951233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543FC1" w14:textId="77777777" w:rsidR="00261812" w:rsidRPr="00EF6B69" w:rsidRDefault="00261812" w:rsidP="003C4824">
            <w:pPr>
              <w:tabs>
                <w:tab w:val="left" w:pos="0"/>
              </w:tabs>
              <w:spacing w:after="0"/>
              <w:ind w:left="11" w:right="272" w:hanging="11"/>
              <w:rPr>
                <w:i/>
                <w:color w:val="auto"/>
                <w:sz w:val="20"/>
                <w:szCs w:val="20"/>
              </w:rPr>
            </w:pPr>
            <w:r w:rsidRPr="00EF6B69">
              <w:rPr>
                <w:rFonts w:eastAsia="Calibri"/>
                <w:i/>
                <w:color w:val="auto"/>
                <w:sz w:val="20"/>
                <w:szCs w:val="20"/>
              </w:rPr>
              <w:t>5.Bilişim ve bakım teknolojilerini hemşirelik uygulamalarında kullanır.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1EA462" w14:textId="77777777" w:rsidR="00261812" w:rsidRPr="00EF6B69" w:rsidRDefault="00261812" w:rsidP="003C4824">
            <w:pPr>
              <w:tabs>
                <w:tab w:val="left" w:pos="0"/>
              </w:tabs>
              <w:spacing w:after="0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261812" w:rsidRPr="00EF6B69" w14:paraId="42831878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E81D1E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40" w:lineRule="auto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EF6B69">
              <w:rPr>
                <w:rFonts w:eastAsia="Calibri"/>
                <w:i/>
                <w:color w:val="auto"/>
                <w:sz w:val="20"/>
                <w:szCs w:val="20"/>
              </w:rPr>
              <w:t>6.Birey/aile/toplum ve sağlık bakım ekibi üyeleriyle etkili iletişim kurar ve iş birliği içinde çalışır.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20BFF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40" w:lineRule="auto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261812" w:rsidRPr="00EF6B69" w14:paraId="0C277152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4E7D79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40" w:lineRule="auto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EF6B69">
              <w:rPr>
                <w:rFonts w:eastAsia="Calibri"/>
                <w:i/>
                <w:color w:val="auto"/>
                <w:sz w:val="20"/>
                <w:szCs w:val="20"/>
              </w:rPr>
              <w:t>7.Hemşirelik alanına ilişkin bilimsel araştırma, proje ve etkinliklerde sorumluluk alır.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30688A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40" w:lineRule="auto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261812" w:rsidRPr="00EF6B69" w14:paraId="1B4EBDB2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2FB94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40" w:lineRule="auto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EF6B69">
              <w:rPr>
                <w:rFonts w:eastAsia="Calibri"/>
                <w:i/>
                <w:color w:val="auto"/>
                <w:sz w:val="20"/>
                <w:szCs w:val="20"/>
              </w:rPr>
              <w:t>8.Hemşirelik uygulamalarında sorun çözme ve eleştirel düşünme becerilerini kullanır.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EA3DBA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40" w:lineRule="auto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261812" w:rsidRPr="00EF6B69" w14:paraId="38132C4C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02730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40" w:lineRule="auto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EF6B69">
              <w:rPr>
                <w:rFonts w:eastAsia="Calibri"/>
                <w:i/>
                <w:color w:val="auto"/>
                <w:sz w:val="20"/>
                <w:szCs w:val="20"/>
              </w:rPr>
              <w:t>9.En az bir yabancı dili kullanarak alanındaki gelişmeleri izler ve meslektaşlarıyla paylaşır.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7C27E3" w14:textId="77777777" w:rsidR="00261812" w:rsidRPr="00EF6B69" w:rsidRDefault="00261812" w:rsidP="003C4824">
            <w:pPr>
              <w:autoSpaceDE w:val="0"/>
              <w:autoSpaceDN w:val="0"/>
              <w:adjustRightInd w:val="0"/>
              <w:spacing w:after="0" w:line="240" w:lineRule="auto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261812" w:rsidRPr="00EF6B69" w14:paraId="2551A8D1" w14:textId="77777777" w:rsidTr="003C4824">
        <w:trPr>
          <w:trHeight w:val="27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972A9D" w14:textId="77777777" w:rsidR="00261812" w:rsidRPr="00EF6B69" w:rsidRDefault="00261812" w:rsidP="003C4824">
            <w:pPr>
              <w:tabs>
                <w:tab w:val="left" w:pos="0"/>
              </w:tabs>
              <w:spacing w:after="0"/>
              <w:ind w:left="11" w:right="272" w:hanging="11"/>
              <w:rPr>
                <w:i/>
                <w:color w:val="auto"/>
                <w:sz w:val="20"/>
                <w:szCs w:val="20"/>
              </w:rPr>
            </w:pPr>
            <w:r w:rsidRPr="00EF6B69">
              <w:rPr>
                <w:rFonts w:eastAsia="Calibri"/>
                <w:i/>
                <w:color w:val="auto"/>
                <w:sz w:val="20"/>
                <w:szCs w:val="20"/>
              </w:rPr>
              <w:t>10.Yaşam boyu öğrenmeyi benimseyerek sürekli mesleki ve bireysel gelişimini sürdürür.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4A9C0F" w14:textId="77777777" w:rsidR="00261812" w:rsidRPr="00EF6B69" w:rsidRDefault="00261812" w:rsidP="003C4824">
            <w:pPr>
              <w:tabs>
                <w:tab w:val="left" w:pos="0"/>
              </w:tabs>
              <w:spacing w:after="0"/>
              <w:ind w:left="11" w:right="272" w:hanging="11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261812" w:rsidRPr="00EF6B69" w14:paraId="219ED8FF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C62AB3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T.S.2.2.</w:t>
            </w:r>
            <w:r w:rsidRPr="00EF6B69">
              <w:rPr>
                <w:color w:val="auto"/>
              </w:rPr>
              <w:t xml:space="preserve"> Program çıktılarına ulaşıldığı kanıtlanmalıdır.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60E785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05C031C8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65F775E4" w14:textId="77777777" w:rsidR="00261812" w:rsidRPr="00EF6B69" w:rsidRDefault="00261812" w:rsidP="003C4824">
            <w:pPr>
              <w:tabs>
                <w:tab w:val="left" w:pos="0"/>
              </w:tabs>
              <w:spacing w:before="120" w:after="120" w:line="276" w:lineRule="auto"/>
              <w:ind w:left="0" w:right="0" w:firstLine="0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EF6B69">
              <w:rPr>
                <w:rFonts w:eastAsia="Calibri"/>
                <w:b/>
                <w:color w:val="auto"/>
                <w:sz w:val="22"/>
                <w:lang w:eastAsia="en-US"/>
              </w:rPr>
              <w:t>STANDART 3. EĞİTİM PROGRAMI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6172A210" w14:textId="77777777" w:rsidR="00261812" w:rsidRPr="00EF6B69" w:rsidRDefault="00261812" w:rsidP="003C4824">
            <w:pPr>
              <w:tabs>
                <w:tab w:val="left" w:pos="0"/>
              </w:tabs>
              <w:spacing w:before="120" w:after="120" w:line="276" w:lineRule="auto"/>
              <w:ind w:left="0" w:right="0" w:firstLine="0"/>
              <w:rPr>
                <w:rFonts w:eastAsia="Calibri"/>
                <w:b/>
                <w:color w:val="auto"/>
                <w:sz w:val="22"/>
                <w:lang w:eastAsia="en-US"/>
              </w:rPr>
            </w:pPr>
          </w:p>
        </w:tc>
      </w:tr>
      <w:tr w:rsidR="00261812" w:rsidRPr="00EF6B69" w14:paraId="259A1528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94283B3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  <w:r w:rsidRPr="00EF6B69">
              <w:rPr>
                <w:b/>
                <w:color w:val="auto"/>
              </w:rPr>
              <w:t>TS.3.1.</w:t>
            </w:r>
            <w:r w:rsidRPr="00EF6B69">
              <w:rPr>
                <w:color w:val="auto"/>
              </w:rPr>
              <w:t>Eğitim programı modeli tanımlanmış ve program tanımlanan modele göre yapılandırılmıştır.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C32CCA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0849EB4B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32A55DB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  <w:r w:rsidRPr="00EF6B69">
              <w:rPr>
                <w:b/>
                <w:color w:val="auto"/>
              </w:rPr>
              <w:t>T.S.3.2.</w:t>
            </w:r>
            <w:r w:rsidRPr="00EF6B69">
              <w:rPr>
                <w:color w:val="auto"/>
              </w:rPr>
              <w:t>Eğitim programının içeriği, hemşirelik lisans programının özgörevini, amaçlarını ve program çıktılarını destekler nitelikte yapılandırılmıştır.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C807C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2D0A344D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6D45259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Calibri"/>
                <w:bCs/>
                <w:color w:val="auto"/>
              </w:rPr>
            </w:pPr>
            <w:r w:rsidRPr="00EF6B69">
              <w:rPr>
                <w:b/>
                <w:color w:val="auto"/>
              </w:rPr>
              <w:t>T.S.3.3.</w:t>
            </w:r>
            <w:r w:rsidRPr="00EF6B69">
              <w:rPr>
                <w:color w:val="auto"/>
              </w:rPr>
              <w:t>Eğitim programının, öğrenci iş yüküne dayalı Ulusal ve Avrupa Kredi Transfer Sistemi’nde (AKTS) belirtilen kredi tanımları yapılmıştır.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7D95A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792EC525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85494F" w14:textId="77777777" w:rsidR="00261812" w:rsidRPr="00EF6B69" w:rsidRDefault="00261812" w:rsidP="003C4824">
            <w:pPr>
              <w:spacing w:after="0"/>
              <w:ind w:left="5"/>
              <w:rPr>
                <w:color w:val="auto"/>
              </w:rPr>
            </w:pPr>
            <w:r w:rsidRPr="00EF6B69">
              <w:rPr>
                <w:b/>
                <w:color w:val="auto"/>
              </w:rPr>
              <w:lastRenderedPageBreak/>
              <w:t>T.S.3.4.</w:t>
            </w:r>
            <w:r w:rsidRPr="00EF6B69">
              <w:rPr>
                <w:color w:val="auto"/>
              </w:rPr>
              <w:t>Laboratuvar uygulamaları, öğrenciden beklenen bilgi, tutum ve becerileri kazandırmalıdır.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A45A6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6677CAD7" w14:textId="77777777" w:rsidTr="003C4824">
        <w:trPr>
          <w:trHeight w:val="182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E2676" w14:textId="77777777" w:rsidR="00261812" w:rsidRPr="00EF6B69" w:rsidRDefault="00261812" w:rsidP="003C4824">
            <w:pPr>
              <w:spacing w:after="0"/>
              <w:ind w:left="5"/>
              <w:rPr>
                <w:color w:val="auto"/>
              </w:rPr>
            </w:pPr>
            <w:r w:rsidRPr="00EF6B69">
              <w:rPr>
                <w:b/>
                <w:color w:val="auto"/>
              </w:rPr>
              <w:t>T.S.3.5.</w:t>
            </w:r>
            <w:r w:rsidRPr="00EF6B69">
              <w:rPr>
                <w:color w:val="auto"/>
              </w:rPr>
              <w:t>Klinik ve saha uygulamaları, öğrenciden beklenen bilgi, tutum ve becerileri kazandırmalıdır.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2646D2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2371913E" w14:textId="77777777" w:rsidTr="003C4824">
        <w:trPr>
          <w:trHeight w:val="182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AD912B" w14:textId="77777777" w:rsidR="00261812" w:rsidRPr="00EF6B69" w:rsidRDefault="00261812" w:rsidP="003C4824">
            <w:pPr>
              <w:spacing w:after="0"/>
              <w:ind w:left="5"/>
              <w:rPr>
                <w:color w:val="auto"/>
              </w:rPr>
            </w:pPr>
            <w:r w:rsidRPr="00EF6B69">
              <w:rPr>
                <w:b/>
                <w:color w:val="auto"/>
              </w:rPr>
              <w:t>T.S.3.6.</w:t>
            </w:r>
            <w:r w:rsidRPr="00EF6B69">
              <w:rPr>
                <w:color w:val="auto"/>
              </w:rPr>
              <w:t>Öğrenme etkinlikleri öğrenci merkezli yöntemlerle ölçülmeli ve değerlendirilmelidir.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6EA26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575BF18E" w14:textId="77777777" w:rsidTr="003C4824">
        <w:trPr>
          <w:trHeight w:val="182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DDBE68" w14:textId="77777777" w:rsidR="00261812" w:rsidRPr="00EF6B69" w:rsidRDefault="00261812" w:rsidP="003C4824">
            <w:pPr>
              <w:spacing w:after="0"/>
              <w:ind w:left="5"/>
              <w:rPr>
                <w:color w:val="auto"/>
              </w:rPr>
            </w:pPr>
            <w:r w:rsidRPr="00EF6B69">
              <w:rPr>
                <w:b/>
                <w:color w:val="auto"/>
              </w:rPr>
              <w:t>T.S.3.7.</w:t>
            </w:r>
            <w:r w:rsidRPr="00EF6B69">
              <w:rPr>
                <w:color w:val="auto"/>
              </w:rPr>
              <w:t>Programın yapı, süreç ve sonuç bileşenlerini kapsayan bir program değerlendirme sistemi olmalıdır.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DE6F2E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0B9CF4ED" w14:textId="77777777" w:rsidTr="003C4824">
        <w:trPr>
          <w:trHeight w:val="182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EB71D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T.S.3.8.</w:t>
            </w:r>
            <w:r w:rsidRPr="00EF6B69">
              <w:rPr>
                <w:color w:val="auto"/>
              </w:rPr>
              <w:t>Öğrencilerin program dışı öğrenmeleri tanınmalıdır.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3CE44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37506D78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1F6CE2FE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before="120" w:after="120" w:line="276" w:lineRule="auto"/>
              <w:ind w:left="0" w:right="0" w:firstLine="0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EF6B69">
              <w:rPr>
                <w:rFonts w:eastAsia="Calibri"/>
                <w:b/>
                <w:color w:val="auto"/>
                <w:sz w:val="22"/>
                <w:lang w:eastAsia="en-US"/>
              </w:rPr>
              <w:t xml:space="preserve">STANDART 4. ÖĞRENCİLER        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2F4CFB46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before="120" w:after="120" w:line="276" w:lineRule="auto"/>
              <w:ind w:left="0" w:right="0" w:firstLine="0"/>
              <w:rPr>
                <w:rFonts w:eastAsia="Calibri"/>
                <w:b/>
                <w:color w:val="auto"/>
                <w:sz w:val="22"/>
                <w:lang w:eastAsia="en-US"/>
              </w:rPr>
            </w:pPr>
          </w:p>
        </w:tc>
      </w:tr>
      <w:tr w:rsidR="00261812" w:rsidRPr="00EF6B69" w14:paraId="76D90FD4" w14:textId="77777777" w:rsidTr="003C4824">
        <w:trPr>
          <w:trHeight w:val="385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84618C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TS.4.1.</w:t>
            </w:r>
            <w:r w:rsidRPr="00EF6B69">
              <w:rPr>
                <w:color w:val="auto"/>
              </w:rPr>
              <w:t>Öğrenci sayısı, kabulü ve programa kayıtlı öğrencilerle ilgili bilgiler izlenmelidir.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9F003E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19CCC1DD" w14:textId="77777777" w:rsidTr="003C4824">
        <w:trPr>
          <w:trHeight w:val="181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4138E6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TS.4.2.</w:t>
            </w:r>
            <w:r w:rsidRPr="00EF6B69">
              <w:rPr>
                <w:color w:val="auto"/>
              </w:rPr>
              <w:t>Öğrenci değişim programlarında izlenen politikalar ayrıntılı olarak tanımlanmış ve uygulanıyor olmalıdır.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06CDA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2D7DE604" w14:textId="77777777" w:rsidTr="003C4824">
        <w:trPr>
          <w:trHeight w:val="302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35F4E7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TS.4.3.</w:t>
            </w:r>
            <w:r w:rsidRPr="00EF6B69">
              <w:rPr>
                <w:color w:val="auto"/>
              </w:rPr>
              <w:t>Öğrenciler için akademik danışmanlık sistemi oluşturulmalı ve işletilmelidir.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0135E8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19ECA1DD" w14:textId="77777777" w:rsidTr="003C4824">
        <w:trPr>
          <w:trHeight w:val="379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EDEE09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TS.4.4.</w:t>
            </w:r>
            <w:r w:rsidRPr="00EF6B69">
              <w:rPr>
                <w:color w:val="auto"/>
              </w:rPr>
              <w:t>Öğrenciler için kariyer danışmanlık sistemi oluşturulmalı ve işletilmelidir.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D1AD28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3CF7107C" w14:textId="77777777" w:rsidTr="003C4824">
        <w:trPr>
          <w:trHeight w:val="454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0A55F5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Calibri"/>
                <w:color w:val="auto"/>
              </w:rPr>
            </w:pPr>
            <w:r w:rsidRPr="00EF6B69">
              <w:rPr>
                <w:b/>
                <w:color w:val="auto"/>
              </w:rPr>
              <w:t>TS.4.5.</w:t>
            </w:r>
            <w:r w:rsidRPr="00EF6B69">
              <w:rPr>
                <w:color w:val="auto"/>
              </w:rPr>
              <w:t xml:space="preserve">Kurum/Eğitim programında öğrenciler için yürütülen psikolojik danışmanlık ve rehberlik hizmetleri bulunmalıdır.  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905418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46E79471" w14:textId="77777777" w:rsidTr="003C4824">
        <w:trPr>
          <w:trHeight w:val="201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030F2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  <w:r w:rsidRPr="00EF6B69">
              <w:rPr>
                <w:b/>
                <w:color w:val="auto"/>
              </w:rPr>
              <w:t>TS.4.6.</w:t>
            </w:r>
            <w:r w:rsidRPr="00EF6B69">
              <w:rPr>
                <w:color w:val="auto"/>
              </w:rPr>
              <w:t xml:space="preserve"> Eğitim programının yönetimine öğrencilerin katılımı sağlanmalıdır.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A2B431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7702448E" w14:textId="77777777" w:rsidTr="003C4824">
        <w:trPr>
          <w:trHeight w:val="201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368852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TS.4.7.</w:t>
            </w:r>
            <w:r w:rsidRPr="00EF6B69">
              <w:rPr>
                <w:color w:val="auto"/>
              </w:rPr>
              <w:t>Öğrenciler için uyum programı olmalıdır.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188063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</w:p>
        </w:tc>
      </w:tr>
      <w:tr w:rsidR="00261812" w:rsidRPr="00EF6B69" w14:paraId="7EF0C2A8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CFFB0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  <w:r w:rsidRPr="00EF6B69">
              <w:rPr>
                <w:b/>
                <w:color w:val="auto"/>
              </w:rPr>
              <w:t>T.S.4.8.</w:t>
            </w:r>
            <w:r w:rsidRPr="00EF6B69">
              <w:rPr>
                <w:color w:val="auto"/>
              </w:rPr>
              <w:t>Öğrencilerin bilimsel, sosyal, kültürel ve sportif faaliyetleri desteklenmelidir.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B9BF67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43FEB576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68AAFA" w14:textId="77777777" w:rsidR="00261812" w:rsidRPr="00261812" w:rsidRDefault="00261812" w:rsidP="003C4824">
            <w:pPr>
              <w:spacing w:after="0"/>
              <w:ind w:left="5"/>
              <w:rPr>
                <w:b/>
                <w:color w:val="auto"/>
                <w:szCs w:val="24"/>
              </w:rPr>
            </w:pPr>
            <w:r w:rsidRPr="00261812">
              <w:rPr>
                <w:b/>
                <w:color w:val="auto"/>
                <w:szCs w:val="24"/>
              </w:rPr>
              <w:t>T.S.4.9.</w:t>
            </w:r>
            <w:r w:rsidRPr="00261812">
              <w:rPr>
                <w:color w:val="auto"/>
                <w:szCs w:val="24"/>
              </w:rPr>
              <w:t xml:space="preserve"> Öğrenciler için akran yönderlik sistemi olmalıdır.   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743414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7EBD1071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1D8453AD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before="120" w:after="120"/>
              <w:rPr>
                <w:rFonts w:eastAsia="Calibri"/>
                <w:b/>
                <w:color w:val="auto"/>
              </w:rPr>
            </w:pPr>
            <w:r w:rsidRPr="00EF6B69">
              <w:rPr>
                <w:rFonts w:eastAsia="Calibri"/>
                <w:b/>
                <w:color w:val="auto"/>
              </w:rPr>
              <w:t xml:space="preserve">5.  ÖĞRETİM ELEMANLARI    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88AC539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5EAB93C7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2CBF41" w14:textId="77777777" w:rsidR="00261812" w:rsidRPr="00EF6B69" w:rsidRDefault="00261812" w:rsidP="003C4824">
            <w:pPr>
              <w:keepNext/>
              <w:keepLines/>
              <w:spacing w:before="40" w:after="1"/>
              <w:ind w:left="-4"/>
              <w:outlineLvl w:val="1"/>
              <w:rPr>
                <w:color w:val="auto"/>
              </w:rPr>
            </w:pPr>
            <w:r w:rsidRPr="00EF6B69">
              <w:rPr>
                <w:b/>
                <w:color w:val="auto"/>
              </w:rPr>
              <w:t>TS.5.1.</w:t>
            </w:r>
            <w:r w:rsidRPr="00EF6B69">
              <w:rPr>
                <w:color w:val="auto"/>
              </w:rPr>
              <w:t>Programın kadro geliştirmeye yönelik bir politikası ve eğitim programının özelliğine uygun öğretim elemanı kadrosu bulunmalıdır.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B1F25C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43986B7B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5129E8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TS.5.2.</w:t>
            </w:r>
            <w:r w:rsidRPr="00EF6B69">
              <w:rPr>
                <w:color w:val="auto"/>
              </w:rPr>
              <w:t>Göreve yeni başlayan ve görev değişikliği olan öğretim elemanı için uyum programı düzenlenmelidir.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C1A9B4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6EE22155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6028B9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TS.5.3.</w:t>
            </w:r>
            <w:r w:rsidRPr="00EF6B69">
              <w:rPr>
                <w:color w:val="auto"/>
              </w:rPr>
              <w:t>Öğretim elemanlarının profesyonel gelişimine yönelik ulusal ve uluslararası bilimsel etkinliklere katılımı desteklenmelidir.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070F49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51DF22A3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25B475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Calibri"/>
                <w:color w:val="auto"/>
              </w:rPr>
            </w:pPr>
            <w:r w:rsidRPr="00EF6B69">
              <w:rPr>
                <w:b/>
                <w:color w:val="auto"/>
              </w:rPr>
              <w:t>TS.5.4.</w:t>
            </w:r>
            <w:r w:rsidRPr="00EF6B69">
              <w:rPr>
                <w:color w:val="auto"/>
              </w:rPr>
              <w:t>Öğretim elemanları eğitimci yetkinliğini geliştirmeye yönelik eğitim programlarına katılmalıdır.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88F300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358D5CBE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40A6AC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TS.5.5.</w:t>
            </w:r>
            <w:r w:rsidRPr="00EF6B69">
              <w:rPr>
                <w:color w:val="auto"/>
              </w:rPr>
              <w:t>Öğretim elemanı performansı düzenli olarak değerlendirilmelidir.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6FE0E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663D4126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0B2BAFF5" w14:textId="77777777" w:rsidR="00261812" w:rsidRPr="00EF6B69" w:rsidRDefault="00261812" w:rsidP="003C4824">
            <w:pPr>
              <w:tabs>
                <w:tab w:val="left" w:pos="0"/>
              </w:tabs>
              <w:spacing w:before="120" w:after="120"/>
              <w:rPr>
                <w:rFonts w:eastAsia="Calibri"/>
                <w:b/>
                <w:color w:val="auto"/>
              </w:rPr>
            </w:pPr>
            <w:r w:rsidRPr="00EF6B69">
              <w:rPr>
                <w:rFonts w:eastAsia="Calibri"/>
                <w:b/>
                <w:color w:val="auto"/>
              </w:rPr>
              <w:t xml:space="preserve">6. EĞİTİM YÖNETİMİ 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2609EFB2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64BDF138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F94591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T.S.6.1.</w:t>
            </w:r>
            <w:r w:rsidRPr="00EF6B69">
              <w:rPr>
                <w:color w:val="auto"/>
              </w:rPr>
              <w:t>Programın yürütüldüğü eğitim ortamının fiziksel alt yapısı ve olanakları program amaç ve çıktılarına ulaştıracak nitelikte olmalıdır.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EEA1B2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0B36A3A6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DBDD17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TS.6.2.</w:t>
            </w:r>
            <w:r w:rsidRPr="00EF6B69">
              <w:rPr>
                <w:color w:val="auto"/>
              </w:rPr>
              <w:t>Uygulama alanları (laboratuvar, klinik ve saha uygulama alanları) öğrencilere istenen bilgi, beceri, tutum ve yeterlilikleri kazandıracak alt yapıya sahip olmalıdır.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D9CD6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33780A28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0CBFB" w14:textId="77777777" w:rsidR="00261812" w:rsidRPr="00EF6B69" w:rsidRDefault="00261812" w:rsidP="003C4824">
            <w:pPr>
              <w:spacing w:after="0"/>
              <w:rPr>
                <w:b/>
                <w:color w:val="auto"/>
              </w:rPr>
            </w:pPr>
            <w:r w:rsidRPr="00EF6B69">
              <w:rPr>
                <w:b/>
                <w:color w:val="auto"/>
              </w:rPr>
              <w:t>TS.6.3.</w:t>
            </w:r>
            <w:r w:rsidRPr="00EF6B69">
              <w:rPr>
                <w:color w:val="auto"/>
              </w:rPr>
              <w:t>Programın bağlı bulunduğu üniversitede dinlenme ve sosyal etkinlik alanları öğrencilerin, akademik ve idari personelin gereksinimlerini karşılamalıdır.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0E2A42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03C6BEAB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1F2A74C1" w14:textId="77777777" w:rsidR="00261812" w:rsidRPr="00EF6B69" w:rsidRDefault="00261812" w:rsidP="003C4824">
            <w:pPr>
              <w:tabs>
                <w:tab w:val="left" w:pos="0"/>
              </w:tabs>
              <w:spacing w:before="120" w:after="120"/>
              <w:rPr>
                <w:rFonts w:eastAsia="Calibri"/>
                <w:b/>
                <w:color w:val="auto"/>
              </w:rPr>
            </w:pPr>
            <w:r w:rsidRPr="00EF6B69">
              <w:rPr>
                <w:rFonts w:eastAsia="Calibri"/>
                <w:b/>
                <w:color w:val="auto"/>
              </w:rPr>
              <w:t>7. FİZİKSEL ALTYAPI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ACDC9E2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7F2968F8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8D583F" w14:textId="77777777" w:rsidR="00261812" w:rsidRPr="00EF6B69" w:rsidDel="00A30553" w:rsidRDefault="00261812" w:rsidP="003C4824">
            <w:pPr>
              <w:spacing w:after="0"/>
              <w:ind w:left="1" w:right="58"/>
              <w:rPr>
                <w:color w:val="auto"/>
              </w:rPr>
            </w:pPr>
            <w:r w:rsidRPr="00EF6B69">
              <w:rPr>
                <w:b/>
                <w:color w:val="auto"/>
              </w:rPr>
              <w:t>TS.7.1.</w:t>
            </w:r>
            <w:r w:rsidRPr="00EF6B69">
              <w:rPr>
                <w:color w:val="auto"/>
              </w:rPr>
              <w:t>Programın yönetim ve idari birimlerinin yapısı ve işleyiş süreçleri tanımlanmıştır.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F5696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47D74F26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ACDFF0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lastRenderedPageBreak/>
              <w:t>TS.7.2.</w:t>
            </w:r>
            <w:r w:rsidRPr="00EF6B69">
              <w:rPr>
                <w:color w:val="auto"/>
              </w:rPr>
              <w:t>Program alanında yetkin ve lider yöneticiler tarafından yönetilmelidir.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17DF1D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3A06761E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044923" w14:textId="77777777" w:rsidR="00261812" w:rsidRPr="00EF6B69" w:rsidRDefault="00261812" w:rsidP="003C4824">
            <w:pPr>
              <w:spacing w:after="0"/>
              <w:rPr>
                <w:color w:val="auto"/>
              </w:rPr>
            </w:pPr>
            <w:r w:rsidRPr="00EF6B69">
              <w:rPr>
                <w:b/>
                <w:color w:val="auto"/>
              </w:rPr>
              <w:t>TS.7.3.</w:t>
            </w:r>
            <w:r w:rsidRPr="00EF6B69">
              <w:rPr>
                <w:color w:val="auto"/>
              </w:rPr>
              <w:t>Programın finansal kaynakları eğitim programının amaç ve çıktılarının gerçekleşmesini sağlayacak şekilde planlanmalı ve yönetilmelidir.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767F83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741582DF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E3937" w14:textId="77777777" w:rsidR="00261812" w:rsidRPr="00EF6B69" w:rsidRDefault="00261812" w:rsidP="003C4824">
            <w:pPr>
              <w:spacing w:after="0"/>
              <w:ind w:left="1"/>
              <w:rPr>
                <w:color w:val="auto"/>
              </w:rPr>
            </w:pPr>
            <w:r w:rsidRPr="00EF6B69">
              <w:rPr>
                <w:b/>
                <w:color w:val="auto"/>
              </w:rPr>
              <w:t>TS.7.4.</w:t>
            </w:r>
            <w:r w:rsidRPr="00EF6B69">
              <w:rPr>
                <w:color w:val="auto"/>
              </w:rPr>
              <w:t>Eğitim kurumunda bütünleşik bilgi yönetim ve belgelendirme sistemi bulunmalıdır.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15A987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7AE28529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4A9540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eastAsia="Calibri"/>
                <w:color w:val="auto"/>
              </w:rPr>
            </w:pPr>
            <w:r w:rsidRPr="00EF6B69">
              <w:rPr>
                <w:b/>
                <w:color w:val="auto"/>
              </w:rPr>
              <w:t>TS.7.5.</w:t>
            </w:r>
            <w:r w:rsidRPr="00EF6B69">
              <w:rPr>
                <w:color w:val="auto"/>
              </w:rPr>
              <w:t>Programın risk yönetim sistemi bulunmalıdır.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4CBC59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21AB6089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B6623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b/>
                <w:color w:val="auto"/>
              </w:rPr>
            </w:pPr>
            <w:r w:rsidRPr="00EF6B69">
              <w:rPr>
                <w:b/>
                <w:color w:val="auto"/>
              </w:rPr>
              <w:t>TS.7.6.</w:t>
            </w:r>
            <w:r w:rsidRPr="00EF6B69">
              <w:rPr>
                <w:color w:val="auto"/>
              </w:rPr>
              <w:t>Eğitim kurumu ile uygulama yapılan kurum ve kuruluşlar arasında iş birliği anlaşmaları bulunmalı ve uygulamalar bu kapsamda yürütülmelidir.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2A2A73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  <w:tr w:rsidR="00261812" w:rsidRPr="00EF6B69" w14:paraId="02ACA9D2" w14:textId="77777777" w:rsidTr="003C4824">
        <w:trPr>
          <w:trHeight w:val="363"/>
        </w:trPr>
        <w:tc>
          <w:tcPr>
            <w:tcW w:w="9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A32AAE" w14:textId="77777777" w:rsidR="00261812" w:rsidRPr="00EF6B69" w:rsidRDefault="00261812" w:rsidP="003C4824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b/>
                <w:color w:val="auto"/>
              </w:rPr>
            </w:pPr>
            <w:r w:rsidRPr="00EF6B69">
              <w:rPr>
                <w:b/>
                <w:color w:val="auto"/>
              </w:rPr>
              <w:t>TS.7.7.</w:t>
            </w:r>
            <w:r w:rsidRPr="00EF6B69">
              <w:rPr>
                <w:color w:val="auto"/>
              </w:rPr>
              <w:t>Eğitim kurumunda öğretme ve öğrenmeyi destekleyici bir sistem bulunmalıdır.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A936EA" w14:textId="77777777" w:rsidR="00261812" w:rsidRPr="00EF6B69" w:rsidRDefault="00261812" w:rsidP="003C4824">
            <w:pPr>
              <w:spacing w:after="0"/>
              <w:ind w:left="5"/>
              <w:rPr>
                <w:b/>
                <w:color w:val="auto"/>
              </w:rPr>
            </w:pPr>
          </w:p>
        </w:tc>
      </w:tr>
    </w:tbl>
    <w:p w14:paraId="34FB85AD" w14:textId="77777777" w:rsidR="00261812" w:rsidRPr="00EF6B69" w:rsidRDefault="00261812" w:rsidP="00261812">
      <w:pPr>
        <w:spacing w:after="200" w:line="276" w:lineRule="auto"/>
        <w:ind w:left="0" w:right="0" w:firstLine="0"/>
        <w:jc w:val="left"/>
        <w:rPr>
          <w:rFonts w:ascii="Calibri" w:hAnsi="Calibri" w:cs="Calibri"/>
          <w:color w:val="auto"/>
          <w:sz w:val="22"/>
          <w:lang w:eastAsia="en-US"/>
        </w:rPr>
      </w:pPr>
    </w:p>
    <w:p w14:paraId="30441405" w14:textId="77777777" w:rsidR="00261812" w:rsidRPr="00EF6B69" w:rsidRDefault="00261812" w:rsidP="00261812">
      <w:pPr>
        <w:spacing w:after="200" w:line="276" w:lineRule="auto"/>
        <w:ind w:left="0" w:right="0" w:firstLine="0"/>
        <w:jc w:val="left"/>
        <w:rPr>
          <w:rFonts w:ascii="Calibri" w:hAnsi="Calibri" w:cs="Calibri"/>
          <w:color w:val="auto"/>
          <w:sz w:val="22"/>
          <w:lang w:eastAsia="en-US"/>
        </w:rPr>
      </w:pPr>
    </w:p>
    <w:p w14:paraId="3EC0C9F3" w14:textId="77777777" w:rsidR="00261812" w:rsidRPr="00EF6B69" w:rsidRDefault="00261812" w:rsidP="00261812">
      <w:pPr>
        <w:spacing w:after="200" w:line="276" w:lineRule="auto"/>
        <w:ind w:left="0" w:right="0" w:firstLine="0"/>
        <w:jc w:val="left"/>
        <w:rPr>
          <w:rFonts w:ascii="Calibri" w:hAnsi="Calibri" w:cs="Calibri"/>
          <w:color w:val="auto"/>
          <w:sz w:val="22"/>
          <w:lang w:eastAsia="en-US"/>
        </w:rPr>
      </w:pPr>
    </w:p>
    <w:p w14:paraId="051049B8" w14:textId="77777777" w:rsidR="00261812" w:rsidRPr="00EF6B69" w:rsidRDefault="00261812" w:rsidP="00261812">
      <w:pPr>
        <w:spacing w:after="200" w:line="276" w:lineRule="auto"/>
        <w:ind w:left="0" w:right="0" w:firstLine="0"/>
        <w:jc w:val="left"/>
        <w:rPr>
          <w:rFonts w:ascii="Calibri" w:hAnsi="Calibri" w:cs="Calibri"/>
          <w:color w:val="auto"/>
          <w:sz w:val="22"/>
          <w:lang w:eastAsia="en-US"/>
        </w:rPr>
      </w:pPr>
    </w:p>
    <w:p w14:paraId="5CE8D489" w14:textId="77777777" w:rsidR="00261812" w:rsidRPr="00EF6B69" w:rsidRDefault="00261812" w:rsidP="00261812">
      <w:pPr>
        <w:spacing w:after="200" w:line="276" w:lineRule="auto"/>
        <w:ind w:left="0" w:right="0" w:firstLine="0"/>
        <w:jc w:val="left"/>
        <w:rPr>
          <w:rFonts w:ascii="Calibri" w:hAnsi="Calibri" w:cs="Calibri"/>
          <w:color w:val="auto"/>
          <w:sz w:val="22"/>
          <w:lang w:eastAsia="en-US"/>
        </w:rPr>
      </w:pPr>
    </w:p>
    <w:p w14:paraId="6B2E6A8D" w14:textId="77777777" w:rsidR="00261812" w:rsidRPr="00EF6B69" w:rsidRDefault="00261812" w:rsidP="00261812">
      <w:pPr>
        <w:spacing w:after="200" w:line="276" w:lineRule="auto"/>
        <w:ind w:left="0" w:right="0" w:firstLine="0"/>
        <w:jc w:val="left"/>
        <w:rPr>
          <w:rFonts w:ascii="Calibri" w:hAnsi="Calibri" w:cs="Calibri"/>
          <w:color w:val="auto"/>
          <w:sz w:val="22"/>
          <w:lang w:eastAsia="en-US"/>
        </w:rPr>
      </w:pPr>
    </w:p>
    <w:p w14:paraId="6EBA9ACE" w14:textId="77777777" w:rsidR="00261812" w:rsidRPr="00EF6B69" w:rsidRDefault="00261812" w:rsidP="00261812">
      <w:pPr>
        <w:spacing w:after="200" w:line="276" w:lineRule="auto"/>
        <w:ind w:left="0" w:right="0" w:firstLine="0"/>
        <w:jc w:val="left"/>
        <w:rPr>
          <w:rFonts w:ascii="Calibri" w:hAnsi="Calibri" w:cs="Calibri"/>
          <w:color w:val="auto"/>
          <w:sz w:val="22"/>
          <w:lang w:eastAsia="en-US"/>
        </w:rPr>
      </w:pPr>
    </w:p>
    <w:p w14:paraId="07D1CD25" w14:textId="77777777" w:rsidR="00261812" w:rsidRPr="00EF6B69" w:rsidRDefault="00261812" w:rsidP="00261812">
      <w:pPr>
        <w:spacing w:after="200" w:line="276" w:lineRule="auto"/>
        <w:ind w:left="0" w:right="0" w:firstLine="0"/>
        <w:jc w:val="left"/>
        <w:rPr>
          <w:rFonts w:ascii="Calibri" w:hAnsi="Calibri" w:cs="Calibri"/>
          <w:color w:val="auto"/>
          <w:sz w:val="22"/>
          <w:lang w:eastAsia="en-US"/>
        </w:rPr>
      </w:pPr>
    </w:p>
    <w:p w14:paraId="16B7C51B" w14:textId="77777777" w:rsidR="00261812" w:rsidRPr="00EF6B69" w:rsidRDefault="00261812" w:rsidP="00261812">
      <w:pPr>
        <w:spacing w:after="200" w:line="276" w:lineRule="auto"/>
        <w:ind w:left="0" w:right="0" w:firstLine="0"/>
        <w:jc w:val="left"/>
        <w:rPr>
          <w:rFonts w:ascii="Calibri" w:hAnsi="Calibri" w:cs="Calibri"/>
          <w:color w:val="auto"/>
          <w:sz w:val="22"/>
          <w:lang w:eastAsia="en-US"/>
        </w:rPr>
      </w:pPr>
    </w:p>
    <w:p w14:paraId="23116D49" w14:textId="77777777" w:rsidR="00261812" w:rsidRPr="00EF6B69" w:rsidRDefault="00261812" w:rsidP="00261812">
      <w:pPr>
        <w:rPr>
          <w:color w:val="auto"/>
        </w:rPr>
      </w:pPr>
    </w:p>
    <w:p w14:paraId="6E9A4024" w14:textId="77777777" w:rsidR="00261812" w:rsidRPr="00EF6B69" w:rsidRDefault="00261812" w:rsidP="00261812">
      <w:pPr>
        <w:spacing w:after="0" w:line="276" w:lineRule="auto"/>
        <w:ind w:left="0" w:right="0" w:firstLine="0"/>
        <w:rPr>
          <w:rFonts w:eastAsia="Calibri"/>
          <w:noProof/>
          <w:color w:val="auto"/>
          <w:sz w:val="22"/>
        </w:rPr>
      </w:pPr>
    </w:p>
    <w:p w14:paraId="2E9B8EE1" w14:textId="77777777" w:rsidR="00261812" w:rsidRPr="00EF6B69" w:rsidRDefault="00261812" w:rsidP="00261812">
      <w:pPr>
        <w:spacing w:after="136" w:line="276" w:lineRule="auto"/>
        <w:ind w:right="0"/>
        <w:rPr>
          <w:color w:val="auto"/>
        </w:rPr>
      </w:pPr>
    </w:p>
    <w:p w14:paraId="20C51380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4389CD19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188E0962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1C0AAB27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6054B3A2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2C7C3E18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3566FC4E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4AEA1128" w14:textId="77777777" w:rsidR="00261812" w:rsidRPr="00EF6B69" w:rsidRDefault="00261812" w:rsidP="00261812">
      <w:pPr>
        <w:spacing w:after="141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10A0F6B0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0A247889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3430D4E5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506426B6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2D2E05EF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lastRenderedPageBreak/>
        <w:t xml:space="preserve"> </w:t>
      </w:r>
    </w:p>
    <w:p w14:paraId="59A6784A" w14:textId="77777777" w:rsidR="00261812" w:rsidRPr="00EF6B69" w:rsidRDefault="00261812" w:rsidP="00261812">
      <w:pPr>
        <w:spacing w:after="136" w:line="276" w:lineRule="auto"/>
        <w:ind w:left="2870" w:right="0" w:firstLine="0"/>
        <w:jc w:val="center"/>
        <w:rPr>
          <w:color w:val="auto"/>
        </w:rPr>
      </w:pPr>
      <w:r w:rsidRPr="00EF6B69">
        <w:rPr>
          <w:b/>
          <w:color w:val="auto"/>
        </w:rPr>
        <w:t xml:space="preserve"> </w:t>
      </w:r>
    </w:p>
    <w:p w14:paraId="6261A03F" w14:textId="77777777" w:rsidR="00261812" w:rsidRPr="00EF6B69" w:rsidRDefault="00261812" w:rsidP="00261812">
      <w:pPr>
        <w:spacing w:after="0" w:line="276" w:lineRule="auto"/>
        <w:ind w:left="0" w:right="0" w:firstLine="0"/>
        <w:jc w:val="left"/>
        <w:rPr>
          <w:rFonts w:ascii="Calibri" w:eastAsia="Calibri" w:hAnsi="Calibri" w:cs="Calibri"/>
          <w:noProof/>
          <w:color w:val="auto"/>
          <w:sz w:val="22"/>
        </w:rPr>
      </w:pPr>
    </w:p>
    <w:p w14:paraId="564D8A45" w14:textId="77777777" w:rsidR="00261812" w:rsidRPr="00EF6B69" w:rsidRDefault="00261812" w:rsidP="00261812">
      <w:pPr>
        <w:spacing w:after="0" w:line="276" w:lineRule="auto"/>
        <w:ind w:left="0" w:right="0" w:firstLine="0"/>
        <w:jc w:val="left"/>
        <w:rPr>
          <w:rFonts w:ascii="Calibri" w:eastAsia="Calibri" w:hAnsi="Calibri" w:cs="Calibri"/>
          <w:noProof/>
          <w:color w:val="auto"/>
          <w:sz w:val="22"/>
        </w:rPr>
      </w:pPr>
    </w:p>
    <w:p w14:paraId="77BE5CCB" w14:textId="77777777" w:rsidR="00261812" w:rsidRPr="00EF6B69" w:rsidRDefault="00261812" w:rsidP="00261812">
      <w:pPr>
        <w:spacing w:after="0" w:line="276" w:lineRule="auto"/>
        <w:ind w:left="0" w:right="0" w:firstLine="0"/>
        <w:jc w:val="left"/>
        <w:rPr>
          <w:rFonts w:ascii="Calibri" w:eastAsia="Calibri" w:hAnsi="Calibri" w:cs="Calibri"/>
          <w:noProof/>
          <w:color w:val="auto"/>
          <w:sz w:val="22"/>
        </w:rPr>
      </w:pPr>
    </w:p>
    <w:p w14:paraId="5CFACEE1" w14:textId="77777777" w:rsidR="00261812" w:rsidRPr="00EF6B69" w:rsidRDefault="00261812" w:rsidP="00261812">
      <w:pPr>
        <w:spacing w:after="0" w:line="276" w:lineRule="auto"/>
        <w:ind w:left="0" w:right="0" w:firstLine="0"/>
        <w:jc w:val="left"/>
        <w:rPr>
          <w:rFonts w:ascii="Calibri" w:eastAsia="Calibri" w:hAnsi="Calibri" w:cs="Calibri"/>
          <w:noProof/>
          <w:color w:val="auto"/>
          <w:sz w:val="22"/>
        </w:rPr>
      </w:pPr>
    </w:p>
    <w:p w14:paraId="1CDF86C0" w14:textId="77777777" w:rsidR="00261812" w:rsidRPr="00EF6B69" w:rsidRDefault="00261812" w:rsidP="00261812">
      <w:pPr>
        <w:spacing w:line="276" w:lineRule="auto"/>
        <w:jc w:val="center"/>
        <w:rPr>
          <w:b/>
          <w:bCs/>
          <w:color w:val="auto"/>
        </w:rPr>
      </w:pPr>
    </w:p>
    <w:p w14:paraId="464134A3" w14:textId="77777777" w:rsidR="00CD15BE" w:rsidRDefault="00CD15BE"/>
    <w:sectPr w:rsidR="00CD1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12"/>
    <w:rsid w:val="00261812"/>
    <w:rsid w:val="00C04D7A"/>
    <w:rsid w:val="00CD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35D8"/>
  <w15:chartTrackingRefBased/>
  <w15:docId w15:val="{C1629837-64AA-4C1E-9C26-58C3401A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812"/>
    <w:pPr>
      <w:spacing w:after="82" w:line="271" w:lineRule="auto"/>
      <w:ind w:left="10" w:right="275" w:hanging="10"/>
      <w:jc w:val="both"/>
    </w:pPr>
    <w:rPr>
      <w:rFonts w:ascii="Times New Roman" w:eastAsia="Times New Roman" w:hAnsi="Times New Roman" w:cs="Times New Roman"/>
      <w:color w:val="000000"/>
      <w:sz w:val="24"/>
      <w:lang w:eastAsia="tr-TR"/>
    </w:rPr>
  </w:style>
  <w:style w:type="paragraph" w:styleId="Balk1">
    <w:name w:val="heading 1"/>
    <w:next w:val="Normal"/>
    <w:link w:val="Balk1Char"/>
    <w:qFormat/>
    <w:rsid w:val="00261812"/>
    <w:pPr>
      <w:keepNext/>
      <w:keepLines/>
      <w:spacing w:after="161"/>
      <w:ind w:left="10" w:right="2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261812"/>
    <w:rPr>
      <w:rFonts w:ascii="Times New Roman" w:eastAsia="Times New Roman" w:hAnsi="Times New Roman" w:cs="Times New Roman"/>
      <w:b/>
      <w:color w:val="000000"/>
      <w:sz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7537</dc:creator>
  <cp:keywords/>
  <dc:description/>
  <cp:lastModifiedBy>DELL 7537</cp:lastModifiedBy>
  <cp:revision>2</cp:revision>
  <cp:lastPrinted>2024-01-07T19:22:00Z</cp:lastPrinted>
  <dcterms:created xsi:type="dcterms:W3CDTF">2024-01-07T19:16:00Z</dcterms:created>
  <dcterms:modified xsi:type="dcterms:W3CDTF">2024-01-07T19:22:00Z</dcterms:modified>
</cp:coreProperties>
</file>