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4fea64b9a79843dbb6cce907ccb3193ab6506e"/>
    <w:p>
      <w:pPr>
        <w:pStyle w:val="Heading3"/>
      </w:pPr>
      <w:r>
        <w:t xml:space="preserve">Methods: Data Generation and Pre-processing</w:t>
      </w:r>
    </w:p>
    <w:bookmarkStart w:id="10" w:name="experimental-setup-and-data-acquisition"/>
    <w:p>
      <w:pPr>
        <w:pStyle w:val="Heading4"/>
      </w:pPr>
      <w:r>
        <w:t xml:space="preserve">Experimental Setup and Data Acquisition</w:t>
      </w:r>
    </w:p>
    <w:p>
      <w:pPr>
        <w:pStyle w:val="FirstParagraph"/>
      </w:pPr>
      <w:r>
        <w:t xml:space="preserve">Flow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data were generated at the</w:t>
      </w:r>
      <w:r>
        <w:t xml:space="preserve"> </w:t>
      </w:r>
      <w:hyperlink r:id="rId9">
        <w:r>
          <w:rPr>
            <w:rStyle w:val="Hyperlink"/>
          </w:rPr>
          <w:t xml:space="preserve">Fluid-Structure Interaction (FSI) Lab</w:t>
        </w:r>
      </w:hyperlink>
      <w:r>
        <w:t xml:space="preserve"> </w:t>
      </w:r>
      <w:r>
        <w:t xml:space="preserve">at the University of Massachusetts Dartmouth. Quantitative flow measurements were acquired using a Time-Resolved Volumetric Particle Tracking</w:t>
      </w:r>
      <w:r>
        <w:t xml:space="preserve"> </w:t>
      </w:r>
      <w:r>
        <w:rPr>
          <w:i/>
          <w:iCs/>
        </w:rPr>
        <w:t xml:space="preserve">Velocimetry</w:t>
      </w:r>
      <w:r>
        <w:t xml:space="preserve"> </w:t>
      </w:r>
      <w:r>
        <w:t xml:space="preserve">(TR-PTV) system. The experimental setup utilized a LaVision configuration consisting of: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Illumination:</w:t>
      </w:r>
      <w:r>
        <w:t xml:space="preserve"> </w:t>
      </w:r>
      <w:r>
        <w:t xml:space="preserve">A 300 × 100 mm² LED array (FLASHLIGHT 300).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Imaging:</w:t>
      </w:r>
      <w:r>
        <w:t xml:space="preserve"> </w:t>
      </w:r>
      <w:r>
        <w:t xml:space="preserve">A four-camera Minishaker box equipped with 8, 12, and 16 mm focal length lenses.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Synchronization:</w:t>
      </w:r>
      <w:r>
        <w:t xml:space="preserve"> </w:t>
      </w:r>
      <w:r>
        <w:t xml:space="preserve">Cameras and illumination were triggered simultaneously via a LaVision Programmable Timing Unit (PTU).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Acquisition:</w:t>
      </w:r>
      <w:r>
        <w:t xml:space="preserve"> </w:t>
      </w:r>
      <w:r>
        <w:t xml:space="preserve">High-speed video was acquired using Sony IMX252LLR/LQR CMOS cameras (2048×1088 resolution) and recorded uncompressed via a Core DVR.</w:t>
      </w:r>
    </w:p>
    <w:p>
      <w:pPr>
        <w:pStyle w:val="BodyText"/>
      </w:pPr>
      <w:r>
        <w:t xml:space="preserve">The raw image sequences were processed using the</w:t>
      </w:r>
      <w:r>
        <w:t xml:space="preserve"> </w:t>
      </w:r>
      <w:r>
        <w:rPr>
          <w:b/>
          <w:bCs/>
        </w:rPr>
        <w:t xml:space="preserve">Shake The Box (STB)</w:t>
      </w:r>
      <w:r>
        <w:t xml:space="preserve"> </w:t>
      </w:r>
      <w:r>
        <w:t xml:space="preserve">algorithm within the DaVis 10 software environment. This enabled time-resolved, three-dimensional, three-component (3D-3C) Lagrangian particle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measurements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within the volume.</w:t>
      </w:r>
    </w:p>
    <w:bookmarkEnd w:id="10"/>
    <w:bookmarkStart w:id="11" w:name="data-preparation-and-quality-assurance"/>
    <w:p>
      <w:pPr>
        <w:pStyle w:val="Heading4"/>
      </w:pPr>
      <w:r>
        <w:t xml:space="preserve">Data Preparation and Quality Assurance</w:t>
      </w:r>
    </w:p>
    <w:p>
      <w:pPr>
        <w:pStyle w:val="FirstParagraph"/>
      </w:pPr>
      <w:r>
        <w:t xml:space="preserve">Prior to model training, the raw Lagrangian data underwent a multi-stage pre-processing pipeline to ensure spatial consistency and numerical stability: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Assessment:</w:t>
      </w:r>
      <w:r>
        <w:t xml:space="preserve"> </w:t>
      </w:r>
      <w:r>
        <w:t xml:space="preserve">Each data file was audited to verify the presence of a complete temporal sequence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}</m:t>
        </m:r>
      </m:oMath>
      <w:r>
        <w:t xml:space="preserve">) and consistent row 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Statistical Analysis of Extremes:</w:t>
      </w:r>
      <w:r>
        <w:t xml:space="preserve"> </w:t>
      </w:r>
      <w:r>
        <w:t xml:space="preserve">Global extrema for all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components (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</m:oMath>
      <w:r>
        <w:t xml:space="preserve">) were determined to establish bounds for normalization.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Type Correction:</w:t>
      </w:r>
      <w:r>
        <w:t xml:space="preserve"> </w:t>
      </w:r>
      <w:r>
        <w:t xml:space="preserve">To optimize computational efficiency, spatial/temporal coordinates were cast to 32-bit integers, and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components to 32-bit floats.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Normalization: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components were scaled to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range using a linear transformation based on global extremes (approximately</w:t>
      </w:r>
      <w:r>
        <w:t xml:space="preserve"> </w:t>
      </w:r>
      <m:oMath>
        <m:r>
          <m:rPr>
            <m:sty m:val="p"/>
          </m:rPr>
          <m:t>−</m:t>
        </m:r>
        <m:r>
          <m:t>1.98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2.64</m:t>
        </m:r>
      </m:oMath>
      <w:r>
        <w:t xml:space="preserve"> </w:t>
      </w:r>
      <w:r>
        <w:t xml:space="preserve">m/s), ensuring stable convergence during neural network training.</w:t>
      </w:r>
    </w:p>
    <w:bookmarkEnd w:id="11"/>
    <w:bookmarkStart w:id="12" w:name="spatial-mapping-and-cubic-reconstruction"/>
    <w:p>
      <w:pPr>
        <w:pStyle w:val="Heading4"/>
      </w:pPr>
      <w:r>
        <w:t xml:space="preserve">Spatial Mapping and Cubic Reconstruction</w:t>
      </w:r>
    </w:p>
    <w:p>
      <w:pPr>
        <w:pStyle w:val="FirstParagraph"/>
      </w:pPr>
      <w:r>
        <w:t xml:space="preserve">To transition from discrete point measurements to a structured representation suitable for deep learning, the data were reorganized into local volumetric neighborhoods.</w:t>
      </w:r>
    </w:p>
    <w:p>
      <w:pPr>
        <w:pStyle w:val="BodyText"/>
      </w:pPr>
      <w:r>
        <w:t xml:space="preserve">As illustrated in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(</w:t>
      </w:r>
      <w:r>
        <w:rPr>
          <w:i/>
          <w:iCs/>
        </w:rPr>
        <w:t xml:space="preserve">experimental_box.png</w:t>
      </w:r>
      <w:r>
        <w:t xml:space="preserve">), a sampling volume was defined by trimming the edges of the total measurement domain. This trimming ensures that every selected centroid possesses a complete surrounding neighborhood.</w:t>
      </w:r>
    </w:p>
    <w:p>
      <w:pPr>
        <w:pStyle w:val="BodyText"/>
      </w:pPr>
      <w:r>
        <w:t xml:space="preserve">For each valid centroid,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coordinate neighborhood was established (</w:t>
      </w:r>
      <w:r>
        <w:rPr>
          <w:b/>
          <w:bCs/>
        </w:rPr>
        <w:t xml:space="preserve">Figure 2</w:t>
      </w:r>
      <w:r>
        <w:t xml:space="preserve">,</w:t>
      </w:r>
      <w:r>
        <w:t xml:space="preserve"> </w:t>
      </w:r>
      <w:r>
        <w:rPr>
          <w:i/>
          <w:iCs/>
        </w:rPr>
        <w:t xml:space="preserve">mapping_visualization.png</w:t>
      </w:r>
      <w:r>
        <w:t xml:space="preserve">). This neighborhood consists of the target centroid and its 124 nearest neighbors across the grid. The 3D-3C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components for all 125 points were gathered and flattened into a 375-dimensional feature vector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375</m:t>
            </m:r>
          </m:sup>
        </m:sSup>
      </m:oMath>
      <w:r>
        <w:t xml:space="preserve"> </w:t>
      </w:r>
      <w:r>
        <w:t xml:space="preserve">(125 points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components). These</w:t>
      </w:r>
      <w:r>
        <w:t xml:space="preserve"> </w:t>
      </w:r>
      <w:r>
        <w:t xml:space="preserve">“</w:t>
      </w:r>
      <w:r>
        <w:rPr>
          <w:i/>
          <w:iCs/>
        </w:rPr>
        <w:t xml:space="preserve">velocity</w:t>
      </w:r>
      <w:r>
        <w:t xml:space="preserve"> </w:t>
      </w:r>
      <w:r>
        <w:t xml:space="preserve">cubes”</w:t>
      </w:r>
      <w:r>
        <w:t xml:space="preserve"> </w:t>
      </w:r>
      <w:r>
        <w:t xml:space="preserve">capture the local flow structure, providing the high-dimensional input required for manifold learning.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visualizations-and-artifacts"/>
    <w:p>
      <w:pPr>
        <w:pStyle w:val="Heading3"/>
      </w:pPr>
      <w:r>
        <w:t xml:space="preserve">Visualizations and Artifacts</w:t>
      </w:r>
    </w:p>
    <w:p>
      <w:pPr>
        <w:pStyle w:val="FirstParagraph"/>
      </w:pPr>
      <w:r>
        <w:t xml:space="preserve">The following high-resolution artifacts (1200 DPI) have been generated in the</w:t>
      </w:r>
      <w:r>
        <w:t xml:space="preserve"> </w:t>
      </w:r>
      <w:r>
        <w:rPr>
          <w:rStyle w:val="VerbatimChar"/>
        </w:rPr>
        <w:t xml:space="preserve">Documentation/</w:t>
      </w:r>
      <w:r>
        <w:t xml:space="preserve"> </w:t>
      </w:r>
      <w:r>
        <w:t xml:space="preserve">directory: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Documentation/experimental_box.png</w:t>
      </w:r>
      <w:r>
        <w:t xml:space="preserve">: A 3D schematic of the TR-PTV measurement domain, identifying the</w:t>
      </w:r>
      <w:r>
        <w:t xml:space="preserve"> </w:t>
      </w:r>
      <w:r>
        <w:t xml:space="preserve">“Valid Sampling Region”</w:t>
      </w:r>
      <w:r>
        <w:t xml:space="preserve"> </w:t>
      </w:r>
      <w:r>
        <w:t xml:space="preserve">(interior volume) and centroids used for data extraction.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Documentation/mapping_visualization.png</w:t>
      </w:r>
      <w:r>
        <w:t xml:space="preserve">: A 3D breakdown of the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sampling neighborhood, illustrating the mapping of 125 spatial points to the 375-dimensional feature vector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.</w:t>
      </w:r>
    </w:p>
    <w:p>
      <w:pPr>
        <w:pStyle w:val="FirstParagraph"/>
      </w:pPr>
      <w:r>
        <w:t xml:space="preserve">The generating script,</w:t>
      </w:r>
      <w:r>
        <w:t xml:space="preserve"> </w:t>
      </w:r>
      <w:r>
        <w:rPr>
          <w:rStyle w:val="VerbatimChar"/>
        </w:rPr>
        <w:t xml:space="preserve">generate_mapping_viz.py</w:t>
      </w:r>
      <w:r>
        <w:t xml:space="preserve">, is available in the project root and is configured for publication-quality output.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fsilab.sites.umassd.edu/abou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silab.sites.umassd.edu/abou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2026-02-24T19:09:02Z</dcterms:created>
  <dcterms:modified xsi:type="dcterms:W3CDTF">2026-02-24T19:09:02Z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