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1057" w14:textId="619B0E90" w:rsidR="00EA6791" w:rsidRDefault="00B64F1E">
      <w:pPr>
        <w:pStyle w:val="Heading1"/>
      </w:pPr>
      <w:bookmarkStart w:id="0" w:name="X7939c6ea5cb5bb15a9a5f2af785fd615913e947"/>
      <w:r>
        <w:t>Appendix: Auto-encoder Comparisons</w:t>
      </w:r>
    </w:p>
    <w:p w14:paraId="04AC8990" w14:textId="0CFB4C83" w:rsidR="00EA6791" w:rsidRDefault="00836FD5">
      <w:pPr>
        <w:pStyle w:val="FirstParagraph"/>
      </w:pPr>
      <w:r>
        <w:t>This document summarizes the</w:t>
      </w:r>
      <w:r>
        <w:t xml:space="preserve"> </w:t>
      </w:r>
      <w:r>
        <w:t>series of autoencoder models used for reconstructing fluid dynamics velocity data (vx, vy, vz). These models represent a structural evolution, focusing on advanced architectural techniques like residual blocks, attention mechanisms, and bottleneck designs.</w:t>
      </w:r>
    </w:p>
    <w:p w14:paraId="6A261660" w14:textId="77777777" w:rsidR="00EA6791" w:rsidRDefault="00836FD5">
      <w:pPr>
        <w:pStyle w:val="Heading2"/>
      </w:pPr>
      <w:bookmarkStart w:id="1" w:name="gen3-summary-table"/>
      <w:r>
        <w:t>GEN3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"/>
        <w:gridCol w:w="1155"/>
        <w:gridCol w:w="2477"/>
        <w:gridCol w:w="1651"/>
        <w:gridCol w:w="2147"/>
        <w:gridCol w:w="1651"/>
      </w:tblGrid>
      <w:tr w:rsidR="00EA6791" w14:paraId="13D80623" w14:textId="77777777" w:rsidTr="00EA6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9" w:type="dxa"/>
          </w:tcPr>
          <w:p w14:paraId="52356280" w14:textId="77777777" w:rsidR="00EA6791" w:rsidRDefault="00836FD5">
            <w:pPr>
              <w:pStyle w:val="Compact"/>
            </w:pPr>
            <w:r>
              <w:t>#</w:t>
            </w:r>
          </w:p>
        </w:tc>
        <w:tc>
          <w:tcPr>
            <w:tcW w:w="955" w:type="dxa"/>
          </w:tcPr>
          <w:p w14:paraId="6510AB7A" w14:textId="77777777" w:rsidR="00EA6791" w:rsidRDefault="00836FD5">
            <w:pPr>
              <w:pStyle w:val="Compact"/>
            </w:pPr>
            <w:r>
              <w:t>Model</w:t>
            </w:r>
          </w:p>
        </w:tc>
        <w:tc>
          <w:tcPr>
            <w:tcW w:w="2048" w:type="dxa"/>
          </w:tcPr>
          <w:p w14:paraId="4B8F6580" w14:textId="77777777" w:rsidR="00EA6791" w:rsidRDefault="00836FD5">
            <w:pPr>
              <w:pStyle w:val="Compact"/>
            </w:pPr>
            <w:r>
              <w:t>Basis / Paper</w:t>
            </w:r>
          </w:p>
        </w:tc>
        <w:tc>
          <w:tcPr>
            <w:tcW w:w="1365" w:type="dxa"/>
          </w:tcPr>
          <w:p w14:paraId="5735B4D8" w14:textId="77777777" w:rsidR="00EA6791" w:rsidRDefault="00836FD5">
            <w:pPr>
              <w:pStyle w:val="Compact"/>
            </w:pPr>
            <w:r>
              <w:t>Rel. MSE</w:t>
            </w:r>
          </w:p>
        </w:tc>
        <w:tc>
          <w:tcPr>
            <w:tcW w:w="1775" w:type="dxa"/>
          </w:tcPr>
          <w:p w14:paraId="42679809" w14:textId="77777777" w:rsidR="00EA6791" w:rsidRDefault="00836FD5">
            <w:pPr>
              <w:pStyle w:val="Compact"/>
            </w:pPr>
            <w:r>
              <w:t>Key Feature</w:t>
            </w:r>
          </w:p>
        </w:tc>
        <w:tc>
          <w:tcPr>
            <w:tcW w:w="1365" w:type="dxa"/>
          </w:tcPr>
          <w:p w14:paraId="1B407BBF" w14:textId="77777777" w:rsidR="00EA6791" w:rsidRDefault="00836FD5">
            <w:pPr>
              <w:pStyle w:val="Compact"/>
            </w:pPr>
            <w:r>
              <w:t>Best For</w:t>
            </w:r>
          </w:p>
        </w:tc>
      </w:tr>
      <w:tr w:rsidR="00EA6791" w14:paraId="2D390827" w14:textId="77777777">
        <w:tc>
          <w:tcPr>
            <w:tcW w:w="409" w:type="dxa"/>
          </w:tcPr>
          <w:p w14:paraId="61702595" w14:textId="77777777" w:rsidR="00EA6791" w:rsidRDefault="00836FD5">
            <w:pPr>
              <w:pStyle w:val="Compact"/>
            </w:pPr>
            <w:r>
              <w:t>1</w:t>
            </w:r>
          </w:p>
        </w:tc>
        <w:tc>
          <w:tcPr>
            <w:tcW w:w="955" w:type="dxa"/>
          </w:tcPr>
          <w:p w14:paraId="265EC02A" w14:textId="77777777" w:rsidR="00EA6791" w:rsidRDefault="00836FD5">
            <w:pPr>
              <w:pStyle w:val="Compact"/>
            </w:pPr>
            <w:r>
              <w:t>Baseline</w:t>
            </w:r>
          </w:p>
        </w:tc>
        <w:tc>
          <w:tcPr>
            <w:tcW w:w="2048" w:type="dxa"/>
          </w:tcPr>
          <w:p w14:paraId="1BFEC87A" w14:textId="77777777" w:rsidR="00EA6791" w:rsidRDefault="00836FD5">
            <w:pPr>
              <w:pStyle w:val="Compact"/>
            </w:pPr>
            <w:hyperlink r:id="rId5">
              <w:r>
                <w:rPr>
                  <w:rStyle w:val="Hyperlink"/>
                </w:rPr>
                <w:t>ResNet (He et al., 2016)</w:t>
              </w:r>
            </w:hyperlink>
          </w:p>
        </w:tc>
        <w:tc>
          <w:tcPr>
            <w:tcW w:w="1365" w:type="dxa"/>
          </w:tcPr>
          <w:p w14:paraId="185DB329" w14:textId="77777777" w:rsidR="00EA6791" w:rsidRDefault="00836FD5">
            <w:pPr>
              <w:pStyle w:val="Compact"/>
            </w:pPr>
            <w:r>
              <w:t>1.334e-03</w:t>
            </w:r>
          </w:p>
        </w:tc>
        <w:tc>
          <w:tcPr>
            <w:tcW w:w="1775" w:type="dxa"/>
          </w:tcPr>
          <w:p w14:paraId="5DAEE045" w14:textId="77777777" w:rsidR="00EA6791" w:rsidRDefault="00836FD5">
            <w:pPr>
              <w:pStyle w:val="Compact"/>
            </w:pPr>
            <w:r>
              <w:t>Residual blocks (LayerNorm + ELU)</w:t>
            </w:r>
          </w:p>
        </w:tc>
        <w:tc>
          <w:tcPr>
            <w:tcW w:w="1365" w:type="dxa"/>
          </w:tcPr>
          <w:p w14:paraId="18DE8FA2" w14:textId="77777777" w:rsidR="00EA6791" w:rsidRDefault="00836FD5">
            <w:pPr>
              <w:pStyle w:val="Compact"/>
            </w:pPr>
            <w:r>
              <w:t>Reliable, general reconstruction</w:t>
            </w:r>
          </w:p>
        </w:tc>
      </w:tr>
      <w:tr w:rsidR="00EA6791" w14:paraId="3D681B02" w14:textId="77777777">
        <w:tc>
          <w:tcPr>
            <w:tcW w:w="409" w:type="dxa"/>
          </w:tcPr>
          <w:p w14:paraId="7FFA92E3" w14:textId="77777777" w:rsidR="00EA6791" w:rsidRDefault="00836FD5">
            <w:pPr>
              <w:pStyle w:val="Compact"/>
            </w:pPr>
            <w:r>
              <w:t>2</w:t>
            </w:r>
          </w:p>
        </w:tc>
        <w:tc>
          <w:tcPr>
            <w:tcW w:w="955" w:type="dxa"/>
          </w:tcPr>
          <w:p w14:paraId="4AE1FCAF" w14:textId="77777777" w:rsidR="00EA6791" w:rsidRDefault="00836FD5">
            <w:pPr>
              <w:pStyle w:val="Compact"/>
            </w:pPr>
            <w:r>
              <w:t>Deep</w:t>
            </w:r>
          </w:p>
        </w:tc>
        <w:tc>
          <w:tcPr>
            <w:tcW w:w="2048" w:type="dxa"/>
          </w:tcPr>
          <w:p w14:paraId="5AA7A6E8" w14:textId="77777777" w:rsidR="00EA6791" w:rsidRDefault="00836FD5">
            <w:pPr>
              <w:pStyle w:val="Compact"/>
            </w:pPr>
            <w:hyperlink r:id="rId6">
              <w:r>
                <w:rPr>
                  <w:rStyle w:val="Hyperlink"/>
                </w:rPr>
                <w:t>ResNet (He et al., 2016)</w:t>
              </w:r>
            </w:hyperlink>
          </w:p>
        </w:tc>
        <w:tc>
          <w:tcPr>
            <w:tcW w:w="1365" w:type="dxa"/>
          </w:tcPr>
          <w:p w14:paraId="6CBAEA3F" w14:textId="77777777" w:rsidR="00EA6791" w:rsidRDefault="00836FD5">
            <w:pPr>
              <w:pStyle w:val="Compact"/>
            </w:pPr>
            <w:r>
              <w:t>3.190e-03</w:t>
            </w:r>
          </w:p>
        </w:tc>
        <w:tc>
          <w:tcPr>
            <w:tcW w:w="1775" w:type="dxa"/>
          </w:tcPr>
          <w:p w14:paraId="59B9562A" w14:textId="77777777" w:rsidR="00EA6791" w:rsidRDefault="00836FD5">
            <w:pPr>
              <w:pStyle w:val="Compact"/>
            </w:pPr>
            <w:r>
              <w:t>More residual blocks per stage</w:t>
            </w:r>
          </w:p>
        </w:tc>
        <w:tc>
          <w:tcPr>
            <w:tcW w:w="1365" w:type="dxa"/>
          </w:tcPr>
          <w:p w14:paraId="362B7D06" w14:textId="77777777" w:rsidR="00EA6791" w:rsidRDefault="00836FD5">
            <w:pPr>
              <w:pStyle w:val="Compact"/>
            </w:pPr>
            <w:r>
              <w:t>Hierarchical pattern matching</w:t>
            </w:r>
          </w:p>
        </w:tc>
      </w:tr>
      <w:tr w:rsidR="00EA6791" w14:paraId="0333A525" w14:textId="77777777">
        <w:tc>
          <w:tcPr>
            <w:tcW w:w="409" w:type="dxa"/>
          </w:tcPr>
          <w:p w14:paraId="5DE0EEAC" w14:textId="77777777" w:rsidR="00EA6791" w:rsidRDefault="00836FD5">
            <w:pPr>
              <w:pStyle w:val="Compact"/>
            </w:pPr>
            <w:r>
              <w:t>3</w:t>
            </w:r>
          </w:p>
        </w:tc>
        <w:tc>
          <w:tcPr>
            <w:tcW w:w="955" w:type="dxa"/>
          </w:tcPr>
          <w:p w14:paraId="19311940" w14:textId="77777777" w:rsidR="00EA6791" w:rsidRDefault="00836FD5">
            <w:pPr>
              <w:pStyle w:val="Compact"/>
            </w:pPr>
            <w:r>
              <w:t>Wide</w:t>
            </w:r>
          </w:p>
        </w:tc>
        <w:tc>
          <w:tcPr>
            <w:tcW w:w="2048" w:type="dxa"/>
          </w:tcPr>
          <w:p w14:paraId="0BA25AC9" w14:textId="77777777" w:rsidR="00EA6791" w:rsidRDefault="00836FD5">
            <w:pPr>
              <w:pStyle w:val="Compact"/>
            </w:pPr>
            <w:hyperlink r:id="rId7">
              <w:r>
                <w:rPr>
                  <w:rStyle w:val="Hyperlink"/>
                </w:rPr>
                <w:t>Wide ResNet (Zagoruyko, 2016)</w:t>
              </w:r>
            </w:hyperlink>
          </w:p>
        </w:tc>
        <w:tc>
          <w:tcPr>
            <w:tcW w:w="1365" w:type="dxa"/>
          </w:tcPr>
          <w:p w14:paraId="6E817CC6" w14:textId="77777777" w:rsidR="00EA6791" w:rsidRDefault="00836FD5">
            <w:pPr>
              <w:pStyle w:val="Compact"/>
            </w:pPr>
            <w:r>
              <w:t>4.207e-03</w:t>
            </w:r>
          </w:p>
        </w:tc>
        <w:tc>
          <w:tcPr>
            <w:tcW w:w="1775" w:type="dxa"/>
          </w:tcPr>
          <w:p w14:paraId="789CBB20" w14:textId="77777777" w:rsidR="00EA6791" w:rsidRDefault="00836FD5">
            <w:pPr>
              <w:pStyle w:val="Compact"/>
            </w:pPr>
            <w:r>
              <w:t>Increased width (512-256-128)</w:t>
            </w:r>
          </w:p>
        </w:tc>
        <w:tc>
          <w:tcPr>
            <w:tcW w:w="1365" w:type="dxa"/>
          </w:tcPr>
          <w:p w14:paraId="2FC3BCED" w14:textId="77777777" w:rsidR="00EA6791" w:rsidRDefault="00836FD5">
            <w:pPr>
              <w:pStyle w:val="Compact"/>
            </w:pPr>
            <w:r>
              <w:t>High-bandwidth feature extraction</w:t>
            </w:r>
          </w:p>
        </w:tc>
      </w:tr>
      <w:tr w:rsidR="00EA6791" w14:paraId="2595394C" w14:textId="77777777">
        <w:tc>
          <w:tcPr>
            <w:tcW w:w="409" w:type="dxa"/>
          </w:tcPr>
          <w:p w14:paraId="6F533622" w14:textId="77777777" w:rsidR="00EA6791" w:rsidRDefault="00836FD5">
            <w:pPr>
              <w:pStyle w:val="Compact"/>
            </w:pPr>
            <w:r>
              <w:t>4</w:t>
            </w:r>
          </w:p>
        </w:tc>
        <w:tc>
          <w:tcPr>
            <w:tcW w:w="955" w:type="dxa"/>
          </w:tcPr>
          <w:p w14:paraId="6650B14F" w14:textId="77777777" w:rsidR="00EA6791" w:rsidRDefault="00836FD5">
            <w:pPr>
              <w:pStyle w:val="Compact"/>
            </w:pPr>
            <w:r>
              <w:t>GELU</w:t>
            </w:r>
          </w:p>
        </w:tc>
        <w:tc>
          <w:tcPr>
            <w:tcW w:w="2048" w:type="dxa"/>
          </w:tcPr>
          <w:p w14:paraId="40AF1750" w14:textId="77777777" w:rsidR="00EA6791" w:rsidRDefault="00836FD5">
            <w:pPr>
              <w:pStyle w:val="Compact"/>
            </w:pPr>
            <w:hyperlink r:id="rId8">
              <w:r>
                <w:rPr>
                  <w:rStyle w:val="Hyperlink"/>
                </w:rPr>
                <w:t>GELU (Hendrycks &amp; Gimpel, 2016)</w:t>
              </w:r>
            </w:hyperlink>
          </w:p>
        </w:tc>
        <w:tc>
          <w:tcPr>
            <w:tcW w:w="1365" w:type="dxa"/>
          </w:tcPr>
          <w:p w14:paraId="181E3C52" w14:textId="77777777" w:rsidR="00EA6791" w:rsidRDefault="00836FD5">
            <w:pPr>
              <w:pStyle w:val="Compact"/>
            </w:pPr>
            <w:r>
              <w:t>1.887e-03</w:t>
            </w:r>
          </w:p>
        </w:tc>
        <w:tc>
          <w:tcPr>
            <w:tcW w:w="1775" w:type="dxa"/>
          </w:tcPr>
          <w:p w14:paraId="5AFCCA9D" w14:textId="77777777" w:rsidR="00EA6791" w:rsidRDefault="00836FD5">
            <w:pPr>
              <w:pStyle w:val="Compact"/>
            </w:pPr>
            <w:r>
              <w:t>GELU activation functions</w:t>
            </w:r>
          </w:p>
        </w:tc>
        <w:tc>
          <w:tcPr>
            <w:tcW w:w="1365" w:type="dxa"/>
          </w:tcPr>
          <w:p w14:paraId="2EF5C50C" w14:textId="77777777" w:rsidR="00EA6791" w:rsidRDefault="00836FD5">
            <w:pPr>
              <w:pStyle w:val="Compact"/>
            </w:pPr>
            <w:r>
              <w:t>Turbulent flow with stochasticity</w:t>
            </w:r>
          </w:p>
        </w:tc>
      </w:tr>
      <w:tr w:rsidR="00EA6791" w14:paraId="756D5B6F" w14:textId="77777777">
        <w:tc>
          <w:tcPr>
            <w:tcW w:w="409" w:type="dxa"/>
          </w:tcPr>
          <w:p w14:paraId="68C3ED93" w14:textId="77777777" w:rsidR="00EA6791" w:rsidRDefault="00836FD5">
            <w:pPr>
              <w:pStyle w:val="Compact"/>
            </w:pPr>
            <w:r>
              <w:t>5</w:t>
            </w:r>
          </w:p>
        </w:tc>
        <w:tc>
          <w:tcPr>
            <w:tcW w:w="955" w:type="dxa"/>
          </w:tcPr>
          <w:p w14:paraId="3F7E1FDB" w14:textId="77777777" w:rsidR="00EA6791" w:rsidRDefault="00836FD5">
            <w:pPr>
              <w:pStyle w:val="Compact"/>
            </w:pPr>
            <w:r>
              <w:t>AttentionSE</w:t>
            </w:r>
          </w:p>
        </w:tc>
        <w:tc>
          <w:tcPr>
            <w:tcW w:w="2048" w:type="dxa"/>
          </w:tcPr>
          <w:p w14:paraId="6498ED46" w14:textId="77777777" w:rsidR="00EA6791" w:rsidRDefault="00836FD5">
            <w:pPr>
              <w:pStyle w:val="Compact"/>
            </w:pPr>
            <w:hyperlink r:id="rId9">
              <w:r>
                <w:rPr>
                  <w:rStyle w:val="Hyperlink"/>
                </w:rPr>
                <w:t>SENet (Hu et al., 2018)</w:t>
              </w:r>
            </w:hyperlink>
          </w:p>
        </w:tc>
        <w:tc>
          <w:tcPr>
            <w:tcW w:w="1365" w:type="dxa"/>
          </w:tcPr>
          <w:p w14:paraId="59D372AA" w14:textId="77777777" w:rsidR="00EA6791" w:rsidRDefault="00836FD5">
            <w:pPr>
              <w:pStyle w:val="Compact"/>
            </w:pPr>
            <w:r>
              <w:t>1.359e-03*</w:t>
            </w:r>
          </w:p>
        </w:tc>
        <w:tc>
          <w:tcPr>
            <w:tcW w:w="1775" w:type="dxa"/>
          </w:tcPr>
          <w:p w14:paraId="1FE2D49A" w14:textId="77777777" w:rsidR="00EA6791" w:rsidRDefault="00836FD5">
            <w:pPr>
              <w:pStyle w:val="Compact"/>
            </w:pPr>
            <w:r>
              <w:t>Squeeze-and-Excitation (SE) Gating</w:t>
            </w:r>
          </w:p>
        </w:tc>
        <w:tc>
          <w:tcPr>
            <w:tcW w:w="1365" w:type="dxa"/>
          </w:tcPr>
          <w:p w14:paraId="5C02E08D" w14:textId="77777777" w:rsidR="00EA6791" w:rsidRDefault="00836FD5">
            <w:pPr>
              <w:pStyle w:val="Compact"/>
            </w:pPr>
            <w:r>
              <w:t>Channel-wise feature weighting</w:t>
            </w:r>
          </w:p>
        </w:tc>
      </w:tr>
      <w:tr w:rsidR="00EA6791" w14:paraId="195AF07C" w14:textId="77777777">
        <w:tc>
          <w:tcPr>
            <w:tcW w:w="409" w:type="dxa"/>
          </w:tcPr>
          <w:p w14:paraId="7F59A5D6" w14:textId="77777777" w:rsidR="00EA6791" w:rsidRDefault="00836FD5">
            <w:pPr>
              <w:pStyle w:val="Compact"/>
            </w:pPr>
            <w:r>
              <w:t>6</w:t>
            </w:r>
          </w:p>
        </w:tc>
        <w:tc>
          <w:tcPr>
            <w:tcW w:w="955" w:type="dxa"/>
          </w:tcPr>
          <w:p w14:paraId="2D3BEDF7" w14:textId="77777777" w:rsidR="00EA6791" w:rsidRDefault="00836FD5">
            <w:pPr>
              <w:pStyle w:val="Compact"/>
            </w:pPr>
            <w:r>
              <w:t>Dense</w:t>
            </w:r>
          </w:p>
        </w:tc>
        <w:tc>
          <w:tcPr>
            <w:tcW w:w="2048" w:type="dxa"/>
          </w:tcPr>
          <w:p w14:paraId="6F24F3DF" w14:textId="77777777" w:rsidR="00EA6791" w:rsidRDefault="00836FD5">
            <w:pPr>
              <w:pStyle w:val="Compact"/>
            </w:pPr>
            <w:hyperlink r:id="rId10">
              <w:r>
                <w:rPr>
                  <w:rStyle w:val="Hyperlink"/>
                </w:rPr>
                <w:t>DenseNet (Huang et al., 2017)</w:t>
              </w:r>
            </w:hyperlink>
          </w:p>
        </w:tc>
        <w:tc>
          <w:tcPr>
            <w:tcW w:w="1365" w:type="dxa"/>
          </w:tcPr>
          <w:p w14:paraId="77AC955D" w14:textId="77777777" w:rsidR="00EA6791" w:rsidRDefault="00836FD5">
            <w:pPr>
              <w:pStyle w:val="Compact"/>
            </w:pPr>
            <w:r>
              <w:t>2.675e-03</w:t>
            </w:r>
          </w:p>
        </w:tc>
        <w:tc>
          <w:tcPr>
            <w:tcW w:w="1775" w:type="dxa"/>
          </w:tcPr>
          <w:p w14:paraId="32EB0B72" w14:textId="77777777" w:rsidR="00EA6791" w:rsidRDefault="00836FD5">
            <w:pPr>
              <w:pStyle w:val="Compact"/>
            </w:pPr>
            <w:r>
              <w:t>Concatenated feature flow</w:t>
            </w:r>
          </w:p>
        </w:tc>
        <w:tc>
          <w:tcPr>
            <w:tcW w:w="1365" w:type="dxa"/>
          </w:tcPr>
          <w:p w14:paraId="7E22D539" w14:textId="77777777" w:rsidR="00EA6791" w:rsidRDefault="00836FD5">
            <w:pPr>
              <w:pStyle w:val="Compact"/>
            </w:pPr>
            <w:r>
              <w:t>Fine-scale gradient preservation</w:t>
            </w:r>
          </w:p>
        </w:tc>
      </w:tr>
      <w:tr w:rsidR="00EA6791" w14:paraId="256EA2D5" w14:textId="77777777">
        <w:tc>
          <w:tcPr>
            <w:tcW w:w="409" w:type="dxa"/>
          </w:tcPr>
          <w:p w14:paraId="50C8736D" w14:textId="77777777" w:rsidR="00EA6791" w:rsidRDefault="00836FD5">
            <w:pPr>
              <w:pStyle w:val="Compact"/>
            </w:pPr>
            <w:r>
              <w:t>7</w:t>
            </w:r>
          </w:p>
        </w:tc>
        <w:tc>
          <w:tcPr>
            <w:tcW w:w="955" w:type="dxa"/>
          </w:tcPr>
          <w:p w14:paraId="35010726" w14:textId="77777777" w:rsidR="00EA6791" w:rsidRDefault="00836FD5">
            <w:pPr>
              <w:pStyle w:val="Compact"/>
            </w:pPr>
            <w:r>
              <w:t>BatchNorm</w:t>
            </w:r>
          </w:p>
        </w:tc>
        <w:tc>
          <w:tcPr>
            <w:tcW w:w="2048" w:type="dxa"/>
          </w:tcPr>
          <w:p w14:paraId="037BFB86" w14:textId="77777777" w:rsidR="00EA6791" w:rsidRDefault="00836FD5">
            <w:pPr>
              <w:pStyle w:val="Compact"/>
            </w:pPr>
            <w:hyperlink r:id="rId11">
              <w:r>
                <w:rPr>
                  <w:rStyle w:val="Hyperlink"/>
                </w:rPr>
                <w:t>BN (Ioffe &amp; Szegedy, 2015)</w:t>
              </w:r>
            </w:hyperlink>
          </w:p>
        </w:tc>
        <w:tc>
          <w:tcPr>
            <w:tcW w:w="1365" w:type="dxa"/>
          </w:tcPr>
          <w:p w14:paraId="466CF86E" w14:textId="77777777" w:rsidR="00EA6791" w:rsidRDefault="00836FD5">
            <w:pPr>
              <w:pStyle w:val="Compact"/>
            </w:pPr>
            <w:r>
              <w:t>4.290e-03</w:t>
            </w:r>
          </w:p>
        </w:tc>
        <w:tc>
          <w:tcPr>
            <w:tcW w:w="1775" w:type="dxa"/>
          </w:tcPr>
          <w:p w14:paraId="5D836901" w14:textId="77777777" w:rsidR="00EA6791" w:rsidRDefault="00836FD5">
            <w:pPr>
              <w:pStyle w:val="Compact"/>
            </w:pPr>
            <w:r>
              <w:t>Batch Normalization (BN)</w:t>
            </w:r>
          </w:p>
        </w:tc>
        <w:tc>
          <w:tcPr>
            <w:tcW w:w="1365" w:type="dxa"/>
          </w:tcPr>
          <w:p w14:paraId="15602B6D" w14:textId="77777777" w:rsidR="00EA6791" w:rsidRDefault="00836FD5">
            <w:pPr>
              <w:pStyle w:val="Compact"/>
            </w:pPr>
            <w:r>
              <w:t>Large-batch training stability</w:t>
            </w:r>
          </w:p>
        </w:tc>
      </w:tr>
      <w:tr w:rsidR="00EA6791" w14:paraId="20188B59" w14:textId="77777777">
        <w:tc>
          <w:tcPr>
            <w:tcW w:w="409" w:type="dxa"/>
          </w:tcPr>
          <w:p w14:paraId="20697BA1" w14:textId="77777777" w:rsidR="00EA6791" w:rsidRDefault="00836FD5">
            <w:pPr>
              <w:pStyle w:val="Compact"/>
            </w:pPr>
            <w:r>
              <w:t>8</w:t>
            </w:r>
          </w:p>
        </w:tc>
        <w:tc>
          <w:tcPr>
            <w:tcW w:w="955" w:type="dxa"/>
          </w:tcPr>
          <w:p w14:paraId="09B89673" w14:textId="77777777" w:rsidR="00EA6791" w:rsidRDefault="00836FD5">
            <w:pPr>
              <w:pStyle w:val="Compact"/>
            </w:pPr>
            <w:r>
              <w:t>Skip/U-Net</w:t>
            </w:r>
          </w:p>
        </w:tc>
        <w:tc>
          <w:tcPr>
            <w:tcW w:w="2048" w:type="dxa"/>
          </w:tcPr>
          <w:p w14:paraId="09706DC8" w14:textId="77777777" w:rsidR="00EA6791" w:rsidRDefault="00836FD5">
            <w:pPr>
              <w:pStyle w:val="Compact"/>
            </w:pPr>
            <w:hyperlink r:id="rId12">
              <w:r>
                <w:rPr>
                  <w:rStyle w:val="Hyperlink"/>
                </w:rPr>
                <w:t>U-Net (Ronneberger et al., 2015)</w:t>
              </w:r>
            </w:hyperlink>
          </w:p>
        </w:tc>
        <w:tc>
          <w:tcPr>
            <w:tcW w:w="1365" w:type="dxa"/>
          </w:tcPr>
          <w:p w14:paraId="39304761" w14:textId="77777777" w:rsidR="00EA6791" w:rsidRDefault="00836FD5">
            <w:pPr>
              <w:pStyle w:val="Compact"/>
            </w:pPr>
            <w:r>
              <w:t>1.423e-03</w:t>
            </w:r>
          </w:p>
        </w:tc>
        <w:tc>
          <w:tcPr>
            <w:tcW w:w="1775" w:type="dxa"/>
          </w:tcPr>
          <w:p w14:paraId="0C2F3726" w14:textId="77777777" w:rsidR="00EA6791" w:rsidRDefault="00836FD5">
            <w:pPr>
              <w:pStyle w:val="Compact"/>
            </w:pPr>
            <w:r>
              <w:t>Encoder-to-Decoder Skip connections</w:t>
            </w:r>
          </w:p>
        </w:tc>
        <w:tc>
          <w:tcPr>
            <w:tcW w:w="1365" w:type="dxa"/>
          </w:tcPr>
          <w:p w14:paraId="0A63574B" w14:textId="77777777" w:rsidR="00EA6791" w:rsidRDefault="00836FD5">
            <w:pPr>
              <w:pStyle w:val="Compact"/>
            </w:pPr>
            <w:r>
              <w:t>Preserving high-res spatial data</w:t>
            </w:r>
          </w:p>
        </w:tc>
      </w:tr>
      <w:tr w:rsidR="00EA6791" w14:paraId="154359F8" w14:textId="77777777">
        <w:tc>
          <w:tcPr>
            <w:tcW w:w="409" w:type="dxa"/>
          </w:tcPr>
          <w:p w14:paraId="68A6AA86" w14:textId="77777777" w:rsidR="00EA6791" w:rsidRDefault="00836FD5">
            <w:pPr>
              <w:pStyle w:val="Compact"/>
            </w:pPr>
            <w:r>
              <w:t>9</w:t>
            </w:r>
          </w:p>
        </w:tc>
        <w:tc>
          <w:tcPr>
            <w:tcW w:w="955" w:type="dxa"/>
          </w:tcPr>
          <w:p w14:paraId="5CE8C4AC" w14:textId="77777777" w:rsidR="00EA6791" w:rsidRDefault="00836FD5">
            <w:pPr>
              <w:pStyle w:val="Compact"/>
            </w:pPr>
            <w:r>
              <w:t>Bottleneck</w:t>
            </w:r>
          </w:p>
        </w:tc>
        <w:tc>
          <w:tcPr>
            <w:tcW w:w="2048" w:type="dxa"/>
          </w:tcPr>
          <w:p w14:paraId="68CDED33" w14:textId="77777777" w:rsidR="00EA6791" w:rsidRDefault="00836FD5">
            <w:pPr>
              <w:pStyle w:val="Compact"/>
            </w:pPr>
            <w:hyperlink r:id="rId13">
              <w:r>
                <w:rPr>
                  <w:rStyle w:val="Hyperlink"/>
                </w:rPr>
                <w:t>ResNet Bottleneck (He et al., 2016)</w:t>
              </w:r>
            </w:hyperlink>
          </w:p>
        </w:tc>
        <w:tc>
          <w:tcPr>
            <w:tcW w:w="1365" w:type="dxa"/>
          </w:tcPr>
          <w:p w14:paraId="3F119AE3" w14:textId="77777777" w:rsidR="00EA6791" w:rsidRDefault="00836FD5">
            <w:pPr>
              <w:pStyle w:val="Compact"/>
            </w:pPr>
            <w:r>
              <w:t>2.576e-03</w:t>
            </w:r>
          </w:p>
        </w:tc>
        <w:tc>
          <w:tcPr>
            <w:tcW w:w="1775" w:type="dxa"/>
          </w:tcPr>
          <w:p w14:paraId="216FDCBF" w14:textId="77777777" w:rsidR="00EA6791" w:rsidRDefault="00836FD5">
            <w:pPr>
              <w:pStyle w:val="Compact"/>
            </w:pPr>
            <w:r>
              <w:t>Reduce-Transform-Expand blocks</w:t>
            </w:r>
          </w:p>
        </w:tc>
        <w:tc>
          <w:tcPr>
            <w:tcW w:w="1365" w:type="dxa"/>
          </w:tcPr>
          <w:p w14:paraId="5B743C8A" w14:textId="77777777" w:rsidR="00EA6791" w:rsidRDefault="00836FD5">
            <w:pPr>
              <w:pStyle w:val="Compact"/>
            </w:pPr>
            <w:r>
              <w:t>Efficient, deep compression</w:t>
            </w:r>
          </w:p>
        </w:tc>
      </w:tr>
      <w:tr w:rsidR="00EA6791" w14:paraId="31C5F1AE" w14:textId="77777777">
        <w:tc>
          <w:tcPr>
            <w:tcW w:w="409" w:type="dxa"/>
          </w:tcPr>
          <w:p w14:paraId="53DF3EC8" w14:textId="77777777" w:rsidR="00EA6791" w:rsidRDefault="00836FD5">
            <w:pPr>
              <w:pStyle w:val="Compact"/>
            </w:pPr>
            <w:r>
              <w:t>10</w:t>
            </w:r>
          </w:p>
        </w:tc>
        <w:tc>
          <w:tcPr>
            <w:tcW w:w="955" w:type="dxa"/>
          </w:tcPr>
          <w:p w14:paraId="367867A2" w14:textId="77777777" w:rsidR="00EA6791" w:rsidRDefault="00836FD5">
            <w:pPr>
              <w:pStyle w:val="Compact"/>
            </w:pPr>
            <w:r>
              <w:t xml:space="preserve">Gated </w:t>
            </w:r>
            <w:r>
              <w:lastRenderedPageBreak/>
              <w:t>Attention</w:t>
            </w:r>
          </w:p>
        </w:tc>
        <w:tc>
          <w:tcPr>
            <w:tcW w:w="2048" w:type="dxa"/>
          </w:tcPr>
          <w:p w14:paraId="442C77AF" w14:textId="77777777" w:rsidR="00EA6791" w:rsidRDefault="00836FD5"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Transformer </w:t>
              </w:r>
              <w:r>
                <w:rPr>
                  <w:rStyle w:val="Hyperlink"/>
                </w:rPr>
                <w:lastRenderedPageBreak/>
                <w:t>(Vaswani et al., 2017)</w:t>
              </w:r>
            </w:hyperlink>
          </w:p>
        </w:tc>
        <w:tc>
          <w:tcPr>
            <w:tcW w:w="1365" w:type="dxa"/>
          </w:tcPr>
          <w:p w14:paraId="78F85980" w14:textId="77777777" w:rsidR="00EA6791" w:rsidRDefault="00836FD5">
            <w:pPr>
              <w:pStyle w:val="Compact"/>
            </w:pPr>
            <w:r>
              <w:lastRenderedPageBreak/>
              <w:t>1.746e-03</w:t>
            </w:r>
          </w:p>
        </w:tc>
        <w:tc>
          <w:tcPr>
            <w:tcW w:w="1775" w:type="dxa"/>
          </w:tcPr>
          <w:p w14:paraId="6A8E770A" w14:textId="77777777" w:rsidR="00EA6791" w:rsidRDefault="00836FD5">
            <w:pPr>
              <w:pStyle w:val="Compact"/>
            </w:pPr>
            <w:r>
              <w:t xml:space="preserve">Self-attention </w:t>
            </w:r>
            <w:r>
              <w:lastRenderedPageBreak/>
              <w:t>gating (Middle)</w:t>
            </w:r>
          </w:p>
        </w:tc>
        <w:tc>
          <w:tcPr>
            <w:tcW w:w="1365" w:type="dxa"/>
          </w:tcPr>
          <w:p w14:paraId="767997EA" w14:textId="77777777" w:rsidR="00EA6791" w:rsidRDefault="00836FD5">
            <w:pPr>
              <w:pStyle w:val="Compact"/>
            </w:pPr>
            <w:r>
              <w:lastRenderedPageBreak/>
              <w:t xml:space="preserve">Global </w:t>
            </w:r>
            <w:r>
              <w:lastRenderedPageBreak/>
              <w:t>spatial relationships</w:t>
            </w:r>
          </w:p>
        </w:tc>
      </w:tr>
      <w:tr w:rsidR="00EA6791" w14:paraId="2B8C6718" w14:textId="77777777">
        <w:tc>
          <w:tcPr>
            <w:tcW w:w="409" w:type="dxa"/>
          </w:tcPr>
          <w:p w14:paraId="11D57BDA" w14:textId="77777777" w:rsidR="00EA6791" w:rsidRDefault="00EA6791">
            <w:pPr>
              <w:pStyle w:val="Compact"/>
            </w:pPr>
          </w:p>
        </w:tc>
        <w:tc>
          <w:tcPr>
            <w:tcW w:w="955" w:type="dxa"/>
          </w:tcPr>
          <w:p w14:paraId="45FD134A" w14:textId="77777777" w:rsidR="00EA6791" w:rsidRDefault="00EA6791">
            <w:pPr>
              <w:pStyle w:val="Compact"/>
            </w:pPr>
          </w:p>
        </w:tc>
        <w:tc>
          <w:tcPr>
            <w:tcW w:w="2048" w:type="dxa"/>
          </w:tcPr>
          <w:p w14:paraId="18D9E776" w14:textId="77777777" w:rsidR="00EA6791" w:rsidRDefault="00EA6791">
            <w:pPr>
              <w:pStyle w:val="Compact"/>
            </w:pPr>
          </w:p>
        </w:tc>
        <w:tc>
          <w:tcPr>
            <w:tcW w:w="1365" w:type="dxa"/>
          </w:tcPr>
          <w:p w14:paraId="7A914AB8" w14:textId="77777777" w:rsidR="00EA6791" w:rsidRDefault="00EA6791">
            <w:pPr>
              <w:pStyle w:val="Compact"/>
            </w:pPr>
          </w:p>
        </w:tc>
        <w:tc>
          <w:tcPr>
            <w:tcW w:w="1775" w:type="dxa"/>
          </w:tcPr>
          <w:p w14:paraId="32EC5F2B" w14:textId="77777777" w:rsidR="00EA6791" w:rsidRDefault="00EA6791">
            <w:pPr>
              <w:pStyle w:val="Compact"/>
            </w:pPr>
          </w:p>
        </w:tc>
        <w:tc>
          <w:tcPr>
            <w:tcW w:w="1365" w:type="dxa"/>
          </w:tcPr>
          <w:p w14:paraId="310BC4DF" w14:textId="77777777" w:rsidR="00EA6791" w:rsidRDefault="00EA6791">
            <w:pPr>
              <w:pStyle w:val="Compact"/>
            </w:pPr>
          </w:p>
        </w:tc>
      </w:tr>
      <w:tr w:rsidR="00EA6791" w14:paraId="1F3E4684" w14:textId="77777777">
        <w:tc>
          <w:tcPr>
            <w:tcW w:w="409" w:type="dxa"/>
          </w:tcPr>
          <w:p w14:paraId="445BD384" w14:textId="77777777" w:rsidR="00EA6791" w:rsidRDefault="00836FD5">
            <w:pPr>
              <w:pStyle w:val="Compact"/>
            </w:pPr>
            <w:r>
              <w:rPr>
                <w:b/>
                <w:bCs/>
              </w:rPr>
              <w:t>Note:</w:t>
            </w:r>
          </w:p>
        </w:tc>
        <w:tc>
          <w:tcPr>
            <w:tcW w:w="955" w:type="dxa"/>
          </w:tcPr>
          <w:p w14:paraId="11CE59F4" w14:textId="77777777" w:rsidR="00EA6791" w:rsidRDefault="00836FD5">
            <w:pPr>
              <w:pStyle w:val="Compact"/>
            </w:pPr>
            <w:r>
              <w:rPr>
                <w:b/>
                <w:bCs/>
              </w:rPr>
              <w:t>Production Bake-off</w:t>
            </w:r>
          </w:p>
        </w:tc>
        <w:tc>
          <w:tcPr>
            <w:tcW w:w="2048" w:type="dxa"/>
          </w:tcPr>
          <w:p w14:paraId="345DA7CE" w14:textId="77777777" w:rsidR="00EA6791" w:rsidRDefault="00836FD5">
            <w:pPr>
              <w:pStyle w:val="Compact"/>
            </w:pPr>
            <w:r>
              <w:rPr>
                <w:b/>
                <w:bCs/>
              </w:rPr>
              <w:t>Baseline vs AttentionSE</w:t>
            </w:r>
          </w:p>
        </w:tc>
        <w:tc>
          <w:tcPr>
            <w:tcW w:w="1365" w:type="dxa"/>
          </w:tcPr>
          <w:p w14:paraId="07FB4C3A" w14:textId="77777777" w:rsidR="00EA6791" w:rsidRDefault="00836FD5">
            <w:pPr>
              <w:pStyle w:val="Compact"/>
            </w:pPr>
            <w:r>
              <w:rPr>
                <w:b/>
                <w:bCs/>
              </w:rPr>
              <w:t>7.695e-04 (RMSE)</w:t>
            </w:r>
            <w:r>
              <w:t>*</w:t>
            </w:r>
          </w:p>
        </w:tc>
        <w:tc>
          <w:tcPr>
            <w:tcW w:w="1775" w:type="dxa"/>
          </w:tcPr>
          <w:p w14:paraId="4EA7FDFF" w14:textId="77777777" w:rsidR="00EA6791" w:rsidRDefault="00836FD5">
            <w:pPr>
              <w:pStyle w:val="Compact"/>
            </w:pPr>
            <w:r>
              <w:rPr>
                <w:b/>
                <w:bCs/>
              </w:rPr>
              <w:t>Extended Training</w:t>
            </w:r>
          </w:p>
        </w:tc>
        <w:tc>
          <w:tcPr>
            <w:tcW w:w="1365" w:type="dxa"/>
          </w:tcPr>
          <w:p w14:paraId="1DC810EE" w14:textId="77777777" w:rsidR="00EA6791" w:rsidRDefault="00836FD5">
            <w:pPr>
              <w:pStyle w:val="Compact"/>
            </w:pPr>
            <w:r>
              <w:rPr>
                <w:b/>
                <w:bCs/>
              </w:rPr>
              <w:t>AttentionSE Wins Long-term</w:t>
            </w:r>
          </w:p>
        </w:tc>
      </w:tr>
    </w:tbl>
    <w:p w14:paraId="3323F771" w14:textId="77777777" w:rsidR="00EA6791" w:rsidRDefault="00836FD5">
      <w:pPr>
        <w:pStyle w:val="BodyText"/>
      </w:pPr>
      <w:r>
        <w:t xml:space="preserve">* </w:t>
      </w:r>
      <w:r>
        <w:rPr>
          <w:i/>
          <w:iCs/>
        </w:rPr>
        <w:t>Longer production runs (1000 epochs) achieved a validation RMSE of 7.695e-04 for the AttentionSE model, outperforming the baseline in high-precision reconstruction.</w:t>
      </w:r>
    </w:p>
    <w:p w14:paraId="05D87A74" w14:textId="77777777" w:rsidR="00EA6791" w:rsidRDefault="00836FD5">
      <w:r>
        <w:rPr>
          <w:noProof/>
        </w:rPr>
        <w:pict w14:anchorId="4676722E">
          <v:rect id="_x0000_i1026" alt="" style="width:468pt;height:.05pt;mso-width-percent:0;mso-height-percent:0;mso-width-percent:0;mso-height-percent:0" o:hralign="center" o:hrstd="t" o:hr="t"/>
        </w:pict>
      </w:r>
    </w:p>
    <w:p w14:paraId="5CDE63CB" w14:textId="77777777" w:rsidR="00EA6791" w:rsidRDefault="00836FD5">
      <w:pPr>
        <w:pStyle w:val="Heading2"/>
      </w:pPr>
      <w:bookmarkStart w:id="2" w:name="technical-documentation-mla-citations"/>
      <w:bookmarkEnd w:id="1"/>
      <w:r>
        <w:t>Technical Documentation &amp; MLA Citations</w:t>
      </w:r>
    </w:p>
    <w:p w14:paraId="5AA750AA" w14:textId="77777777" w:rsidR="00EA6791" w:rsidRDefault="00836FD5">
      <w:pPr>
        <w:pStyle w:val="Heading3"/>
      </w:pPr>
      <w:bookmarkStart w:id="3" w:name="residual-autoencoders-baseline-deep"/>
      <w:r>
        <w:t>1-2. Residual Autoencoders (Baseline &amp; Deep)</w:t>
      </w:r>
    </w:p>
    <w:p w14:paraId="5FCE7581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“Deep Residual Learning for Image Recognition” (He et al., 2016). * </w:t>
      </w:r>
      <w:r>
        <w:rPr>
          <w:b/>
          <w:bCs/>
        </w:rPr>
        <w:t>MLA Citation:</w:t>
      </w:r>
      <w:r>
        <w:t xml:space="preserve"> He, Kaiming, et al. “Deep Residual Learning for Image Recognition.” </w:t>
      </w:r>
      <w:r>
        <w:rPr>
          <w:i/>
          <w:iCs/>
        </w:rPr>
        <w:t>Proceedings of the IEEE Conference on Computer Vision and Pattern Recognition</w:t>
      </w:r>
      <w:r>
        <w:t xml:space="preserve">, 2016, pp. 770-778. * </w:t>
      </w:r>
      <w:r>
        <w:rPr>
          <w:b/>
          <w:bCs/>
        </w:rPr>
        <w:t>PDF:</w:t>
      </w:r>
      <w:r>
        <w:t xml:space="preserve"> </w:t>
      </w:r>
      <w:hyperlink r:id="rId15">
        <w:r>
          <w:rPr>
            <w:rStyle w:val="Hyperlink"/>
          </w:rPr>
          <w:t>https://arxiv.org/pdf/1512.03385.pdf</w:t>
        </w:r>
      </w:hyperlink>
      <w:r>
        <w:t xml:space="preserve"> * </w:t>
      </w:r>
      <w:r>
        <w:rPr>
          <w:b/>
          <w:bCs/>
        </w:rPr>
        <w:t>Deviations:</w:t>
      </w:r>
      <w:r>
        <w:t xml:space="preserve"> Adapts convolutional ResNet concepts to a fully connected (MLP) architecture. Uses LayerNorm and ELU within residual blocks.</w:t>
      </w:r>
    </w:p>
    <w:p w14:paraId="0E7EB759" w14:textId="77777777" w:rsidR="00EA6791" w:rsidRDefault="00836FD5">
      <w:pPr>
        <w:pStyle w:val="Heading3"/>
      </w:pPr>
      <w:bookmarkStart w:id="4" w:name="wide-residual-autoencoder"/>
      <w:bookmarkEnd w:id="3"/>
      <w:r>
        <w:t>3. Wide Residual Autoencoder</w:t>
      </w:r>
    </w:p>
    <w:p w14:paraId="2E4C90DF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“Wide Residual Networks” (Zagoruyko &amp; Komodakis, 2016). * </w:t>
      </w:r>
      <w:r>
        <w:rPr>
          <w:b/>
          <w:bCs/>
        </w:rPr>
        <w:t>MLA Citation:</w:t>
      </w:r>
      <w:r>
        <w:t xml:space="preserve"> Zagoruyko, Sergey, and Nikos Komodakis. “Wide Residual Networks.” </w:t>
      </w:r>
      <w:r>
        <w:rPr>
          <w:i/>
          <w:iCs/>
        </w:rPr>
        <w:t>arXiv preprint arXiv:1605.07146</w:t>
      </w:r>
      <w:r>
        <w:t xml:space="preserve">, 2016. * </w:t>
      </w:r>
      <w:r>
        <w:rPr>
          <w:b/>
          <w:bCs/>
        </w:rPr>
        <w:t>PDF:</w:t>
      </w:r>
      <w:r>
        <w:t xml:space="preserve"> </w:t>
      </w:r>
      <w:hyperlink r:id="rId16">
        <w:r>
          <w:rPr>
            <w:rStyle w:val="Hyperlink"/>
          </w:rPr>
          <w:t>https://arxiv.org/pdf/1605.07146.pdf</w:t>
        </w:r>
      </w:hyperlink>
      <w:r>
        <w:t xml:space="preserve"> * </w:t>
      </w:r>
      <w:r>
        <w:rPr>
          <w:b/>
          <w:bCs/>
        </w:rPr>
        <w:t>Deviations:</w:t>
      </w:r>
      <w:r>
        <w:t xml:space="preserve"> Focuses on increasing the width of the hidden layers (up to 512 dimensions) rather than depth to capture broader feature distributions.</w:t>
      </w:r>
    </w:p>
    <w:p w14:paraId="4A5E960D" w14:textId="77777777" w:rsidR="00EA6791" w:rsidRDefault="00836FD5">
      <w:pPr>
        <w:pStyle w:val="Heading3"/>
      </w:pPr>
      <w:bookmarkStart w:id="5" w:name="gelu-residual-autoencoder"/>
      <w:bookmarkEnd w:id="4"/>
      <w:r>
        <w:t>4. GELU Residual Autoencoder</w:t>
      </w:r>
    </w:p>
    <w:p w14:paraId="29AF3ECD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“Gaussian Error Linear Units (GELUs)” (Hendrycks &amp; Gimpel, 2016). * </w:t>
      </w:r>
      <w:r>
        <w:rPr>
          <w:b/>
          <w:bCs/>
        </w:rPr>
        <w:t>MLA Citation:</w:t>
      </w:r>
      <w:r>
        <w:t xml:space="preserve"> Hendrycks, Dan, and Kevin Gimpel. “Gaussian Error Linear Units (GELUs).” </w:t>
      </w:r>
      <w:r>
        <w:rPr>
          <w:i/>
          <w:iCs/>
        </w:rPr>
        <w:t>arXiv preprint arXiv:1606.08415</w:t>
      </w:r>
      <w:r>
        <w:t xml:space="preserve">, 2016. * </w:t>
      </w:r>
      <w:r>
        <w:rPr>
          <w:b/>
          <w:bCs/>
        </w:rPr>
        <w:t>PDF:</w:t>
      </w:r>
      <w:r>
        <w:t xml:space="preserve"> </w:t>
      </w:r>
      <w:hyperlink r:id="rId17">
        <w:r>
          <w:rPr>
            <w:rStyle w:val="Hyperlink"/>
          </w:rPr>
          <w:t>https://arxiv.org/pdf/1606.08415.pdf</w:t>
        </w:r>
      </w:hyperlink>
      <w:r>
        <w:t xml:space="preserve"> * </w:t>
      </w:r>
      <w:r>
        <w:rPr>
          <w:b/>
          <w:bCs/>
        </w:rPr>
        <w:t>Deviations:</w:t>
      </w:r>
      <w:r>
        <w:t xml:space="preserve"> Replaces standard ELU/ReLU activations with GELU, which weights inputs by their percentile, often performing better in turbulent flow modeling.</w:t>
      </w:r>
    </w:p>
    <w:p w14:paraId="4308FC4A" w14:textId="77777777" w:rsidR="00EA6791" w:rsidRDefault="00836FD5">
      <w:pPr>
        <w:pStyle w:val="Heading3"/>
      </w:pPr>
      <w:bookmarkStart w:id="6" w:name="attentionse-squeeze-and-excitation"/>
      <w:bookmarkEnd w:id="5"/>
      <w:r>
        <w:t>5. AttentionSE (Squeeze-and-Excitation)</w:t>
      </w:r>
    </w:p>
    <w:p w14:paraId="4AC3771A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“Squeeze-and-Excitation Networks” (Hu et al., 2017). * </w:t>
      </w:r>
      <w:r>
        <w:rPr>
          <w:b/>
          <w:bCs/>
        </w:rPr>
        <w:t>MLA Citation:</w:t>
      </w:r>
      <w:r>
        <w:t xml:space="preserve"> Hu, Jie, et al. “Squeeze-and-Excitation Networks.” </w:t>
      </w:r>
      <w:r>
        <w:rPr>
          <w:i/>
          <w:iCs/>
        </w:rPr>
        <w:t>Proceedings of the IEEE Conference on Computer Vision and Pattern Recognition</w:t>
      </w:r>
      <w:r>
        <w:t xml:space="preserve">, 2018, pp. 7132-7141. * </w:t>
      </w:r>
      <w:r>
        <w:rPr>
          <w:b/>
          <w:bCs/>
        </w:rPr>
        <w:t>PDF:</w:t>
      </w:r>
      <w:r>
        <w:t xml:space="preserve"> </w:t>
      </w:r>
      <w:hyperlink r:id="rId18">
        <w:r>
          <w:rPr>
            <w:rStyle w:val="Hyperlink"/>
          </w:rPr>
          <w:t>https://arxiv.org/pdf/1709.01507.pdf</w:t>
        </w:r>
      </w:hyperlink>
      <w:r>
        <w:t xml:space="preserve"> * </w:t>
      </w:r>
      <w:r>
        <w:rPr>
          <w:b/>
          <w:bCs/>
        </w:rPr>
        <w:t>Deviations:</w:t>
      </w:r>
      <w:r>
        <w:t xml:space="preserve"> Uses SE-Blocks to perform channel-</w:t>
      </w:r>
      <w:r>
        <w:lastRenderedPageBreak/>
        <w:t>wise feature recalibration. In the fluid dynamics context, this allows the model to “attend” to specific velocity components (vx, vy, vz) or spatial regions more effectively.</w:t>
      </w:r>
    </w:p>
    <w:p w14:paraId="47BD0094" w14:textId="77777777" w:rsidR="00EA6791" w:rsidRDefault="00836FD5">
      <w:pPr>
        <w:pStyle w:val="Heading3"/>
      </w:pPr>
      <w:bookmarkStart w:id="7" w:name="dense-autoencoder"/>
      <w:bookmarkEnd w:id="6"/>
      <w:r>
        <w:t>6. Dense Autoencoder</w:t>
      </w:r>
    </w:p>
    <w:p w14:paraId="38CC0954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</w:t>
      </w:r>
      <w:r>
        <w:t xml:space="preserve">“Densely Connected Convolutional Networks” (Huang et al., 2017). * </w:t>
      </w:r>
      <w:r>
        <w:rPr>
          <w:b/>
          <w:bCs/>
        </w:rPr>
        <w:t>MLA Citation:</w:t>
      </w:r>
      <w:r>
        <w:t xml:space="preserve"> Huang, Gao, et al. “Densely Connected Convolutional Networks.” </w:t>
      </w:r>
      <w:r>
        <w:rPr>
          <w:i/>
          <w:iCs/>
        </w:rPr>
        <w:t>Proceedings of the IEEE Conference on Computer Vision and Pattern Recognition</w:t>
      </w:r>
      <w:r>
        <w:t xml:space="preserve">, 2017, pp. 4700-4708. * </w:t>
      </w:r>
      <w:r>
        <w:rPr>
          <w:b/>
          <w:bCs/>
        </w:rPr>
        <w:t>PDF:</w:t>
      </w:r>
      <w:r>
        <w:t xml:space="preserve"> </w:t>
      </w:r>
      <w:hyperlink r:id="rId19">
        <w:r>
          <w:rPr>
            <w:rStyle w:val="Hyperlink"/>
          </w:rPr>
          <w:t>https://arxiv.org/pdf/1608.06993.pdf</w:t>
        </w:r>
      </w:hyperlink>
      <w:r>
        <w:t xml:space="preserve"> * </w:t>
      </w:r>
      <w:r>
        <w:rPr>
          <w:b/>
          <w:bCs/>
        </w:rPr>
        <w:t>Deviations:</w:t>
      </w:r>
      <w:r>
        <w:t xml:space="preserve"> Implements dense connections within blocks using </w:t>
      </w:r>
      <w:r>
        <w:rPr>
          <w:rStyle w:val="VerbatimChar"/>
        </w:rPr>
        <w:t>torch.cat</w:t>
      </w:r>
      <w:r>
        <w:t>. A projection layer is used after each dense block to maintain computational efficiency while allowing feature reuse.</w:t>
      </w:r>
    </w:p>
    <w:p w14:paraId="068EB403" w14:textId="77777777" w:rsidR="00EA6791" w:rsidRDefault="00836FD5">
      <w:pPr>
        <w:pStyle w:val="Heading3"/>
      </w:pPr>
      <w:bookmarkStart w:id="8" w:name="batchnorm-autoencoder"/>
      <w:bookmarkEnd w:id="7"/>
      <w:r>
        <w:t>7. BatchNorm Autoencoder</w:t>
      </w:r>
    </w:p>
    <w:p w14:paraId="2B9C780F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</w:t>
      </w:r>
      <w:r>
        <w:t xml:space="preserve">“Batch Normalization: Accelerating Deep Network Training by Reducing Internal Covariate Shift” (Ioffe &amp; Szegedy, 2015). * </w:t>
      </w:r>
      <w:r>
        <w:rPr>
          <w:b/>
          <w:bCs/>
        </w:rPr>
        <w:t>MLA Citation:</w:t>
      </w:r>
      <w:r>
        <w:t xml:space="preserve"> Ioffe, Sergey, and Christian Szegedy. “Batch Normalization: Accelerating Deep Network Training by Reducing Internal Covariate Shift.” </w:t>
      </w:r>
      <w:r>
        <w:rPr>
          <w:i/>
          <w:iCs/>
        </w:rPr>
        <w:t>International Conference on Machine Learning</w:t>
      </w:r>
      <w:r>
        <w:t xml:space="preserve">, 2015, pp. 448-456. * </w:t>
      </w:r>
      <w:r>
        <w:rPr>
          <w:b/>
          <w:bCs/>
        </w:rPr>
        <w:t>PDF:</w:t>
      </w:r>
      <w:r>
        <w:t xml:space="preserve"> </w:t>
      </w:r>
      <w:hyperlink r:id="rId20">
        <w:r>
          <w:rPr>
            <w:rStyle w:val="Hyperlink"/>
          </w:rPr>
          <w:t>https://proceedings.mlr.press/v37/ioffe15.pdf</w:t>
        </w:r>
      </w:hyperlink>
      <w:r>
        <w:t xml:space="preserve"> * </w:t>
      </w:r>
      <w:r>
        <w:rPr>
          <w:b/>
          <w:bCs/>
        </w:rPr>
        <w:t>Deviations:</w:t>
      </w:r>
      <w:r>
        <w:t xml:space="preserve"> Specifically swaps the project-standard LayerNorm for BatchNorm1d to test the effect of batch-wise statistics on turbulent flow data reconstruction.</w:t>
      </w:r>
    </w:p>
    <w:p w14:paraId="2CB6AE4B" w14:textId="77777777" w:rsidR="00EA6791" w:rsidRDefault="00836FD5">
      <w:pPr>
        <w:pStyle w:val="Heading3"/>
      </w:pPr>
      <w:bookmarkStart w:id="9" w:name="skipu-net-autoencoder"/>
      <w:bookmarkEnd w:id="8"/>
      <w:r>
        <w:t>8. Skip/U-Net Autoencoder</w:t>
      </w:r>
    </w:p>
    <w:p w14:paraId="77493ABA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“U-Net: Convolutional Networks for Biomedical Image Segmentation” (Ronneberger et al., 2015). * </w:t>
      </w:r>
      <w:r>
        <w:rPr>
          <w:b/>
          <w:bCs/>
        </w:rPr>
        <w:t>MLA Citation:</w:t>
      </w:r>
      <w:r>
        <w:t xml:space="preserve"> Ronneberger, Olaf, et al. “U-Net: Convolutional Networks for Biomedical Image Segmentation.” </w:t>
      </w:r>
      <w:r>
        <w:rPr>
          <w:i/>
          <w:iCs/>
        </w:rPr>
        <w:t>International Conference on Medical Image Computing and Computer-Assisted Intervention</w:t>
      </w:r>
      <w:r>
        <w:t xml:space="preserve">, 2015, pp. 234-241. * </w:t>
      </w:r>
      <w:r>
        <w:rPr>
          <w:b/>
          <w:bCs/>
        </w:rPr>
        <w:t>PDF:</w:t>
      </w:r>
      <w:r>
        <w:t xml:space="preserve"> </w:t>
      </w:r>
      <w:hyperlink r:id="rId21">
        <w:r>
          <w:rPr>
            <w:rStyle w:val="Hyperlink"/>
          </w:rPr>
          <w:t>https://arxiv.org/pdf/1505.04597.pdf</w:t>
        </w:r>
      </w:hyperlink>
      <w:r>
        <w:t xml:space="preserve"> * </w:t>
      </w:r>
      <w:r>
        <w:rPr>
          <w:b/>
          <w:bCs/>
        </w:rPr>
        <w:t>Deviations:</w:t>
      </w:r>
      <w:r>
        <w:t xml:space="preserve"> Implements long-range skip connections between the encoder and decoder. This allows the decoder to “bypass” the latent bottleneck for high-frequency details, which is reflected in the strong reconstruction performance (0.001423 MSE).</w:t>
      </w:r>
    </w:p>
    <w:p w14:paraId="4F5ED659" w14:textId="77777777" w:rsidR="00EA6791" w:rsidRDefault="00836FD5">
      <w:pPr>
        <w:pStyle w:val="Heading3"/>
      </w:pPr>
      <w:bookmarkStart w:id="10" w:name="bottleneck-residual-ae"/>
      <w:bookmarkEnd w:id="9"/>
      <w:r>
        <w:t>9. Bottleneck Residual AE</w:t>
      </w:r>
    </w:p>
    <w:p w14:paraId="0451FA04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“Deep Residual Learning for Image Recognition” (He et al., 2016). * </w:t>
      </w:r>
      <w:r>
        <w:rPr>
          <w:b/>
          <w:bCs/>
        </w:rPr>
        <w:t>MLA Citation:</w:t>
      </w:r>
      <w:r>
        <w:t xml:space="preserve"> He, Kaiming, et al. “Deep Residual Learning for Image Recognition.” </w:t>
      </w:r>
      <w:r>
        <w:rPr>
          <w:i/>
          <w:iCs/>
        </w:rPr>
        <w:t>Proceedings of the IEEE Conference on Computer Vision and Pattern Recognition</w:t>
      </w:r>
      <w:r>
        <w:t xml:space="preserve">, 2016, pp. 770-778. * </w:t>
      </w:r>
      <w:r>
        <w:rPr>
          <w:b/>
          <w:bCs/>
        </w:rPr>
        <w:t>PDF:</w:t>
      </w:r>
      <w:r>
        <w:t xml:space="preserve"> </w:t>
      </w:r>
      <w:hyperlink r:id="rId22">
        <w:r>
          <w:rPr>
            <w:rStyle w:val="Hyperlink"/>
          </w:rPr>
          <w:t>https://arxiv.org/pdf/1512.03385.pdf</w:t>
        </w:r>
      </w:hyperlink>
      <w:r>
        <w:t xml:space="preserve"> * </w:t>
      </w:r>
      <w:r>
        <w:rPr>
          <w:b/>
          <w:bCs/>
        </w:rPr>
        <w:t>Deviations:</w:t>
      </w:r>
      <w:r>
        <w:t xml:space="preserve"> Uses the “Bottleneck” design (1x1 -&gt; 3x3 -&gt; 1x1 equivalent in MLP terms: reduce -&gt; transform -&gt; expand) to increase depth without proportionally increasing parameter count.</w:t>
      </w:r>
    </w:p>
    <w:p w14:paraId="57F10B39" w14:textId="77777777" w:rsidR="00EA6791" w:rsidRDefault="00836FD5">
      <w:pPr>
        <w:pStyle w:val="Heading3"/>
      </w:pPr>
      <w:bookmarkStart w:id="11" w:name="gated-attention-autoencoder"/>
      <w:bookmarkEnd w:id="10"/>
      <w:r>
        <w:t>10. Gated Attention Autoencoder</w:t>
      </w:r>
    </w:p>
    <w:p w14:paraId="55486425" w14:textId="77777777" w:rsidR="00EA6791" w:rsidRDefault="00836FD5">
      <w:pPr>
        <w:pStyle w:val="FirstParagraph"/>
      </w:pPr>
      <w:r>
        <w:rPr>
          <w:b/>
          <w:bCs/>
        </w:rPr>
        <w:t>Originally based on:</w:t>
      </w:r>
      <w:r>
        <w:t xml:space="preserve"> “Attention Is All You Need” (Vaswani et al., 2017). * </w:t>
      </w:r>
      <w:r>
        <w:rPr>
          <w:b/>
          <w:bCs/>
        </w:rPr>
        <w:t>MLA Citation:</w:t>
      </w:r>
      <w:r>
        <w:t xml:space="preserve"> Vaswani, Ashish, et al. “Attention Is All You Need.” </w:t>
      </w:r>
      <w:r>
        <w:rPr>
          <w:i/>
          <w:iCs/>
        </w:rPr>
        <w:t>Advances in Neural Information Processing Systems</w:t>
      </w:r>
      <w:r>
        <w:t xml:space="preserve">, 2017, pp. 5998-6008. * </w:t>
      </w:r>
      <w:r>
        <w:rPr>
          <w:b/>
          <w:bCs/>
        </w:rPr>
        <w:t>PDF:</w:t>
      </w:r>
      <w:r>
        <w:t xml:space="preserve"> </w:t>
      </w:r>
      <w:hyperlink r:id="rId23">
        <w:r>
          <w:rPr>
            <w:rStyle w:val="Hyperlink"/>
          </w:rPr>
          <w:t>https://arxiv.org/pdf/1706.03762.pdf</w:t>
        </w:r>
      </w:hyperlink>
      <w:r>
        <w:t xml:space="preserve"> * </w:t>
      </w:r>
      <w:r>
        <w:rPr>
          <w:b/>
          <w:bCs/>
        </w:rPr>
        <w:lastRenderedPageBreak/>
        <w:t>Deviations:</w:t>
      </w:r>
      <w:r>
        <w:t xml:space="preserve"> Uses a simplified self-attention gating mechanism (query-key-value multiplication) as a middle layer to capture global relationships within the spatial data before final latent compression.</w:t>
      </w:r>
    </w:p>
    <w:p w14:paraId="5536C27F" w14:textId="77777777" w:rsidR="00EA6791" w:rsidRDefault="00836FD5">
      <w:r>
        <w:rPr>
          <w:noProof/>
        </w:rPr>
        <w:pict w14:anchorId="16B68543">
          <v:rect id="_x0000_i1025" alt="" style="width:468pt;height:.05pt;mso-width-percent:0;mso-height-percent:0;mso-width-percent:0;mso-height-percent:0" o:hralign="center" o:hrstd="t" o:hr="t"/>
        </w:pict>
      </w:r>
    </w:p>
    <w:p w14:paraId="30D060EC" w14:textId="77777777" w:rsidR="00EA6791" w:rsidRDefault="00836FD5">
      <w:pPr>
        <w:pStyle w:val="Heading2"/>
      </w:pPr>
      <w:bookmarkStart w:id="12" w:name="experimental-results-summary-msermse"/>
      <w:bookmarkEnd w:id="2"/>
      <w:bookmarkEnd w:id="11"/>
      <w:r>
        <w:t>Experimental Results Summary (MSE/RMSE)</w:t>
      </w:r>
    </w:p>
    <w:p w14:paraId="45230EF5" w14:textId="77777777" w:rsidR="00EA6791" w:rsidRDefault="00836FD5">
      <w:pPr>
        <w:pStyle w:val="FirstParagraph"/>
      </w:pPr>
      <w:r>
        <w:t xml:space="preserve">Top Performers: 1. </w:t>
      </w:r>
      <w:r>
        <w:rPr>
          <w:b/>
          <w:bCs/>
        </w:rPr>
        <w:t>AttentionSE (Model 05):</w:t>
      </w:r>
      <w:r>
        <w:t xml:space="preserve"> 7.695e-04 RMSE (Longer Run) / 1.359e-03 MSE (Short Run) 2. </w:t>
      </w:r>
      <w:r>
        <w:rPr>
          <w:b/>
          <w:bCs/>
        </w:rPr>
        <w:t>Baseline (Model 01):</w:t>
      </w:r>
      <w:r>
        <w:t xml:space="preserve"> 1.334e-03 MSE 3. </w:t>
      </w:r>
      <w:r>
        <w:rPr>
          <w:b/>
          <w:bCs/>
        </w:rPr>
        <w:t>Skip/U-Net (Model 08):</w:t>
      </w:r>
      <w:r>
        <w:t xml:space="preserve"> 1.423e-03 MSE</w:t>
      </w:r>
    </w:p>
    <w:p w14:paraId="6D01A2F2" w14:textId="77777777" w:rsidR="00EA6791" w:rsidRDefault="00836FD5">
      <w:pPr>
        <w:pStyle w:val="BodyText"/>
      </w:pPr>
      <w:r>
        <w:t xml:space="preserve">Performance Observations: - </w:t>
      </w:r>
      <w:r>
        <w:rPr>
          <w:b/>
          <w:bCs/>
        </w:rPr>
        <w:t>Baseline Residual AE</w:t>
      </w:r>
      <w:r>
        <w:t xml:space="preserve"> is extremely competitive in short-duration experiments, providing a reliable foundation for all GEN3 models. - </w:t>
      </w:r>
      <w:r>
        <w:rPr>
          <w:b/>
          <w:bCs/>
        </w:rPr>
        <w:t>AttentionSE (Model 05) Bake-off:</w:t>
      </w:r>
      <w:r>
        <w:t xml:space="preserve"> While initially similar to the baseline, extended training runs (production mode) demonstrate that the Squeeze-and-Excitation blocks allow the model to converge to a significantly lower error floor (</w:t>
      </w:r>
      <w:r>
        <w:rPr>
          <w:b/>
          <w:bCs/>
        </w:rPr>
        <w:t>7.695e-04 RMSE</w:t>
      </w:r>
      <w:r>
        <w:t xml:space="preserve">). - </w:t>
      </w:r>
      <w:r>
        <w:rPr>
          <w:b/>
          <w:bCs/>
        </w:rPr>
        <w:t>Data Variability Performance:</w:t>
      </w:r>
      <w:r>
        <w:t xml:space="preserve"> Original benchmarks were based on a 1% random sample of experiment, time, and coordinate space. As </w:t>
      </w:r>
      <w:r>
        <w:t xml:space="preserve">data variability increased (higher percentage of total data), the </w:t>
      </w:r>
      <w:r>
        <w:rPr>
          <w:b/>
          <w:bCs/>
        </w:rPr>
        <w:t>AttentionSE (Model 05)</w:t>
      </w:r>
      <w:r>
        <w:t xml:space="preserve"> architecture outperformed the </w:t>
      </w:r>
      <w:r>
        <w:rPr>
          <w:b/>
          <w:bCs/>
        </w:rPr>
        <w:t>Baseline</w:t>
      </w:r>
      <w:r>
        <w:t xml:space="preserve"> by continuing to exhibit continuous training and validation improvements where the baseline reached its performance ceiling. - </w:t>
      </w:r>
      <w:r>
        <w:rPr>
          <w:b/>
          <w:bCs/>
        </w:rPr>
        <w:t>Skip Connections (Model 08)</w:t>
      </w:r>
      <w:r>
        <w:t xml:space="preserve"> excel at detail preservation but may “cheat” the latent bottleneck, which is reflected in the low MSE but should be verified for latent space utility.</w:t>
      </w:r>
      <w:bookmarkEnd w:id="0"/>
      <w:bookmarkEnd w:id="12"/>
    </w:p>
    <w:sectPr w:rsidR="00EA67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0671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090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791"/>
    <w:rsid w:val="00836FD5"/>
    <w:rsid w:val="008865A6"/>
    <w:rsid w:val="00B64F1E"/>
    <w:rsid w:val="00EA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3EED"/>
  <w15:docId w15:val="{1E154261-D92A-2C45-8BCB-6DA375F2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8550/arXiv.1606.08415" TargetMode="External"/><Relationship Id="rId13" Type="http://schemas.openxmlformats.org/officeDocument/2006/relationships/hyperlink" Target="https://doi.org/10.1109/CVPR.2016.90" TargetMode="External"/><Relationship Id="rId18" Type="http://schemas.openxmlformats.org/officeDocument/2006/relationships/hyperlink" Target="https://arxiv.org/pdf/1709.01507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xiv.org/pdf/1505.04597.pdf" TargetMode="External"/><Relationship Id="rId7" Type="http://schemas.openxmlformats.org/officeDocument/2006/relationships/hyperlink" Target="https://doi.org/10.48550/arXiv.1605.07146" TargetMode="External"/><Relationship Id="rId12" Type="http://schemas.openxmlformats.org/officeDocument/2006/relationships/hyperlink" Target="https://doi.org/10.1007/978-3-319-24574-4_28" TargetMode="External"/><Relationship Id="rId17" Type="http://schemas.openxmlformats.org/officeDocument/2006/relationships/hyperlink" Target="https://arxiv.org/pdf/1606.08415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pdf/1605.07146.pdf" TargetMode="External"/><Relationship Id="rId20" Type="http://schemas.openxmlformats.org/officeDocument/2006/relationships/hyperlink" Target="https://proceedings.mlr.press/v37/ioffe15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109/CVPR.2016.90" TargetMode="External"/><Relationship Id="rId11" Type="http://schemas.openxmlformats.org/officeDocument/2006/relationships/hyperlink" Target="https://proceedings.mlr.press/v37/ioffe15.pdf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oi.org/10.1109/CVPR.2016.90" TargetMode="External"/><Relationship Id="rId15" Type="http://schemas.openxmlformats.org/officeDocument/2006/relationships/hyperlink" Target="https://arxiv.org/pdf/1512.03385.pdf" TargetMode="External"/><Relationship Id="rId23" Type="http://schemas.openxmlformats.org/officeDocument/2006/relationships/hyperlink" Target="https://arxiv.org/pdf/1706.03762.pdf" TargetMode="External"/><Relationship Id="rId10" Type="http://schemas.openxmlformats.org/officeDocument/2006/relationships/hyperlink" Target="https://doi.org/10.1109/CVPR.2017.243" TargetMode="External"/><Relationship Id="rId19" Type="http://schemas.openxmlformats.org/officeDocument/2006/relationships/hyperlink" Target="https://arxiv.org/pdf/1608.0699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CVPR.2018.00745" TargetMode="External"/><Relationship Id="rId14" Type="http://schemas.openxmlformats.org/officeDocument/2006/relationships/hyperlink" Target="https://arxiv.org/abs/1706.03762" TargetMode="External"/><Relationship Id="rId22" Type="http://schemas.openxmlformats.org/officeDocument/2006/relationships/hyperlink" Target="https://arxiv.org/pdf/1512.0338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Kyle Kreth</cp:lastModifiedBy>
  <cp:revision>2</cp:revision>
  <dcterms:created xsi:type="dcterms:W3CDTF">2026-02-24T20:38:00Z</dcterms:created>
  <dcterms:modified xsi:type="dcterms:W3CDTF">2026-02-24T20:39:00Z</dcterms:modified>
</cp:coreProperties>
</file>