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恐怖谷效应的结构解释：离散层间错位假说</w:t>
      </w:r>
    </w:p>
    <w:p>
      <w:pPr>
        <w:jc w:val="center"/>
      </w:pPr>
      <w:r>
        <w:rPr>
          <w:sz w:val="24"/>
        </w:rPr>
        <w:t>林小黑</w:t>
      </w:r>
    </w:p>
    <w:p>
      <w:pPr>
        <w:jc w:val="center"/>
      </w:pPr>
      <w:r>
        <w:rPr>
          <w:sz w:val="20"/>
        </w:rPr>
        <w:t>（独立研究者。通讯地址：广东省广州市。电子邮箱：412341356@qq.com）</w:t>
      </w:r>
    </w:p>
    <w:p>
      <w:pPr>
        <w:pStyle w:val="Heading1"/>
      </w:pPr>
      <w:r>
        <w:t>摘要</w:t>
      </w:r>
    </w:p>
    <w:p>
      <w:r>
        <w:rPr>
          <w:i/>
          <w:sz w:val="20"/>
        </w:rPr>
        <w:t>恐怖谷效应自1970年由森政弘提出以来，一直被视为一个难以精确定义的"诡异感"连续统。本文提出，恐怖谷不是"像人但不够像"的渐变曲线，而是两个结构层之间离散错位的主观感知。本文定义了三类基本错位——振幅错位、相位错位、层间错位——并给出各自的数学形式。核心预测为：随着错位程度的增加，人类不适反应将呈现阶跃式上升（而非旧模型预测的平滑渐变），阶跃点对应于结构匹配失败的特征阈值。本框架将恐怖谷从一个描述性现象升级为可定位、可量化、可实验验证的结构事件。</w:t>
      </w:r>
    </w:p>
    <w:p>
      <w:r>
        <w:rPr>
          <w:rFonts w:ascii="宋体" w:hAnsi="宋体"/>
          <w:sz w:val="22"/>
        </w:rPr>
        <w:t>关键词： 恐怖谷；结构认知；离散错位；层间匹配；阶跃函数</w:t>
      </w:r>
    </w:p>
    <w:p>
      <w:pPr>
        <w:pStyle w:val="Heading1"/>
      </w:pPr>
      <w:r>
        <w:t>1. 引言</w:t>
      </w:r>
    </w:p>
    <w:p>
      <w:r>
        <w:rPr>
          <w:rFonts w:ascii="宋体" w:hAnsi="宋体"/>
          <w:sz w:val="22"/>
        </w:rPr>
        <w:t>1970年，日本机器人学家森政弘提出了一个困扰学术界半个多世纪的问题：为什么一个机器人越像人，人们对它的好感度反而会急剧下降，直到它完全像人为止？他将这种现象命名为"恐怖谷"（Uncanny Valley），并用一条先升后降再升的曲线来描述（Mori, 1970）。</w:t>
      </w:r>
    </w:p>
    <w:p>
      <w:r>
        <w:rPr>
          <w:rFonts w:ascii="宋体" w:hAnsi="宋体"/>
          <w:sz w:val="22"/>
        </w:rPr>
        <w:t>此后五十余年间，研究者们从进化心理学（MacDorman &amp; Ishiguro, 2006）、认知神经科学（Saygin et al., 2012）、分类模糊性（Yamada et al., 2013）等多个角度试图解释这一现象。然而，一个根本性的困难始终存在：恐怖谷的核心概念——"诡异感"——本身就是一个无法定位的描述性词语。</w:t>
      </w:r>
    </w:p>
    <w:p>
      <w:r>
        <w:rPr>
          <w:rFonts w:ascii="宋体" w:hAnsi="宋体"/>
          <w:sz w:val="22"/>
        </w:rPr>
        <w:t>"诡异"是什么意思？在什么条件下产生？如何量化？如何预测？旧框架给出的答案始终模糊。本文尝试从一个不同的方向切入：将恐怖谷重新定义为结构层之间的离散错位事件，而非连续统上的模糊感受。</w:t>
      </w:r>
    </w:p>
    <w:p>
      <w:pPr>
        <w:pStyle w:val="Heading2"/>
      </w:pPr>
      <w:r>
        <w:t>1.1 旧框架的根本缺陷</w:t>
      </w:r>
    </w:p>
    <w:p>
      <w:r>
        <w:rPr>
          <w:rFonts w:ascii="宋体" w:hAnsi="宋体"/>
          <w:sz w:val="22"/>
        </w:rPr>
        <w:t>现有的恐怖谷理论可归纳为三类（Kätsyri et al., 2015）：</w:t>
      </w:r>
    </w:p>
    <w:p>
      <w:pPr>
        <w:pStyle w:val="ListBullet"/>
      </w:pPr>
      <w:r>
        <w:rPr>
          <w:sz w:val="22"/>
        </w:rPr>
        <w:t>进化解释：类人但不完全像人的实体触发病原体回避机制。问题：无法解释为什么某些高度抽象的面孔（如卡通人物）完全不触发恐怖谷。</w:t>
      </w:r>
    </w:p>
    <w:p>
      <w:pPr>
        <w:pStyle w:val="ListBullet"/>
      </w:pPr>
      <w:r>
        <w:rPr>
          <w:sz w:val="22"/>
        </w:rPr>
        <w:t>分类模糊解释：边界模糊的类别引发认知冲突。问题：无法解释为什么可以用连续变量（表情强度、时间延迟）系统操控恐怖谷效应。</w:t>
      </w:r>
    </w:p>
    <w:p>
      <w:pPr>
        <w:pStyle w:val="ListBullet"/>
      </w:pPr>
      <w:r>
        <w:rPr>
          <w:sz w:val="22"/>
        </w:rPr>
        <w:t>预期违反解释：实际外观与预期外观不匹配。最接近本文框架，但缺乏对"匹配"这一操作的形式化定义。</w:t>
      </w:r>
    </w:p>
    <w:p>
      <w:r>
        <w:rPr>
          <w:rFonts w:ascii="宋体" w:hAnsi="宋体"/>
          <w:sz w:val="22"/>
        </w:rPr>
        <w:t>这三类解释共享同一个盲区：它们描述的是"发生了什么"，而非"在什么结构条件下发生"。 本文试图填补这一空白。</w:t>
      </w:r>
    </w:p>
    <w:p>
      <w:pPr>
        <w:pStyle w:val="Heading1"/>
      </w:pPr>
      <w:r>
        <w:t>2. 理论框架：结构错位假说</w:t>
      </w:r>
    </w:p>
    <w:p>
      <w:pPr>
        <w:pStyle w:val="Heading2"/>
      </w:pPr>
      <w:r>
        <w:t>2.1 核心思想</w:t>
      </w:r>
    </w:p>
    <w:p>
      <w:r>
        <w:rPr>
          <w:rFonts w:ascii="宋体" w:hAnsi="宋体"/>
          <w:sz w:val="22"/>
        </w:rPr>
        <w:t>人类对面孔的感知不是一个线性信号处理过程，而是一个结构匹配过程。当观察者面对一张脸时，多个结构层被同时激活：</w:t>
      </w:r>
    </w:p>
    <w:p>
      <w:pPr>
        <w:pStyle w:val="ListBullet"/>
      </w:pPr>
      <w:r>
        <w:rPr>
          <w:sz w:val="22"/>
        </w:rPr>
        <w:t>语义层：语言内容（"我很开心"）所携带的情感信息</w:t>
      </w:r>
    </w:p>
    <w:p>
      <w:pPr>
        <w:pStyle w:val="ListBullet"/>
      </w:pPr>
      <w:r>
        <w:rPr>
          <w:sz w:val="22"/>
        </w:rPr>
        <w:t xml:space="preserve">运动层：面部肌肉运动所携带的情感信息  </w:t>
      </w:r>
    </w:p>
    <w:p>
      <w:pPr>
        <w:pStyle w:val="ListBullet"/>
      </w:pPr>
      <w:r>
        <w:rPr>
          <w:sz w:val="22"/>
        </w:rPr>
        <w:t>时序层：各通道信号的相对时间关系</w:t>
      </w:r>
    </w:p>
    <w:p>
      <w:pPr>
        <w:pStyle w:val="ListBullet"/>
      </w:pPr>
      <w:r>
        <w:rPr>
          <w:sz w:val="22"/>
        </w:rPr>
        <w:t>强度层：各通道信号的能量/幅度</w:t>
      </w:r>
    </w:p>
    <w:p>
      <w:r>
        <w:rPr>
          <w:rFonts w:ascii="宋体" w:hAnsi="宋体"/>
          <w:sz w:val="22"/>
        </w:rPr>
        <w:t>在自然人类面孔中，这些层之间存在稳定的层间耦合关系——语义"开心"以特定幅度驱动嘴角上翘，以特定相位关系驱动眼轮匝肌收缩。耦合不是完美的——它是一个允许自然波动的容忍区间。</w:t>
      </w:r>
    </w:p>
    <w:p>
      <w:r>
        <w:rPr>
          <w:b/>
        </w:rPr>
        <w:t>恐怖谷发生在层间耦合关系被系统性地破坏、但破坏程度恰好落在容忍区间之外、完全断裂之内的离散区间中。</w:t>
      </w:r>
    </w:p>
    <w:p>
      <w:pPr>
        <w:pStyle w:val="Heading2"/>
      </w:pPr>
      <w:r>
        <w:t>2.2 形式化框架</w:t>
      </w:r>
    </w:p>
    <w:p>
      <w:r>
        <w:rPr>
          <w:rFonts w:ascii="宋体" w:hAnsi="宋体"/>
          <w:sz w:val="22"/>
        </w:rPr>
        <w:t>设一个面孔刺激由 n 个结构层组成：S = \{L_1, L_2, ..., L_n\}。层 L_i 和层 L_j 之间的耦合关系定义为：</w:t>
      </w:r>
    </w:p>
    <w:p>
      <w:r>
        <w:rPr>
          <w:rFonts w:ascii="Courier New" w:hAnsi="Courier New"/>
          <w:sz w:val="20"/>
        </w:rPr>
        <w:t>C_{ij} = f(L_i, L_j)</w:t>
      </w:r>
    </w:p>
    <w:p>
      <w:r>
        <w:rPr>
          <w:rFonts w:ascii="宋体" w:hAnsi="宋体"/>
          <w:sz w:val="22"/>
        </w:rPr>
        <w:t>在自然条件下，C_{ij} 在一个容忍区间 [T_{ij}^{min}, T_{ij}^{max}] 内波动。</w:t>
      </w:r>
    </w:p>
    <w:p>
      <w:r>
        <w:rPr>
          <w:rFonts w:ascii="宋体" w:hAnsi="宋体"/>
          <w:sz w:val="22"/>
        </w:rPr>
        <w:t>错位量 \Delta_{ij} 是观察到的耦合值 C_{ij}^{obs} 与自然容忍区间边界的距离：</w:t>
      </w:r>
    </w:p>
    <w:p>
      <w:r>
        <w:rPr>
          <w:rFonts w:ascii="Courier New" w:hAnsi="Courier New"/>
          <w:sz w:val="20"/>
        </w:rPr>
        <w:t>\Delta_{ij} = \max(0, T_{ij}^{min} - C_{ij}^{obs}, C_{ij}^{obs} - T_{ij}^{max})</w:t>
      </w:r>
    </w:p>
    <w:p>
      <w:r>
        <w:rPr>
          <w:rFonts w:ascii="宋体" w:hAnsi="宋体"/>
          <w:sz w:val="22"/>
        </w:rPr>
        <w:t>关键假设： 不适感 U 不是 \Delta 的连续函数，而是一个阶跃函数：</w:t>
      </w:r>
    </w:p>
    <w:p>
      <w:r>
        <w:rPr>
          <w:rFonts w:ascii="Courier New" w:hAnsi="Courier New"/>
          <w:sz w:val="20"/>
        </w:rPr>
        <w:t>U(\Delta) = \sum_{k} U_k \cdot \mathbb{1}[\Delta \geq \delta_k]</w:t>
      </w:r>
    </w:p>
    <w:p>
      <w:r>
        <w:rPr>
          <w:rFonts w:ascii="宋体" w:hAnsi="宋体"/>
          <w:sz w:val="22"/>
        </w:rPr>
        <w:t>其中 \delta_k 是第 k 个阶跃阈值，\mathbb{1}[\cdot] 是指示函数。当错位量 \Delta 累积超过某个阈值 \delta_k 时，不适感从 U_{k-1} 阶跃到 U_k——中间没有渐变。</w:t>
      </w:r>
    </w:p>
    <w:p>
      <w:pPr>
        <w:pStyle w:val="Heading1"/>
      </w:pPr>
      <w:r>
        <w:t>3. 三类基本错位</w:t>
      </w:r>
    </w:p>
    <w:p>
      <w:r>
        <w:rPr>
          <w:rFonts w:ascii="宋体" w:hAnsi="宋体"/>
          <w:sz w:val="22"/>
        </w:rPr>
        <w:t>本文提出三类可操作的基本错位类型。每一类对应一个具体的结构耦合关系及其破坏模式。</w:t>
      </w:r>
    </w:p>
    <w:p>
      <w:pPr>
        <w:pStyle w:val="Heading2"/>
      </w:pPr>
      <w:r>
        <w:t>3.1 振幅错位</w:t>
      </w:r>
    </w:p>
    <w:p>
      <w:r>
        <w:rPr>
          <w:rFonts w:ascii="宋体" w:hAnsi="宋体"/>
          <w:sz w:val="22"/>
        </w:rPr>
        <w:t>定义： 表情运动强度与语义强度的不匹配。</w:t>
      </w:r>
    </w:p>
    <w:p>
      <w:r>
        <w:rPr>
          <w:rFonts w:ascii="宋体" w:hAnsi="宋体"/>
          <w:sz w:val="22"/>
        </w:rPr>
        <w:t>设语义"开心"的强度为 I_{sem}（可通过文本情感分析量化），面部运动强度为 I_{mot}（可通过面部动作编码系统FACS量化）。振幅错位量：</w:t>
      </w:r>
    </w:p>
    <w:p>
      <w:r>
        <w:rPr>
          <w:rFonts w:ascii="Courier New" w:hAnsi="Courier New"/>
          <w:sz w:val="20"/>
        </w:rPr>
        <w:t>\Delta_{amp} = |I_{sem} - I_{mot}|</w:t>
      </w:r>
    </w:p>
    <w:p>
      <w:r>
        <w:rPr>
          <w:rFonts w:ascii="宋体" w:hAnsi="宋体"/>
          <w:sz w:val="22"/>
        </w:rPr>
        <w:t>生活中的例子： 一个人用很大的声音说"我没生气"，但面部肌肉完全松弛。或者一个机器人笑着说"这太悲伤了"，嘴角的上翘角度与"悲伤"的语义强度完全不匹配。</w:t>
      </w:r>
    </w:p>
    <w:p>
      <w:r>
        <w:rPr>
          <w:rFonts w:ascii="宋体" w:hAnsi="宋体"/>
          <w:sz w:val="22"/>
        </w:rPr>
        <w:t>结构解释： 大脑在加工面部刺激时，语义层和运动层被同时激活。当两个层的信号强度在容忍区间内匹配时，感知是自然的。当强度差超过阈值 \delta_{amp} 时，两个层给出的是同一情感的不同能量版本——大脑检测到这个矛盾，但无法确定哪个层是错的。</w:t>
      </w:r>
    </w:p>
    <w:p>
      <w:pPr>
        <w:pStyle w:val="Heading2"/>
      </w:pPr>
      <w:r>
        <w:t>3.2 相位错位</w:t>
      </w:r>
    </w:p>
    <w:p>
      <w:r>
        <w:rPr>
          <w:rFonts w:ascii="宋体" w:hAnsi="宋体"/>
          <w:sz w:val="22"/>
        </w:rPr>
        <w:t>定义： 表情运动与语义表达之间的时间不同步。</w:t>
      </w:r>
    </w:p>
    <w:p>
      <w:r>
        <w:rPr>
          <w:rFonts w:ascii="宋体" w:hAnsi="宋体"/>
          <w:sz w:val="22"/>
        </w:rPr>
        <w:t>设语义信号在时刻 t_{sem} 到达峰值，面部运动信号在时刻 t_{mot} 到达对应的表情峰值。相位错位量：</w:t>
      </w:r>
    </w:p>
    <w:p>
      <w:r>
        <w:rPr>
          <w:rFonts w:ascii="Courier New" w:hAnsi="Courier New"/>
          <w:sz w:val="20"/>
        </w:rPr>
        <w:t>\Delta_{phase} = |t_{sem} - t_{mot}|</w:t>
      </w:r>
    </w:p>
    <w:p>
      <w:r>
        <w:rPr>
          <w:rFonts w:ascii="宋体" w:hAnsi="宋体"/>
          <w:sz w:val="22"/>
        </w:rPr>
        <w:t>生活中的例子： 一个人听到笑话后，过了整整一秒才开始笑。或者一个机器人先说"你好"，嘴巴已经合上了，声音还没放完。</w:t>
      </w:r>
    </w:p>
    <w:p>
      <w:r>
        <w:rPr>
          <w:rFonts w:ascii="宋体" w:hAnsi="宋体"/>
          <w:sz w:val="22"/>
        </w:rPr>
        <w:t>结构解释： 自然面孔的跨通道信号在时间上是锁相的——语义"开心"的声学能量峰值和嘴角上翘的运动学能量峰值通常发生在50毫秒时间窗内。当一个信号晚于另一个信号超过 \delta_{phase}（约100-150毫秒，基于跨模态整合文献），大脑检测到时间结构断裂。</w:t>
      </w:r>
    </w:p>
    <w:p>
      <w:pPr>
        <w:pStyle w:val="Heading2"/>
      </w:pPr>
      <w:r>
        <w:t>3.3 层间错位</w:t>
      </w:r>
    </w:p>
    <w:p>
      <w:r>
        <w:rPr>
          <w:rFonts w:ascii="宋体" w:hAnsi="宋体"/>
          <w:sz w:val="22"/>
        </w:rPr>
        <w:t>定义： 不同表达通道之间的定性矛盾。</w:t>
      </w:r>
    </w:p>
    <w:p>
      <w:r>
        <w:rPr>
          <w:rFonts w:ascii="宋体" w:hAnsi="宋体"/>
          <w:sz w:val="22"/>
        </w:rPr>
        <w:t>这是最复杂的一类错位。设两个运动通道 M_a 和 M_b（如嘴角和眼轮匝肌），在自然条件下它们之间存在耦合函数 g(M_a, M_b)。层间错位量：</w:t>
      </w:r>
    </w:p>
    <w:p>
      <w:r>
        <w:rPr>
          <w:rFonts w:ascii="Courier New" w:hAnsi="Courier New"/>
          <w:sz w:val="20"/>
        </w:rPr>
        <w:t>\Delta_{inter} = |g(M_a^{obs}, M_b^{obs}) - g(M_a^{nat}, M_b^{nat})|</w:t>
      </w:r>
    </w:p>
    <w:p>
      <w:r>
        <w:rPr>
          <w:rFonts w:ascii="宋体" w:hAnsi="宋体"/>
          <w:sz w:val="22"/>
        </w:rPr>
        <w:t>其中 g(M_a^{nat}, M_b^{nat}) 是从自然面孔数据中估计的耦合函数。</w:t>
      </w:r>
    </w:p>
    <w:p>
      <w:r>
        <w:rPr>
          <w:rFonts w:ascii="宋体" w:hAnsi="宋体"/>
          <w:sz w:val="22"/>
        </w:rPr>
        <w:t>生活中的例子： 一个机器人上半张脸在笑（眼睛眯成月牙），但下半张脸在怒（嘴角向下）。或者一个人对你微笑的同时，双眼直直地盯着你，没有任何眼部参与。</w:t>
      </w:r>
    </w:p>
    <w:p>
      <w:r>
        <w:rPr>
          <w:rFonts w:ascii="宋体" w:hAnsi="宋体"/>
          <w:sz w:val="22"/>
        </w:rPr>
        <w:t>结构解释： 多通道表达在大脑中不是独立加工后汇总的——它们是作为一个整体被感知的。当两个通道给出属于不同情感类别的信号时（眼睛在笑 = 快乐；嘴巴在怒 = 愤怒），大脑无法将它们归入任何一个统一的类别。这不是"信息不够"——是"信息矛盾"。矛盾产生阶跃式的不适。</w:t>
      </w:r>
    </w:p>
    <w:p>
      <w:pPr>
        <w:pStyle w:val="Heading1"/>
      </w:pPr>
      <w:r>
        <w:t>4. 核心预测：阶跃函数 vs 渐变曲线</w:t>
      </w:r>
    </w:p>
    <w:p>
      <w:r>
        <w:rPr>
          <w:rFonts w:ascii="宋体" w:hAnsi="宋体"/>
          <w:sz w:val="22"/>
        </w:rPr>
        <w:t>旧框架（无论进化解释、分类模糊解释还是预期违反解释）都隐含地预测：不适感随"不像人"程度单调递增。 也就是说，把机器人的面部参数从"完全不像人"慢慢调到"完全像人"，不适感应该先升后降，形成一条平滑的曲线。</w:t>
      </w:r>
    </w:p>
    <w:p>
      <w:r>
        <w:rPr>
          <w:rFonts w:ascii="宋体" w:hAnsi="宋体"/>
          <w:sz w:val="22"/>
        </w:rPr>
        <w:t>本文框架给出一个截然不同的预测：</w:t>
      </w:r>
    </w:p>
    <w:p>
      <w:pPr>
        <w:pStyle w:val="Heading2"/>
      </w:pPr>
      <w:r>
        <w:t>预测 1：离散阶跃</w:t>
      </w:r>
    </w:p>
    <w:p>
      <w:r>
        <w:rPr>
          <w:rFonts w:ascii="宋体" w:hAnsi="宋体"/>
          <w:sz w:val="22"/>
        </w:rPr>
        <w:t>当错位量 \Delta 从零逐渐增加时，不适感 U 不会平滑上升。它将在特定阈值 \delta_k 处发生阶跃。小于阈值的错位不会被感知为异常；超过阈值的错位会被感知为完整的"诡异"——没有半诡异、三分之一诡异。</w:t>
      </w:r>
    </w:p>
    <w:p>
      <w:pPr>
        <w:pStyle w:val="Heading2"/>
      </w:pPr>
      <w:r>
        <w:t>预测 2：阶跃位置可计算</w:t>
      </w:r>
    </w:p>
    <w:p>
      <w:r>
        <w:rPr>
          <w:rFonts w:ascii="宋体" w:hAnsi="宋体"/>
          <w:sz w:val="22"/>
        </w:rPr>
        <w:t>阶跃阈值 \delta_k 不是随意的，而是由自然面部数据的统计分布决定的。具体而言，阈值对应于自然耦合分布的第 p 百分位数（如95%或99%），即只有在统计上极不可能发生的耦合偏差才会触发阶跃。</w:t>
      </w:r>
    </w:p>
    <w:p>
      <w:pPr>
        <w:pStyle w:val="Heading2"/>
      </w:pPr>
      <w:r>
        <w:t>预测 3：多通道独立阶跃</w:t>
      </w:r>
    </w:p>
    <w:p>
      <w:r>
        <w:rPr>
          <w:rFonts w:ascii="宋体" w:hAnsi="宋体"/>
          <w:sz w:val="22"/>
        </w:rPr>
        <w:t>如果同时存在多个错位（如既振幅错位又相位错位），不适感会叠加——但每个错位通道的阶跃是独立的。这意味着可以通过系统操控单一参数来隔离每个通道的贡献。</w:t>
      </w:r>
    </w:p>
    <w:p>
      <w:pPr>
        <w:pStyle w:val="Heading1"/>
      </w:pPr>
      <w:r>
        <w:t>5. 实验设计</w:t>
      </w:r>
    </w:p>
    <w:p>
      <w:pPr>
        <w:pStyle w:val="Heading2"/>
      </w:pPr>
      <w:r>
        <w:t>5.1 实验平台</w:t>
      </w:r>
    </w:p>
    <w:p>
      <w:r>
        <w:rPr>
          <w:rFonts w:ascii="宋体" w:hAnsi="宋体"/>
          <w:sz w:val="22"/>
        </w:rPr>
        <w:t>使用一个具有可独立控制面部参数的类人机器人（或高保真数字替身）作为刺激呈现平台。需要独立可控的参数包括：</w:t>
      </w:r>
    </w:p>
    <w:p>
      <w:pPr>
        <w:pStyle w:val="ListBullet"/>
      </w:pPr>
      <w:r>
        <w:rPr>
          <w:sz w:val="22"/>
        </w:rPr>
        <w:t xml:space="preserve">眼睑角度（0°–45°）  </w:t>
      </w:r>
    </w:p>
    <w:p>
      <w:pPr>
        <w:pStyle w:val="ListBullet"/>
      </w:pPr>
      <w:r>
        <w:rPr>
          <w:sz w:val="22"/>
        </w:rPr>
        <w:t xml:space="preserve">瞳孔大小（1–8mm）  </w:t>
      </w:r>
    </w:p>
    <w:p>
      <w:pPr>
        <w:pStyle w:val="ListBullet"/>
      </w:pPr>
      <w:r>
        <w:rPr>
          <w:sz w:val="22"/>
        </w:rPr>
        <w:t xml:space="preserve">嘴角偏移（-20°–+20°）  </w:t>
      </w:r>
    </w:p>
    <w:p>
      <w:pPr>
        <w:pStyle w:val="ListBullet"/>
      </w:pPr>
      <w:r>
        <w:rPr>
          <w:sz w:val="22"/>
        </w:rPr>
        <w:t>表情幅度（0–100%）</w:t>
      </w:r>
    </w:p>
    <w:p>
      <w:pPr>
        <w:pStyle w:val="ListBullet"/>
      </w:pPr>
      <w:r>
        <w:rPr>
          <w:sz w:val="22"/>
        </w:rPr>
        <w:t>表情延迟（0–1000ms）</w:t>
      </w:r>
    </w:p>
    <w:p>
      <w:pPr>
        <w:pStyle w:val="Heading2"/>
      </w:pPr>
      <w:r>
        <w:t>5.2 设计</w:t>
      </w:r>
    </w:p>
    <w:p>
      <w:r>
        <w:rPr>
          <w:rFonts w:ascii="宋体" w:hAnsi="宋体"/>
          <w:sz w:val="22"/>
        </w:rPr>
        <w:t>采用 3 \times 4 被试内设计：</w:t>
      </w:r>
    </w:p>
    <w:p>
      <w:pPr>
        <w:pStyle w:val="ListBullet"/>
      </w:pPr>
      <w:r>
        <w:rPr>
          <w:sz w:val="22"/>
        </w:rPr>
        <w:t>错位类型（3个水平）：振幅错位 / 相位错位 / 层间错位</w:t>
      </w:r>
    </w:p>
    <w:p>
      <w:pPr>
        <w:pStyle w:val="ListBullet"/>
      </w:pPr>
      <w:r>
        <w:rPr>
          <w:sz w:val="22"/>
        </w:rPr>
        <w:t>错位程度（4个水平）：零错位（完全匹配）、亚阈值错位、近阈值错位、超阈值错位</w:t>
      </w:r>
    </w:p>
    <w:p>
      <w:r>
        <w:rPr>
          <w:rFonts w:ascii="宋体" w:hAnsi="宋体"/>
          <w:sz w:val="22"/>
        </w:rPr>
        <w:t>每个试次中，受试者先听到一句带有明确情感语义的话（如"我太开心了"），然后看到机器人做出对应的面部表情——但伴随某种类型和某种程度的错位。</w:t>
      </w:r>
    </w:p>
    <w:p>
      <w:pPr>
        <w:pStyle w:val="Heading2"/>
      </w:pPr>
      <w:r>
        <w:t>5.3 因变量</w:t>
      </w:r>
    </w:p>
    <w:p>
      <w:pPr>
        <w:pStyle w:val="ListBullet"/>
      </w:pPr>
      <w:r>
        <w:rPr>
          <w:sz w:val="22"/>
        </w:rPr>
        <w:t>主观不适评分：1–7 Likert量表</w:t>
      </w:r>
    </w:p>
    <w:p>
      <w:pPr>
        <w:pStyle w:val="ListBullet"/>
      </w:pPr>
      <w:r>
        <w:rPr>
          <w:sz w:val="22"/>
        </w:rPr>
        <w:t>反应时：从刺激呈现到受试者按键判断"自然/不自然"的时间</w:t>
      </w:r>
    </w:p>
    <w:p>
      <w:pPr>
        <w:pStyle w:val="ListBullet"/>
      </w:pPr>
      <w:r>
        <w:rPr>
          <w:sz w:val="22"/>
        </w:rPr>
        <w:t>皮肤电导（SCR）：作为自主神经激活的客观指标</w:t>
      </w:r>
    </w:p>
    <w:p>
      <w:pPr>
        <w:pStyle w:val="ListBullet"/>
      </w:pPr>
      <w:r>
        <w:rPr>
          <w:sz w:val="22"/>
        </w:rPr>
        <w:t>眼动追踪：记录注视点——在错位条件下，受试者是否会在矛盾通道之间来回扫视</w:t>
      </w:r>
    </w:p>
    <w:p>
      <w:pPr>
        <w:pStyle w:val="Heading2"/>
      </w:pPr>
      <w:r>
        <w:t>5.4 数据预测</w:t>
      </w:r>
    </w:p>
    <w:p>
      <w:r>
        <w:rPr>
          <w:rFonts w:ascii="宋体" w:hAnsi="宋体"/>
          <w:sz w:val="22"/>
        </w:rPr>
        <w:t>旧框架预测：三个因变量都随错位程度线性或单调变化。</w:t>
      </w:r>
    </w:p>
    <w:p>
      <w:r>
        <w:rPr>
          <w:rFonts w:ascii="宋体" w:hAnsi="宋体"/>
          <w:sz w:val="22"/>
        </w:rPr>
        <w:t>本文框架预测：在某个特定的错位程度，所有因变量同时出现阶跃。 具体而言：</w:t>
      </w:r>
    </w:p>
    <w:p>
      <w:pPr>
        <w:pStyle w:val="ListBullet"/>
      </w:pPr>
      <w:r>
        <w:rPr>
          <w:sz w:val="22"/>
        </w:rPr>
        <w:t>振幅错位：当 \Delta_{amp} &gt; \delta_{amp} 时，SCR幅值阶跃上升，反应时突然延长</w:t>
      </w:r>
    </w:p>
    <w:p>
      <w:pPr>
        <w:pStyle w:val="ListBullet"/>
      </w:pPr>
      <w:r>
        <w:rPr>
          <w:sz w:val="22"/>
        </w:rPr>
        <w:t>相位错位：当 \Delta_{phase} &gt; \delta_{phase}（~120ms）时，同一量表的评分为突然从"自然"跳到"不自然"</w:t>
      </w:r>
    </w:p>
    <w:p>
      <w:pPr>
        <w:pStyle w:val="ListBullet"/>
      </w:pPr>
      <w:r>
        <w:rPr>
          <w:sz w:val="22"/>
        </w:rPr>
        <w:t>层间错位：当眼睛和嘴巴属于不同情感类别时，受试者注视点将在两个区域之间快速切换，反应时显著延长</w:t>
      </w:r>
    </w:p>
    <w:p>
      <w:r>
        <w:rPr>
          <w:rFonts w:ascii="宋体" w:hAnsi="宋体"/>
          <w:sz w:val="22"/>
        </w:rPr>
        <w:t>最关键的可证伪预测： 阶跃不是渐变的。在阈值以下，错位几乎不可感知；超过阈值，不适感突然完整出现。如果数据曲线可以用连续函数拟合且拟合优度显著优于阶跃函数，本文假设被证伪。</w:t>
      </w:r>
    </w:p>
    <w:p>
      <w:pPr>
        <w:pStyle w:val="Heading1"/>
      </w:pPr>
      <w:r>
        <w:t>6. 与旧框架的分界</w:t>
      </w:r>
    </w:p>
    <w:p>
      <w:pPr>
        <w:pStyle w:val="Heading1"/>
      </w:pPr>
      <w:r>
        <w:t>7. 讨论</w:t>
      </w:r>
    </w:p>
    <w:p>
      <w:pPr>
        <w:pStyle w:val="Heading2"/>
      </w:pPr>
      <w:r>
        <w:t>7.1 描述与规范的边界</w:t>
      </w:r>
    </w:p>
    <w:p>
      <w:r>
        <w:rPr>
          <w:rFonts w:ascii="宋体" w:hAnsi="宋体"/>
          <w:sz w:val="22"/>
        </w:rPr>
        <w:t>一个未在本文中回答的问题：错位阈值 \delta_k 是描述性的（反映感知系统如何实际运作）还是规范性的（反映感知系统如何应该运作）？换言之，\delta_k 是从自然统计数据中提取的经验常数，还是感知系统在进化压力下内化的最优耦合标准？两者的区别在于：如果阈值是纯描述性的，那么它在不同文化中应有所变化（因为不同文化对表情耦合的容忍度不同）；如果是规范性的，那么它在所有人类群体中应保持一致。</w:t>
      </w:r>
    </w:p>
    <w:p>
      <w:r>
        <w:rPr>
          <w:rFonts w:ascii="宋体" w:hAnsi="宋体"/>
          <w:sz w:val="22"/>
        </w:rPr>
        <w:t>本文不回答这个问题。 本文仅建立错位的形式化框架，并提供验证阶跃预测的实验路线图。描述与规范的区分留给跨文化实验的后续工作。</w:t>
      </w:r>
    </w:p>
    <w:p>
      <w:pPr>
        <w:pStyle w:val="Heading2"/>
      </w:pPr>
      <w:r>
        <w:t>7.2 本文的定位</w:t>
      </w:r>
    </w:p>
    <w:p>
      <w:r>
        <w:rPr>
          <w:rFonts w:ascii="宋体" w:hAnsi="宋体"/>
          <w:sz w:val="22"/>
        </w:rPr>
        <w:t>本文不是给出恐怖谷的另一个"解释"——而是给出恐怖谷的操作化定义。"恐怖谷"不再是一个描述性词语，而是一个具体的结构事件：当两个结构层的耦合偏差超过统计容忍阈值时，感知系统以阶跃方式报告匹配失败。</w:t>
      </w:r>
    </w:p>
    <w:p>
      <w:pPr>
        <w:pStyle w:val="Heading2"/>
      </w:pPr>
      <w:r>
        <w:t>7.3 结构认知框架的跨域一致性</w:t>
      </w:r>
    </w:p>
    <w:p>
      <w:r>
        <w:rPr>
          <w:rFonts w:ascii="宋体" w:hAnsi="宋体"/>
          <w:sz w:val="22"/>
        </w:rPr>
        <w:t>本章提出的错位框架并非特设——它是更一般的结构认知框架在面部感知域的投影。振幅错位、相位错位和层间错位分别对应结构耦合中的强度约束、时间约束和定性约束。同一框架已被应用于分析LLM自指时的离散台阶现象（Lin, 2026）、制度系统中的结构退化（Lin, 2025）、以及期货市场中的价差结构事件（Lin, 2025）。恐怖谷只是这个一般原理的一个实例。</w:t>
      </w:r>
    </w:p>
    <w:p>
      <w:pPr>
        <w:pStyle w:val="Heading2"/>
      </w:pPr>
      <w:r>
        <w:t>7.4 局限与未来方向</w:t>
      </w:r>
    </w:p>
    <w:p>
      <w:r>
        <w:rPr>
          <w:rFonts w:ascii="宋体" w:hAnsi="宋体"/>
          <w:sz w:val="22"/>
        </w:rPr>
        <w:t>本文提出的框架依赖于机器人面部参数的独立可操控性——这在当前的硬件条件下是可行的，但需要精细的工程实现。此外，阶跃阈值 \delta_k 的精确校准需要大规模的自然面部数据作为基线，这一工作正在进行中。</w:t>
      </w:r>
    </w:p>
    <w:p>
      <w:r>
        <w:rPr>
          <w:rFonts w:ascii="宋体" w:hAnsi="宋体"/>
          <w:sz w:val="22"/>
        </w:rPr>
        <w:t>未来方向包括：（1）将三类错位扩展到全身肢体运动域（恐怖谷不仅仅是脸的问题）；（2）研究跨文化差异——不同文化对面部耦合容忍区间可能不同；（3）将离散错位框架应用于AI生成人物的质量评估——如果AI生成的面孔触发阶跃式不适，那说明在结构耦合层出了问题，而非审美层面。</w:t>
      </w:r>
    </w:p>
    <w:p>
      <w:pPr>
        <w:pStyle w:val="Heading1"/>
      </w:pPr>
      <w:r>
        <w:t>参考文献</w:t>
      </w:r>
    </w:p>
    <w:p>
      <w:pPr>
        <w:pStyle w:val="ListBullet"/>
      </w:pPr>
      <w:r>
        <w:rPr>
          <w:sz w:val="22"/>
        </w:rPr>
        <w:t>Kätsyri, J., Förger, K., Mäkäräinen, M., &amp; Takala, T. (2015). A review of empirical evidence on different uncanny valley hypotheses: support for perceptual mismatch as one road to the valley of eeriness. Frontiers in Psychology, 6, 390.</w:t>
      </w:r>
    </w:p>
    <w:p>
      <w:pPr>
        <w:pStyle w:val="ListBullet"/>
      </w:pPr>
      <w:r>
        <w:rPr>
          <w:sz w:val="22"/>
        </w:rPr>
        <w:t>Lin, X. (2025). 结构认知四公理体系. 独立出版物.</w:t>
      </w:r>
    </w:p>
    <w:p>
      <w:pPr>
        <w:pStyle w:val="ListBullet"/>
      </w:pPr>
      <w:r>
        <w:rPr>
          <w:sz w:val="22"/>
        </w:rPr>
        <w:t>Lin, X. (2026). 退相干离散台阶：自指closure的计算结构签名. 独立出版物.</w:t>
      </w:r>
    </w:p>
    <w:p>
      <w:pPr>
        <w:pStyle w:val="ListBullet"/>
      </w:pPr>
      <w:r>
        <w:rPr>
          <w:sz w:val="22"/>
        </w:rPr>
        <w:t>MacDorman, K. F., &amp; Ishiguro, H. (2006). The uncanny advantage of using androids in cognitive and social science research. Interaction Studies, 7(3), 297–337.</w:t>
      </w:r>
    </w:p>
    <w:p>
      <w:pPr>
        <w:pStyle w:val="ListBullet"/>
      </w:pPr>
      <w:r>
        <w:rPr>
          <w:sz w:val="22"/>
        </w:rPr>
        <w:t>Mori, M. (1970). The uncanny valley. Energy, 7(4), 33–35.</w:t>
      </w:r>
    </w:p>
    <w:p>
      <w:pPr>
        <w:pStyle w:val="ListBullet"/>
      </w:pPr>
      <w:r>
        <w:rPr>
          <w:sz w:val="22"/>
        </w:rPr>
        <w:t>Saygin, A. P., Chaminade, T., Ishiguro, H., Driver, J., &amp; Frith, C. (2012). The thing that should not be: predictive coding and the uncanny valley in perceiving human and humanoid robot actions. Social Cognitive and Affective Neuroscience, 7(4), 413–422.</w:t>
      </w:r>
    </w:p>
    <w:p>
      <w:pPr>
        <w:pStyle w:val="ListBullet"/>
      </w:pPr>
      <w:r>
        <w:rPr>
          <w:sz w:val="22"/>
        </w:rPr>
        <w:t>Yamada, Y., Kawabe, T., &amp; Ihaya, K. (2013). Categorization difficulty is associated with negative evaluation in the "uncanny valley" phenomenon. Japanese Psychological Research, 55(1), 20–32.</w:t>
      </w:r>
    </w:p>
    <w:p>
      <w:r>
        <w:rPr>
          <w:rFonts w:ascii="宋体" w:hAnsi="宋体"/>
          <w:sz w:val="22"/>
        </w:rPr>
        <w:t>本文为预印本。核心预测——阶跃函数 vs 渐变曲线——等待实验裁决。如果数据支持渐变，本文退场。如果数据支持阶跃，则感知系统本身在结构耦合失败时以离散方式响应——这一事实本身就是一个结构的签名。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