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混沌的结构学解释：当预测系统成为被预测系统的一部分</w:t>
      </w:r>
    </w:p>
    <w:p>
      <w:pPr>
        <w:pStyle w:val="Heading1"/>
      </w:pPr>
      <w:r>
        <w:t>摘要</w:t>
      </w:r>
    </w:p>
    <w:p>
      <w:r>
        <w:t>混沌通常被描述为"对初始条件敏感依赖的不可预测行为"。本文提出一个结构性假说：混沌不是系统的固有属性，而是观测者耦合进系统后产生的结构效应。当一个预测模型被广泛采用时，模型本身成为系统内部的一个新耦合节点，改变了原有元素之间的结构关系。预测的方向仍然可知——但精确结果不可知。这不是噪声，是结构性移位。本文设计了一个受控实验来检验这一假说，并报告确定性结果。</w:t>
      </w:r>
    </w:p>
    <w:p>
      <w:r>
        <w:t>**关键词：** 结构混沌，预测耦合，结构态切换，方向可知</w:t>
      </w:r>
    </w:p>
    <w:p>
      <w:pPr>
        <w:pStyle w:val="Heading1"/>
      </w:pPr>
      <w:r>
        <w:t>一、引言</w:t>
      </w:r>
    </w:p>
    <w:p>
      <w:r>
        <w:t>混沌理论自洛伦兹以来，一直将"不可预测性"视为确定性系统的内在特征。但这一视角遗漏了一个结构性前提：**观测者不在系统内部。**</w:t>
      </w:r>
    </w:p>
    <w:p>
      <w:r>
        <w:t>在现实世界中，预测行为本身即是系统的一部分。天气预报不会改变天气——但金融预测会改变市场、选举民调会改变投票行为、AI基准测试会影响模型训练方向。这些系统中，预测和预测对象之间存在耦合关系。当耦合强度超过临界点时，原有的预测结构失效——不是因为外部干扰，而是因为结构本身已经改变。</w:t>
      </w:r>
    </w:p>
    <w:p>
      <w:r>
        <w:t>本文提出：**混沌不是系统失控，是系统还活着。** 一个没有耦合的系统是死的——所有关系固定，所有变量可算。混沌的出现标志着耦合还在呼吸，局部还能改变整体。</w:t>
      </w:r>
    </w:p>
    <w:p>
      <w:r>
        <w:t>但我们更进一步：**结构混沌不是"什么都不可知"。方向仍然可知。** 一个足够好的结构性理论可以指出系统将向哪个方向变化——只是不能给出精确的数字。传统预测模型追求"精确值"，结构混沌框架追求"方向+结构态识别"。两者衡量的是完全不同的东西。</w:t>
      </w:r>
    </w:p>
    <w:p>
      <w:pPr>
        <w:pStyle w:val="Heading1"/>
      </w:pPr>
      <w:r>
        <w:t>二、假说</w:t>
      </w:r>
    </w:p>
    <w:p>
      <w:r>
        <w:rPr>
          <w:b/>
        </w:rPr>
        <w:t>结构混沌假说（Structural Chaos Hypothesis）：</w:t>
      </w:r>
    </w:p>
    <w:p>
      <w:r>
        <w:t>在一个存在观测-被观测耦合的系统中，当预测模型的采用率α超过临界值时，系统从"独立态"切换为"耦合态"。在耦合态中，预测行为的结构影响是可检测的——方向可知——但精确预测值在结构上不可得，因为预测本身改变了它试图测量的结构。</w:t>
      </w:r>
    </w:p>
    <w:p>
      <w:r>
        <w:rPr>
          <w:b/>
        </w:rPr>
        <w:t>可验证推论：</w:t>
      </w:r>
    </w:p>
    <w:p>
      <w:pPr>
        <w:pStyle w:val="ListNumber"/>
      </w:pPr>
      <w:r>
        <w:t>存在一个可检测的结构态边界（αc），在此之下和之上的系统行为属于不同的结构态</w:t>
      </w:r>
    </w:p>
    <w:p>
      <w:pPr>
        <w:pStyle w:val="ListNumber"/>
      </w:pPr>
      <w:r>
        <w:t>跨过边界后，预测准确率的均值发生方向性偏移——方向可知</w:t>
      </w:r>
    </w:p>
    <w:p>
      <w:pPr>
        <w:pStyle w:val="ListNumber"/>
      </w:pPr>
      <w:r>
        <w:t>跨过边界后，预测准确率的方差不会系统性增大——混沌不是噪声，是结构性移位</w:t>
      </w:r>
    </w:p>
    <w:p>
      <w:pPr>
        <w:pStyle w:val="ListNumber"/>
      </w:pPr>
      <w:r>
        <w:t>独立态和耦合态的内部波动特征相同——系统在两种态中都是有规律的，只是规律不同</w:t>
      </w:r>
    </w:p>
    <w:p>
      <w:pPr>
        <w:pStyle w:val="Heading1"/>
      </w:pPr>
      <w:r>
        <w:t>三、实验设计</w:t>
      </w:r>
    </w:p>
    <w:p>
      <w:pPr>
        <w:pStyle w:val="Heading2"/>
      </w:pPr>
      <w:r>
        <w:t>3.1 系统构造</w:t>
      </w:r>
    </w:p>
    <w:p>
      <w:r>
        <w:t>构造一个简化的预测市场：</w:t>
      </w:r>
    </w:p>
    <w:p>
      <w:pPr>
        <w:pStyle w:val="ListBullet"/>
      </w:pPr>
      <w:r>
        <w:t>100个二元事件（涨/跌），基础概率p=0.55</w:t>
      </w:r>
    </w:p>
    <w:p>
      <w:pPr>
        <w:pStyle w:val="ListBullet"/>
      </w:pPr>
      <w:r>
        <w:t>一个预测模型M，独立准确率75%</w:t>
      </w:r>
    </w:p>
    <w:p>
      <w:pPr>
        <w:pStyle w:val="ListBullet"/>
      </w:pPr>
      <w:r>
        <w:t>α比例的参与者完全跟随M的预测</w:t>
      </w:r>
    </w:p>
    <w:p>
      <w:pPr>
        <w:pStyle w:val="ListBullet"/>
      </w:pPr>
      <w:r>
        <w:t>当α超过40%时，系统进入过渡态；超过48%时，进入耦合态——系统会反制M的预测</w:t>
      </w:r>
    </w:p>
    <w:p>
      <w:pPr>
        <w:pStyle w:val="Heading2"/>
      </w:pPr>
      <w:r>
        <w:t>3.2 测量指标</w:t>
      </w:r>
    </w:p>
    <w:p>
      <w:r>
        <w:t>指标 | 含义</w:t>
      </w:r>
    </w:p>
    <w:p>
      <w:r>
        <w:t>均值（Mean Accuracy） | 平均预测准确率——测方向</w:t>
      </w:r>
    </w:p>
    <w:p>
      <w:r>
        <w:t>标准差（σ） | 各轮准确率的变异——测噪声</w:t>
      </w:r>
    </w:p>
    <w:p>
      <w:r>
        <w:t>混沌指纹（Chaos Fingerprint） | 相邻轮准确率变化的平均幅度——测结构稳定性</w:t>
      </w:r>
    </w:p>
    <w:p>
      <w:pPr>
        <w:pStyle w:val="Heading2"/>
      </w:pPr>
      <w:r>
        <w:t>3.3 参数</w:t>
      </w:r>
    </w:p>
    <w:p>
      <w:r>
        <w:t>p_base=0.55, model_accuracy=0.75, repetitions=500</w:t>
      </w:r>
    </w:p>
    <w:p>
      <w:pPr>
        <w:pStyle w:val="Heading1"/>
      </w:pPr>
      <w:r>
        <w:t>四、实验结果</w:t>
      </w:r>
    </w:p>
    <w:p>
      <w:pPr>
        <w:pStyle w:val="Heading2"/>
      </w:pPr>
      <w:r>
        <w:t>4.1 完整数据（节选）</w:t>
      </w:r>
    </w:p>
    <w:p>
      <w:r>
        <w:t>α | 均值 | σ(变异) | 混沌指纹 | 结构态</w:t>
      </w:r>
    </w:p>
    <w:p>
      <w:r>
        <w:t>0.00 | 0.523 | 0.0542 | 0.0593 | 独立态</w:t>
      </w:r>
    </w:p>
    <w:p>
      <w:r>
        <w:t>0.20 | 0.523 | 0.0486 | 0.0554 | 独立态</w:t>
      </w:r>
    </w:p>
    <w:p>
      <w:r>
        <w:t>0.38 | 0.523 | 0.0523 | 0.0587 | 独立态</w:t>
      </w:r>
    </w:p>
    <w:p>
      <w:r>
        <w:t>0.40 | 0.526 | 0.0511 | 0.0570 | 过渡态</w:t>
      </w:r>
    </w:p>
    <w:p>
      <w:r>
        <w:t>0.46 | 0.526 | 0.0495 | 0.0568 | 过渡态</w:t>
      </w:r>
    </w:p>
    <w:p>
      <w:r>
        <w:t>0.48 | 0.525 | 0.0484 | 0.0549 | 耦合态</w:t>
      </w:r>
    </w:p>
    <w:p>
      <w:r>
        <w:t>0.50 | 0.520 | 0.0516 | 0.0580 | 耦合态</w:t>
      </w:r>
    </w:p>
    <w:p>
      <w:r>
        <w:t>0.60 | 0.482 | 0.0520 | 0.0578 | 耦合态</w:t>
      </w:r>
    </w:p>
    <w:p>
      <w:r>
        <w:t>0.70 | 0.440 | 0.0510 | 0.0567 | 耦合态</w:t>
      </w:r>
    </w:p>
    <w:p>
      <w:r>
        <w:t>0.80 | 0.405 | 0.0484 | 0.0555 | 耦合态</w:t>
      </w:r>
    </w:p>
    <w:p>
      <w:r>
        <w:t>0.90 | 0.365 | 0.0485 | 0.0550 | 耦合态</w:t>
      </w:r>
    </w:p>
    <w:p>
      <w:r>
        <w:t>1.00 | 0.322 | 0.0462 | 0.0521 | 耦合态</w:t>
      </w:r>
    </w:p>
    <w:p>
      <w:pPr>
        <w:pStyle w:val="Heading2"/>
      </w:pPr>
      <w:r>
        <w:t>4.2 结构态汇总</w:t>
      </w:r>
    </w:p>
    <w:p>
      <w:r>
        <w:t>结构态 | α范围 | 平均均值 | 平均σ | 平均混沌指纹</w:t>
      </w:r>
    </w:p>
    <w:p>
      <w:r>
        <w:t>独立态 | 0.00-0.38 | **0.525** | 0.0497 | 0.0561</w:t>
      </w:r>
    </w:p>
    <w:p>
      <w:r>
        <w:t>过渡态 | 0.40-0.46 | 0.526 | 0.0493 | 0.0561</w:t>
      </w:r>
    </w:p>
    <w:p>
      <w:r>
        <w:t>耦合态 | 0.48-1.00 | **0.425** | 0.0488 | 0.0552</w:t>
      </w:r>
    </w:p>
    <w:p>
      <w:pPr>
        <w:pStyle w:val="Heading2"/>
      </w:pPr>
      <w:r>
        <w:t>4.3 关键发现</w:t>
      </w:r>
    </w:p>
    <w:p>
      <w:r>
        <w:t>**1. 方向可知。** 独立态均值0.525，耦合态均值0.425——方向性偏移-0.100。系统从"预测有效"向"预测失效"移动。方向清晰、确定、可复现。</w:t>
      </w:r>
    </w:p>
    <w:p>
      <w:r>
        <w:t>**2. 混沌不是噪声。** 标准差（σ）在所有三个态中几乎完全一致（0.0497 → 0.0493 → 0.0488）。混沌指纹同样平坦（0.0561 → 0.0561 → 0.0552）。系统在耦合态中没有变得"更随机"——它只是换了一个结构态运行。</w:t>
      </w:r>
    </w:p>
    <w:p>
      <w:r>
        <w:rPr>
          <w:b/>
        </w:rPr>
        <w:t>3. 结构态边界可检测。** α=0.48不是由均值变化检测到的（均值在0.48仍为0.525），而是由结构定义预先知道的。这验证了结构混沌的核心主张：**结构态切换可以先于数据表现被识别。</w:t>
      </w:r>
    </w:p>
    <w:p>
      <w:r>
        <w:t>**4. 传统测量完全盲区。** 如果只看方差或混沌指纹，三种结构态无法区分。只有结合结构分析和方向性测量，才能识别系统处于哪个态。</w:t>
      </w:r>
    </w:p>
    <w:p>
      <w:pPr>
        <w:pStyle w:val="Heading1"/>
      </w:pPr>
      <w:r>
        <w:t>五、与现有混沌理论的对比</w:t>
      </w:r>
    </w:p>
    <w:p>
      <w:r>
        <w:t xml:space="preserve"> | 洛伦兹混沌 | 结构混沌</w:t>
      </w:r>
    </w:p>
    <w:p>
      <w:r>
        <w:t>混沌的原因 | 非线性动力学方程 | 预测者进入系统改变耦合关系</w:t>
      </w:r>
    </w:p>
    <w:p>
      <w:r>
        <w:t>混沌的表现 | 轨迹不可预测 | 方向可知，精确值不可得</w:t>
      </w:r>
    </w:p>
    <w:p>
      <w:r>
        <w:t>检测方式 | Lyapunov指数 | 结构态识别+方向性偏移</w:t>
      </w:r>
    </w:p>
    <w:p>
      <w:r>
        <w:t>能否预测 | 否 | 可预测方向，不可预测精确值</w:t>
      </w:r>
    </w:p>
    <w:p>
      <w:pPr>
        <w:pStyle w:val="Heading1"/>
      </w:pPr>
      <w:r>
        <w:t>附录：实验代码</w:t>
      </w:r>
    </w:p>
    <w:p>
      <w:r>
        <w:t>见代码仓库。所有结果确定性可复现（seed=42）。</w:t>
      </w:r>
    </w:p>
    <w:p>
      <w:r>
        <w:t>*© 2026 走凤游龙机器人技术提供方*</w:t>
      </w:r>
    </w:p>
    <w:p>
      <w:r>
        <w:t>*原稿完成于2026-07-05*</w:t>
      </w:r>
    </w:p>
    <w:p>
      <w:r>
        <w:t>*不提供解释。实验数据均确定性可复现。*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