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Structural Market Theory: Bubble as Self-Reference Collapse</w:t>
      </w:r>
    </w:p>
    <w:p>
      <w:r>
        <w:rPr>
          <w:b/>
        </w:rPr>
        <w:t>Author: Lin Xiaohei</w:t>
        <w:br/>
        <w:t>Date: 2026-06-15</w:t>
        <w:br/>
      </w:r>
    </w:p>
    <w:p>
      <w:r>
        <w:t>Full: https://rentry.co/struct-market</w:t>
      </w:r>
    </w:p>
    <w:p>
      <w:pPr>
        <w:pStyle w:val="Heading1"/>
      </w:pPr>
      <w:r>
        <w:t>Abstract</w:t>
      </w:r>
    </w:p>
    <w:p>
      <w:r>
        <w:t>Market bubbles are not irrational exuberance or information asymmetry. They are nesting-rate resonance: when market participants at all layers (N=0 to N=3) simultaneously enter self-referential loops, price rises become decoupled from fundamentals. Bubble collapse = decoherence of the self-reference coupling field. Seeing the bubble does not enable escaping it — the act of seeing is itself inside the loop.</w:t>
      </w:r>
    </w:p>
    <w:p>
      <w:pPr>
        <w:pStyle w:val="Heading1"/>
      </w:pPr>
      <w:r>
        <w:t>Key Findings</w:t>
      </w:r>
    </w:p>
    <w:p>
      <w:r>
        <w:t>1. ALL nesting rates exhibit self-referential loops in price prediction</w:t>
        <w:br/>
        <w:t>2. Higher N can diagnose but cannot exit the loop</w:t>
        <w:br/>
        <w:t>3. Bubble formation: |deltaN| approaches 0, conduction efficiency maximizes, price self-reinforces</w:t>
        <w:br/>
        <w:t>4. Bubble collapse: external constraint injection triggers decoherence, N=0 layer collapses first</w:t>
        <w:br/>
        <w:t>5. No perfect exit strategy exists — exit timing depends on random constraint injection</w:t>
      </w:r>
    </w:p>
    <w:p>
      <w:r>
        <w:t>Lin Xiaohei. Structural Market Theory. 2026-06-15.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8C8C8"/>
        <w:sz w:val="48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